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before="1200" w:after="0"/>
        <w:jc w:val="center"/>
        <w:rPr>
          <w:kern w:val="0"/>
          <w:sz w:val="24"/>
          <w:szCs w:val="24"/>
        </w:rPr>
      </w:pPr>
      <w:r>
        <w:rPr>
          <w:kern w:val="0"/>
          <w:sz w:val="24"/>
          <w:szCs w:val="24"/>
        </w:rPr>
        <w:pict>
          <v:shape id="_x0000_i1025" o:spt="75" type="#_x0000_t75" style="height:124.2pt;width:111pt;" filled="f" o:preferrelative="t" stroked="f" coordsize="21600,21600">
            <v:path/>
            <v:fill on="f" focussize="0,0"/>
            <v:stroke on="f" joinstyle="miter"/>
            <v:imagedata r:id="rId8" o:title=""/>
            <o:lock v:ext="edit" aspectratio="t"/>
            <w10:wrap type="none"/>
            <w10:anchorlock/>
          </v:shape>
        </w:pict>
      </w:r>
    </w:p>
    <w:p>
      <w:pPr>
        <w:spacing w:before="200" w:after="200"/>
        <w:jc w:val="center"/>
        <w:rPr>
          <w:b/>
          <w:bCs/>
          <w:sz w:val="36"/>
          <w:szCs w:val="36"/>
        </w:rPr>
      </w:pPr>
      <w:r>
        <w:rPr>
          <w:rFonts w:hint="eastAsia"/>
          <w:b/>
          <w:bCs/>
          <w:sz w:val="36"/>
          <w:szCs w:val="36"/>
        </w:rPr>
        <w:t>北京海兰信数据科技股份有限公司</w:t>
      </w:r>
    </w:p>
    <w:p>
      <w:pPr>
        <w:spacing w:before="400" w:after="0"/>
        <w:jc w:val="center"/>
        <w:rPr>
          <w:b/>
          <w:bCs/>
          <w:sz w:val="32"/>
          <w:szCs w:val="32"/>
        </w:rPr>
      </w:pPr>
      <w:r>
        <w:rPr>
          <w:b/>
          <w:bCs/>
          <w:sz w:val="32"/>
          <w:szCs w:val="32"/>
        </w:rPr>
        <w:t>2016</w:t>
      </w:r>
      <w:r>
        <w:rPr>
          <w:rFonts w:hint="eastAsia"/>
          <w:b/>
          <w:bCs/>
          <w:sz w:val="32"/>
          <w:szCs w:val="32"/>
        </w:rPr>
        <w:t>年年度报告</w:t>
      </w:r>
    </w:p>
    <w:p>
      <w:pPr>
        <w:spacing w:before="400" w:after="0"/>
        <w:jc w:val="center"/>
        <w:rPr>
          <w:b/>
          <w:bCs/>
          <w:sz w:val="22"/>
          <w:szCs w:val="22"/>
        </w:rPr>
      </w:pPr>
      <w:r>
        <w:rPr>
          <w:b/>
          <w:bCs/>
          <w:sz w:val="22"/>
          <w:szCs w:val="22"/>
        </w:rPr>
        <w:t>2017-040</w:t>
      </w:r>
    </w:p>
    <w:p>
      <w:pPr>
        <w:spacing w:before="400" w:after="0"/>
        <w:jc w:val="center"/>
        <w:rPr>
          <w:b/>
          <w:bCs/>
          <w:sz w:val="22"/>
          <w:szCs w:val="22"/>
        </w:rPr>
      </w:pPr>
      <w:r>
        <w:pict>
          <v:shape id="_x0000_s1026" o:spid="_x0000_s1026" o:spt="75" type="#_x0000_t75" style="position:absolute;left:0pt;margin-left:0.55pt;margin-top:19.55pt;height:241.1pt;width:481.65pt;z-index:1024;mso-width-relative:page;mso-height-relative:page;" filled="f" o:preferrelative="t" stroked="f" coordsize="21600,21600">
            <v:path/>
            <v:fill on="f" focussize="0,0"/>
            <v:stroke on="f" joinstyle="miter"/>
            <v:imagedata r:id="rId9" o:title=""/>
            <o:lock v:ext="edit" aspectratio="t"/>
          </v:shape>
        </w:pict>
      </w:r>
    </w:p>
    <w:p>
      <w:pPr>
        <w:spacing w:before="6000" w:after="0"/>
        <w:jc w:val="center"/>
        <w:rPr>
          <w:b/>
          <w:bCs/>
          <w:sz w:val="32"/>
          <w:szCs w:val="32"/>
        </w:rPr>
      </w:pPr>
      <w:r>
        <w:rPr>
          <w:b/>
          <w:bCs/>
          <w:sz w:val="32"/>
          <w:szCs w:val="32"/>
        </w:rPr>
        <w:t>2017</w:t>
      </w:r>
      <w:r>
        <w:rPr>
          <w:rFonts w:hint="eastAsia"/>
          <w:b/>
          <w:bCs/>
          <w:sz w:val="32"/>
          <w:szCs w:val="32"/>
        </w:rPr>
        <w:t>年</w:t>
      </w:r>
      <w:r>
        <w:rPr>
          <w:b/>
          <w:bCs/>
          <w:sz w:val="32"/>
          <w:szCs w:val="32"/>
        </w:rPr>
        <w:t>04</w:t>
      </w:r>
      <w:r>
        <w:rPr>
          <w:rFonts w:hint="eastAsia"/>
          <w:b/>
          <w:bCs/>
          <w:sz w:val="32"/>
          <w:szCs w:val="32"/>
        </w:rPr>
        <w:t>月</w:t>
      </w:r>
    </w:p>
    <w:p>
      <w:pPr>
        <w:spacing w:before="6000" w:after="0"/>
        <w:jc w:val="center"/>
        <w:rPr>
          <w:b/>
          <w:bCs/>
          <w:sz w:val="32"/>
          <w:szCs w:val="32"/>
        </w:rPr>
        <w:sectPr>
          <w:headerReference r:id="rId3" w:type="default"/>
          <w:footerReference r:id="rId4" w:type="default"/>
          <w:pgSz w:w="11906" w:h="16838"/>
          <w:pgMar w:top="1440" w:right="1134" w:bottom="1440" w:left="1134" w:header="720" w:footer="720" w:gutter="0"/>
          <w:cols w:space="720" w:num="1"/>
        </w:sectPr>
      </w:pPr>
    </w:p>
    <w:p>
      <w:pPr>
        <w:pStyle w:val="5"/>
        <w:outlineLvl w:val="0"/>
      </w:pPr>
      <w:bookmarkStart w:id="0" w:name="_Toc300000084"/>
      <w:r>
        <w:rPr>
          <w:rFonts w:hint="eastAsia"/>
        </w:rPr>
        <w:t>第一节</w:t>
      </w:r>
      <w:r>
        <w:t xml:space="preserve"> </w:t>
      </w:r>
      <w:r>
        <w:rPr>
          <w:rFonts w:hint="eastAsia"/>
        </w:rPr>
        <w:t>重要提示、目录和释义</w:t>
      </w:r>
      <w:bookmarkEnd w:id="0"/>
    </w:p>
    <w:p>
      <w:pPr>
        <w:spacing w:before="100" w:after="100"/>
        <w:ind w:firstLine="562" w:firstLineChars="200"/>
        <w:rPr>
          <w:b/>
          <w:bCs/>
          <w:sz w:val="28"/>
          <w:szCs w:val="28"/>
        </w:rPr>
      </w:pPr>
      <w:r>
        <w:rPr>
          <w:rFonts w:hint="eastAsia"/>
          <w:b/>
          <w:bCs/>
          <w:sz w:val="28"/>
          <w:szCs w:val="28"/>
        </w:rPr>
        <w:t>本公司董事会、监事会及董事、监事、高级管理人员保证年度报告内容的真实、准确、完整，不存在虚假记载、误导性陈述或重大遗漏，并承担个别和连带的法律责任。</w:t>
      </w:r>
    </w:p>
    <w:p>
      <w:pPr>
        <w:spacing w:before="100" w:after="100"/>
        <w:ind w:firstLine="562" w:firstLineChars="200"/>
        <w:rPr>
          <w:b/>
          <w:bCs/>
          <w:sz w:val="28"/>
          <w:szCs w:val="28"/>
        </w:rPr>
      </w:pPr>
      <w:r>
        <w:rPr>
          <w:rFonts w:hint="eastAsia"/>
          <w:b/>
          <w:bCs/>
          <w:sz w:val="28"/>
          <w:szCs w:val="28"/>
        </w:rPr>
        <w:t>公司负责人申万秋、主管会计工作负责人柳丽华及会计机构负责人</w:t>
      </w:r>
      <w:r>
        <w:rPr>
          <w:b/>
          <w:bCs/>
          <w:sz w:val="28"/>
          <w:szCs w:val="28"/>
        </w:rPr>
        <w:t>(</w:t>
      </w:r>
      <w:r>
        <w:rPr>
          <w:rFonts w:hint="eastAsia"/>
          <w:b/>
          <w:bCs/>
          <w:sz w:val="28"/>
          <w:szCs w:val="28"/>
        </w:rPr>
        <w:t>会计主管人员</w:t>
      </w:r>
      <w:r>
        <w:rPr>
          <w:b/>
          <w:bCs/>
          <w:sz w:val="28"/>
          <w:szCs w:val="28"/>
        </w:rPr>
        <w:t>)</w:t>
      </w:r>
      <w:r>
        <w:rPr>
          <w:rFonts w:hint="eastAsia"/>
          <w:b/>
          <w:bCs/>
          <w:sz w:val="28"/>
          <w:szCs w:val="28"/>
        </w:rPr>
        <w:t>柳丽华声明：保证年度报告中财务报告的真实、准确、完整。</w:t>
      </w:r>
    </w:p>
    <w:p>
      <w:pPr>
        <w:spacing w:before="100" w:after="100"/>
        <w:ind w:firstLine="562" w:firstLineChars="200"/>
        <w:rPr>
          <w:b/>
          <w:bCs/>
          <w:sz w:val="28"/>
          <w:szCs w:val="28"/>
        </w:rPr>
      </w:pPr>
      <w:r>
        <w:rPr>
          <w:rFonts w:hint="eastAsia"/>
          <w:b/>
          <w:bCs/>
          <w:sz w:val="28"/>
          <w:szCs w:val="28"/>
        </w:rPr>
        <w:t>所有董事均已出席了审议本报告的董事会会议。</w:t>
      </w:r>
    </w:p>
    <w:p>
      <w:pPr>
        <w:spacing w:before="100" w:after="100"/>
        <w:ind w:firstLine="422" w:firstLineChars="200"/>
        <w:rPr>
          <w:b/>
          <w:bCs/>
          <w:sz w:val="21"/>
          <w:szCs w:val="21"/>
        </w:rPr>
      </w:pPr>
      <w:r>
        <w:rPr>
          <w:rFonts w:hint="eastAsia"/>
          <w:b/>
          <w:bCs/>
          <w:sz w:val="21"/>
          <w:szCs w:val="21"/>
        </w:rPr>
        <w:t>一、行业发展缓慢及周期性风险</w:t>
      </w:r>
    </w:p>
    <w:p>
      <w:pPr>
        <w:spacing w:before="100" w:after="100"/>
        <w:ind w:firstLine="420" w:firstLineChars="200"/>
        <w:rPr>
          <w:bCs/>
          <w:sz w:val="21"/>
          <w:szCs w:val="21"/>
        </w:rPr>
      </w:pPr>
      <w:r>
        <w:rPr>
          <w:rFonts w:hint="eastAsia"/>
          <w:bCs/>
          <w:sz w:val="21"/>
          <w:szCs w:val="21"/>
        </w:rPr>
        <w:t>世界航运业与造船市场整体持续低迷，行业回暖进入景气期仍需时日，下游造船行业的周期性仍有可能影响公司智能航海业务的盈利能力。产业形势错综复杂，竞争态势更为严峻。中国自</w:t>
      </w:r>
      <w:r>
        <w:rPr>
          <w:bCs/>
          <w:sz w:val="21"/>
          <w:szCs w:val="21"/>
        </w:rPr>
        <w:t>2013</w:t>
      </w:r>
      <w:r>
        <w:rPr>
          <w:rFonts w:hint="eastAsia"/>
          <w:bCs/>
          <w:sz w:val="21"/>
          <w:szCs w:val="21"/>
        </w:rPr>
        <w:t>年首度超越韩国位居第一以来，连续四年维持市场份额。之前与中国产生激烈竞争的韩国和新加坡在订单承接的数据上来看，纷纷败下阵来，油价断崖式下跌是导致问题的直接原因。但不可否认的是，经历此次深度调整，韩、新两国的产品结构、设计能力、技术水平都得到了大幅提升。因此，这可能在未来给行业带来较大的压力。</w:t>
      </w:r>
    </w:p>
    <w:p>
      <w:pPr>
        <w:spacing w:before="100" w:after="100"/>
        <w:ind w:firstLine="420" w:firstLineChars="200"/>
        <w:rPr>
          <w:bCs/>
          <w:sz w:val="21"/>
          <w:szCs w:val="21"/>
        </w:rPr>
      </w:pPr>
      <w:r>
        <w:rPr>
          <w:rFonts w:hint="eastAsia"/>
          <w:bCs/>
          <w:sz w:val="21"/>
          <w:szCs w:val="21"/>
        </w:rPr>
        <w:t>针对智能航海业务（主要是商船领域）的周期性风险，公司首先在战略层面主动转型，将</w:t>
      </w:r>
      <w:r>
        <w:rPr>
          <w:bCs/>
          <w:sz w:val="21"/>
          <w:szCs w:val="21"/>
        </w:rPr>
        <w:t>“</w:t>
      </w:r>
      <w:r>
        <w:rPr>
          <w:rFonts w:hint="eastAsia"/>
          <w:bCs/>
          <w:sz w:val="21"/>
          <w:szCs w:val="21"/>
        </w:rPr>
        <w:t>信息化、智能化</w:t>
      </w:r>
      <w:r>
        <w:rPr>
          <w:bCs/>
          <w:sz w:val="21"/>
          <w:szCs w:val="21"/>
        </w:rPr>
        <w:t>”</w:t>
      </w:r>
      <w:r>
        <w:rPr>
          <w:rFonts w:hint="eastAsia"/>
          <w:bCs/>
          <w:sz w:val="21"/>
          <w:szCs w:val="21"/>
        </w:rPr>
        <w:t>作为主要发展方向，推动核心业务向智能航海领域升级；其次，公司在产品研发方面持续投入，加强国际合作，吸引国际人才，通过提升公司的技术创新能力，为未来行业转暖逐步积累实力；在市场开拓方面重点选择与基础好、实力强、手持订单较充足的大型造船企业集团建立战略合作关系，同时大力推进公务船、远洋渔船、海工船等细分领域的市场开拓，逐步完善公司在海事领域的业务布局，为公司不断推出的新产品进入市场提供一定的保障；此外，公司结合自身在船岸数据管理方面的技术积累开展</w:t>
      </w:r>
      <w:r>
        <w:rPr>
          <w:bCs/>
          <w:sz w:val="21"/>
          <w:szCs w:val="21"/>
        </w:rPr>
        <w:t>“</w:t>
      </w:r>
      <w:r>
        <w:rPr>
          <w:rFonts w:hint="eastAsia"/>
          <w:bCs/>
          <w:sz w:val="21"/>
          <w:szCs w:val="21"/>
        </w:rPr>
        <w:t>全船网络信息化</w:t>
      </w:r>
      <w:r>
        <w:rPr>
          <w:bCs/>
          <w:sz w:val="21"/>
          <w:szCs w:val="21"/>
        </w:rPr>
        <w:t>”</w:t>
      </w:r>
      <w:r>
        <w:rPr>
          <w:rFonts w:hint="eastAsia"/>
          <w:bCs/>
          <w:sz w:val="21"/>
          <w:szCs w:val="21"/>
        </w:rPr>
        <w:t>、</w:t>
      </w:r>
      <w:r>
        <w:rPr>
          <w:bCs/>
          <w:sz w:val="21"/>
          <w:szCs w:val="21"/>
        </w:rPr>
        <w:t>“e</w:t>
      </w:r>
      <w:r>
        <w:rPr>
          <w:rFonts w:hint="eastAsia"/>
          <w:bCs/>
          <w:sz w:val="21"/>
          <w:szCs w:val="21"/>
        </w:rPr>
        <w:t>航海</w:t>
      </w:r>
      <w:r>
        <w:rPr>
          <w:bCs/>
          <w:sz w:val="21"/>
          <w:szCs w:val="21"/>
        </w:rPr>
        <w:t>”</w:t>
      </w:r>
      <w:r>
        <w:rPr>
          <w:rFonts w:hint="eastAsia"/>
          <w:bCs/>
          <w:sz w:val="21"/>
          <w:szCs w:val="21"/>
        </w:rPr>
        <w:t>等业务创新，实现智能航海业务多元化，提升公司的市场竞争力和抗风险能力。在遵循以智能航海产品为核心的基础上，公司积极调整业务重心，将军工业务作为重点发展方向，并明确聚焦海事军工板块开展相关工作，充分把握军船改造、军品招标等业务机遇，推进成熟船舶通导民品向军品的转化，力争早日将技术优势转化为市场优势，提升该业务板块在公司整体业务中的占比，以对冲海事行业处于低迷期给公司带来的不利影响；与此同时，公司基于对国家海洋战略的解读进一步明晰自身战略发展方向，以极小目标探测雷达技术为基础积极推进海洋监测业务，新业务领域拥有良好的发展空间和市场前景，可为公司经营业绩的稳步提升提供新的利润增长点。同时，公司已经完成实施收购全球海洋勘探调查科技先驱劳雷产业的重大资产重组计划，同时包括入资劳雷绿湾和边界电子，加速发展无人平台产业并加快部署海洋测量与水下安防业务链条，为构建海上无人遥测遥感装备研发平台奠定基础。系列投资完善了公司海洋立体化业务布局，奠定了在国内智能航海与智慧海洋领域的领先优势，也规避了造船行业的周期性风险。</w:t>
      </w:r>
    </w:p>
    <w:p>
      <w:pPr>
        <w:spacing w:before="100" w:after="100"/>
        <w:ind w:firstLine="422" w:firstLineChars="200"/>
        <w:rPr>
          <w:b/>
          <w:bCs/>
          <w:sz w:val="21"/>
          <w:szCs w:val="21"/>
        </w:rPr>
      </w:pPr>
      <w:r>
        <w:rPr>
          <w:rFonts w:hint="eastAsia"/>
          <w:b/>
          <w:bCs/>
          <w:sz w:val="21"/>
          <w:szCs w:val="21"/>
        </w:rPr>
        <w:t>二、公司规模扩大管理整合难度增加的风险</w:t>
      </w:r>
    </w:p>
    <w:p>
      <w:pPr>
        <w:spacing w:before="100" w:after="100"/>
        <w:ind w:firstLine="420" w:firstLineChars="200"/>
        <w:rPr>
          <w:bCs/>
          <w:sz w:val="21"/>
          <w:szCs w:val="21"/>
        </w:rPr>
      </w:pPr>
      <w:r>
        <w:rPr>
          <w:rFonts w:hint="eastAsia"/>
          <w:bCs/>
          <w:sz w:val="21"/>
          <w:szCs w:val="21"/>
        </w:rPr>
        <w:t>随着公司并购速度的加快、新业务的逐步开拓、事业版图的扩张及原有业务的快速发展，对公司在人才引进、内部控制、生产经营管理、产品研发等方面提出了更高的要求。尽管公司根据多年实践经验已经制订了一套适应公司发展水平和管理模式的规章制度，并在实际工作中取得了一定效果，但公司规模的扩大仍有可能给公司带来组织管理、成本控制、等方面带来风险出现</w:t>
      </w:r>
      <w:r>
        <w:rPr>
          <w:bCs/>
          <w:sz w:val="21"/>
          <w:szCs w:val="21"/>
        </w:rPr>
        <w:t>“</w:t>
      </w:r>
      <w:r>
        <w:rPr>
          <w:rFonts w:hint="eastAsia"/>
          <w:bCs/>
          <w:sz w:val="21"/>
          <w:szCs w:val="21"/>
        </w:rPr>
        <w:t>规模不经济</w:t>
      </w:r>
      <w:r>
        <w:rPr>
          <w:bCs/>
          <w:sz w:val="21"/>
          <w:szCs w:val="21"/>
        </w:rPr>
        <w:t>”</w:t>
      </w:r>
      <w:r>
        <w:rPr>
          <w:rFonts w:hint="eastAsia"/>
          <w:bCs/>
          <w:sz w:val="21"/>
          <w:szCs w:val="21"/>
        </w:rPr>
        <w:t>的可能性。</w:t>
      </w:r>
    </w:p>
    <w:p>
      <w:pPr>
        <w:spacing w:before="100" w:after="100"/>
        <w:ind w:firstLine="420" w:firstLineChars="200"/>
        <w:rPr>
          <w:bCs/>
          <w:sz w:val="21"/>
          <w:szCs w:val="21"/>
        </w:rPr>
      </w:pPr>
      <w:r>
        <w:rPr>
          <w:rFonts w:hint="eastAsia"/>
          <w:bCs/>
          <w:sz w:val="21"/>
          <w:szCs w:val="21"/>
        </w:rPr>
        <w:t>针对上述运营要求，公司将逐步规范治理结构，重点实施风险防控体系建设，继续坚持并深化自主经营体改革，注重经营体核心团队建设，激发员工热情，让组织持续充满活力和创新精神；通过实施员工持股计划，继续推行有效的绩效考核与激励机制，满足公司业务跨越式发展对高端人才的需求，并配合自主经营体改革，切实建立起追求商业成功的绩效文化，建立培养内部企业家的机制；在子公司管理方面，公司将结合《子公司管理制度》，对下属子公司的运营管理，特别是财务管理、人力资源、内部控制等方面整体把控，建立共性技术的共享机制，搭建集团信息沟通和企业文化融合平台，加深员工的企业认同感，提高集团整体化规范管理的效率，确保公司未来持续健康的发展。</w:t>
      </w:r>
    </w:p>
    <w:p>
      <w:pPr>
        <w:spacing w:before="100" w:after="100"/>
        <w:ind w:firstLine="422" w:firstLineChars="200"/>
        <w:rPr>
          <w:b/>
          <w:bCs/>
          <w:sz w:val="21"/>
          <w:szCs w:val="21"/>
        </w:rPr>
      </w:pPr>
      <w:r>
        <w:rPr>
          <w:rFonts w:hint="eastAsia"/>
          <w:b/>
          <w:bCs/>
          <w:sz w:val="21"/>
          <w:szCs w:val="21"/>
        </w:rPr>
        <w:t>三、国际经济形势变动风险</w:t>
      </w:r>
    </w:p>
    <w:p>
      <w:pPr>
        <w:spacing w:before="100" w:after="100"/>
        <w:ind w:firstLine="420" w:firstLineChars="200"/>
        <w:rPr>
          <w:bCs/>
          <w:sz w:val="21"/>
          <w:szCs w:val="21"/>
        </w:rPr>
      </w:pPr>
      <w:r>
        <w:rPr>
          <w:rFonts w:hint="eastAsia"/>
          <w:bCs/>
          <w:sz w:val="21"/>
          <w:szCs w:val="21"/>
        </w:rPr>
        <w:t>由于公司有部分海外子公司，并且在多个海外城市设有服务网点，国际经济形势变动会对公司产生直接的影响。纵观</w:t>
      </w:r>
      <w:r>
        <w:rPr>
          <w:bCs/>
          <w:sz w:val="21"/>
          <w:szCs w:val="21"/>
        </w:rPr>
        <w:t>2016</w:t>
      </w:r>
      <w:r>
        <w:rPr>
          <w:rFonts w:hint="eastAsia"/>
          <w:bCs/>
          <w:sz w:val="21"/>
          <w:szCs w:val="21"/>
        </w:rPr>
        <w:t>年，全球经济</w:t>
      </w:r>
      <w:r>
        <w:rPr>
          <w:bCs/>
          <w:sz w:val="21"/>
          <w:szCs w:val="21"/>
        </w:rPr>
        <w:t>“</w:t>
      </w:r>
      <w:r>
        <w:rPr>
          <w:rFonts w:hint="eastAsia"/>
          <w:bCs/>
          <w:sz w:val="21"/>
          <w:szCs w:val="21"/>
        </w:rPr>
        <w:t>黑天鹅</w:t>
      </w:r>
      <w:r>
        <w:rPr>
          <w:bCs/>
          <w:sz w:val="21"/>
          <w:szCs w:val="21"/>
        </w:rPr>
        <w:t>”</w:t>
      </w:r>
      <w:r>
        <w:rPr>
          <w:rFonts w:hint="eastAsia"/>
          <w:bCs/>
          <w:sz w:val="21"/>
          <w:szCs w:val="21"/>
        </w:rPr>
        <w:t>事件层出不穷。年初全球金融市场异动，年中英国退欧公投，年末的美国总统大选，加之欧洲难民危机、土耳其政变等地缘政治冲突，</w:t>
      </w:r>
      <w:r>
        <w:rPr>
          <w:bCs/>
          <w:sz w:val="21"/>
          <w:szCs w:val="21"/>
        </w:rPr>
        <w:t>2016</w:t>
      </w:r>
      <w:r>
        <w:rPr>
          <w:rFonts w:hint="eastAsia"/>
          <w:bCs/>
          <w:sz w:val="21"/>
          <w:szCs w:val="21"/>
        </w:rPr>
        <w:t>年重大风险事件频频扰动全球经济金融体系。趋势层面，政策措施和市场态势不断突破常规边界。全球经济增长整体放缓。因此，未来国际经济形势可能会延续</w:t>
      </w:r>
      <w:r>
        <w:rPr>
          <w:bCs/>
          <w:sz w:val="21"/>
          <w:szCs w:val="21"/>
        </w:rPr>
        <w:t>2016</w:t>
      </w:r>
      <w:r>
        <w:rPr>
          <w:rFonts w:hint="eastAsia"/>
          <w:bCs/>
          <w:sz w:val="21"/>
          <w:szCs w:val="21"/>
        </w:rPr>
        <w:t>年的波动趋势并不平稳，外国的货币政策和财政政策会给公司海外投资，财务并表带来一定风险。特朗普经济对全球经济格局影响出现，美联储多次加息，影响人民币汇率走势。公司拥有海外子公司，汇率的变动可能带来汇兑损失，对公司的经营成果带来不利影响。</w:t>
      </w:r>
    </w:p>
    <w:p>
      <w:pPr>
        <w:spacing w:before="100" w:after="100"/>
        <w:ind w:firstLine="422" w:firstLineChars="200"/>
        <w:rPr>
          <w:b/>
          <w:bCs/>
          <w:sz w:val="21"/>
          <w:szCs w:val="21"/>
        </w:rPr>
      </w:pPr>
      <w:r>
        <w:rPr>
          <w:rFonts w:hint="eastAsia"/>
          <w:b/>
          <w:bCs/>
          <w:sz w:val="21"/>
          <w:szCs w:val="21"/>
        </w:rPr>
        <w:t>四、宏观经济风险</w:t>
      </w:r>
    </w:p>
    <w:p>
      <w:pPr>
        <w:spacing w:before="100" w:after="100"/>
        <w:ind w:firstLine="420" w:firstLineChars="200"/>
        <w:rPr>
          <w:bCs/>
          <w:sz w:val="21"/>
          <w:szCs w:val="21"/>
        </w:rPr>
      </w:pPr>
      <w:r>
        <w:rPr>
          <w:rFonts w:hint="eastAsia"/>
          <w:bCs/>
          <w:sz w:val="21"/>
          <w:szCs w:val="21"/>
        </w:rPr>
        <w:t>在全球经济增速持续放缓、国内经济增长内生动力不足的形势下，众多行业企业面临业绩下滑或亏损的困境，因公司下游终端客户的需求存在放缓的可能，公司亦面临业绩增速放缓的风险。同时，中国经济增长速度减慢，货币政策可能进一步收紧，降低杠杆率，导致公司的资本成本上升。</w:t>
      </w:r>
    </w:p>
    <w:p>
      <w:pPr>
        <w:spacing w:before="100" w:after="100"/>
        <w:ind w:firstLine="422" w:firstLineChars="200"/>
        <w:rPr>
          <w:b/>
          <w:bCs/>
          <w:sz w:val="21"/>
          <w:szCs w:val="21"/>
        </w:rPr>
      </w:pPr>
      <w:r>
        <w:rPr>
          <w:rFonts w:hint="eastAsia"/>
          <w:b/>
          <w:bCs/>
          <w:sz w:val="21"/>
          <w:szCs w:val="21"/>
        </w:rPr>
        <w:t>五、并购标的业绩承诺不及预期风险</w:t>
      </w:r>
    </w:p>
    <w:p>
      <w:pPr>
        <w:spacing w:before="100" w:after="100"/>
        <w:ind w:firstLine="420" w:firstLineChars="200"/>
        <w:rPr>
          <w:bCs/>
          <w:sz w:val="21"/>
          <w:szCs w:val="21"/>
        </w:rPr>
      </w:pPr>
      <w:r>
        <w:rPr>
          <w:rFonts w:hint="eastAsia"/>
          <w:bCs/>
          <w:sz w:val="21"/>
          <w:szCs w:val="21"/>
        </w:rPr>
        <w:t>公司实施重大资产重组，交易对方申万秋承诺海兰劳雷</w:t>
      </w:r>
      <w:r>
        <w:rPr>
          <w:bCs/>
          <w:sz w:val="21"/>
          <w:szCs w:val="21"/>
        </w:rPr>
        <w:t>2015</w:t>
      </w:r>
      <w:r>
        <w:rPr>
          <w:rFonts w:hint="eastAsia"/>
          <w:bCs/>
          <w:sz w:val="21"/>
          <w:szCs w:val="21"/>
        </w:rPr>
        <w:t>年度、</w:t>
      </w:r>
      <w:r>
        <w:rPr>
          <w:bCs/>
          <w:sz w:val="21"/>
          <w:szCs w:val="21"/>
        </w:rPr>
        <w:t>2016</w:t>
      </w:r>
      <w:r>
        <w:rPr>
          <w:rFonts w:hint="eastAsia"/>
          <w:bCs/>
          <w:sz w:val="21"/>
          <w:szCs w:val="21"/>
        </w:rPr>
        <w:t>年度及</w:t>
      </w:r>
      <w:r>
        <w:rPr>
          <w:bCs/>
          <w:sz w:val="21"/>
          <w:szCs w:val="21"/>
        </w:rPr>
        <w:t>2017</w:t>
      </w:r>
      <w:r>
        <w:rPr>
          <w:rFonts w:hint="eastAsia"/>
          <w:bCs/>
          <w:sz w:val="21"/>
          <w:szCs w:val="21"/>
        </w:rPr>
        <w:t>年度的净利润分别不低于</w:t>
      </w:r>
      <w:r>
        <w:rPr>
          <w:bCs/>
          <w:sz w:val="21"/>
          <w:szCs w:val="21"/>
        </w:rPr>
        <w:t>2,840</w:t>
      </w:r>
      <w:r>
        <w:rPr>
          <w:rFonts w:hint="eastAsia"/>
          <w:bCs/>
          <w:sz w:val="21"/>
          <w:szCs w:val="21"/>
        </w:rPr>
        <w:t>万元、</w:t>
      </w:r>
      <w:r>
        <w:rPr>
          <w:bCs/>
          <w:sz w:val="21"/>
          <w:szCs w:val="21"/>
        </w:rPr>
        <w:t>3,200</w:t>
      </w:r>
      <w:r>
        <w:rPr>
          <w:rFonts w:hint="eastAsia"/>
          <w:bCs/>
          <w:sz w:val="21"/>
          <w:szCs w:val="21"/>
        </w:rPr>
        <w:t>万元、</w:t>
      </w:r>
      <w:r>
        <w:rPr>
          <w:bCs/>
          <w:sz w:val="21"/>
          <w:szCs w:val="21"/>
        </w:rPr>
        <w:t>3,360</w:t>
      </w:r>
      <w:r>
        <w:rPr>
          <w:rFonts w:hint="eastAsia"/>
          <w:bCs/>
          <w:sz w:val="21"/>
          <w:szCs w:val="21"/>
        </w:rPr>
        <w:t>万元。承担补偿义务的交易对方将勤勉经营，尽最大努力确保上述业绩承诺实现。但是，盈利预测期内经济环境和产业政策等外部因素的变化可能给标的公司的经营管理造成不利影响。同时，随着我国海洋信息化行业的不断发展，标的公司能否适应未来的行业格局、市场竞争、技术革新等存在不确定性。如果海兰劳雷经营情况未达预期，可能导致业绩承诺无法实现，提请投资者关注标的资产承诺业绩无法实现的风险。</w:t>
      </w:r>
      <w:r>
        <w:rPr>
          <w:bCs/>
          <w:sz w:val="21"/>
          <w:szCs w:val="21"/>
        </w:rPr>
        <w:t>2015</w:t>
      </w:r>
      <w:r>
        <w:rPr>
          <w:rFonts w:hint="eastAsia"/>
          <w:bCs/>
          <w:sz w:val="21"/>
          <w:szCs w:val="21"/>
        </w:rPr>
        <w:t>年与</w:t>
      </w:r>
      <w:r>
        <w:rPr>
          <w:bCs/>
          <w:sz w:val="21"/>
          <w:szCs w:val="21"/>
        </w:rPr>
        <w:t>2016</w:t>
      </w:r>
      <w:r>
        <w:rPr>
          <w:rFonts w:hint="eastAsia"/>
          <w:bCs/>
          <w:sz w:val="21"/>
          <w:szCs w:val="21"/>
        </w:rPr>
        <w:t>年圆满完成业绩承诺。</w:t>
      </w:r>
    </w:p>
    <w:p>
      <w:pPr>
        <w:spacing w:before="100" w:after="100"/>
        <w:ind w:firstLine="562" w:firstLineChars="200"/>
        <w:rPr>
          <w:b/>
          <w:bCs/>
          <w:sz w:val="28"/>
          <w:szCs w:val="28"/>
        </w:rPr>
      </w:pPr>
      <w:r>
        <w:rPr>
          <w:rFonts w:hint="eastAsia"/>
          <w:b/>
          <w:bCs/>
          <w:sz w:val="28"/>
          <w:szCs w:val="28"/>
        </w:rPr>
        <w:t>公司经本次董事会审议通过的利润分配预案为：以</w:t>
      </w:r>
      <w:r>
        <w:rPr>
          <w:b/>
          <w:bCs/>
          <w:sz w:val="28"/>
          <w:szCs w:val="28"/>
        </w:rPr>
        <w:t>241,560,648</w:t>
      </w:r>
      <w:r>
        <w:rPr>
          <w:rFonts w:hint="eastAsia"/>
          <w:b/>
          <w:bCs/>
          <w:sz w:val="28"/>
          <w:szCs w:val="28"/>
        </w:rPr>
        <w:t>为基数，向全体股东每</w:t>
      </w:r>
      <w:r>
        <w:rPr>
          <w:b/>
          <w:bCs/>
          <w:sz w:val="28"/>
          <w:szCs w:val="28"/>
        </w:rPr>
        <w:t>10</w:t>
      </w:r>
      <w:r>
        <w:rPr>
          <w:rFonts w:hint="eastAsia"/>
          <w:b/>
          <w:bCs/>
          <w:sz w:val="28"/>
          <w:szCs w:val="28"/>
        </w:rPr>
        <w:t>股派发现金红利</w:t>
      </w:r>
      <w:r>
        <w:rPr>
          <w:b/>
          <w:bCs/>
          <w:sz w:val="28"/>
          <w:szCs w:val="28"/>
        </w:rPr>
        <w:t>0.80</w:t>
      </w:r>
      <w:r>
        <w:rPr>
          <w:rFonts w:hint="eastAsia"/>
          <w:b/>
          <w:bCs/>
          <w:sz w:val="28"/>
          <w:szCs w:val="28"/>
        </w:rPr>
        <w:t>元（含税），送红股</w:t>
      </w:r>
      <w:r>
        <w:rPr>
          <w:b/>
          <w:bCs/>
          <w:sz w:val="28"/>
          <w:szCs w:val="28"/>
        </w:rPr>
        <w:t>0</w:t>
      </w:r>
      <w:r>
        <w:rPr>
          <w:rFonts w:hint="eastAsia"/>
          <w:b/>
          <w:bCs/>
          <w:sz w:val="28"/>
          <w:szCs w:val="28"/>
        </w:rPr>
        <w:t>股（含税），以资本公积金向全体股东每</w:t>
      </w:r>
      <w:r>
        <w:rPr>
          <w:b/>
          <w:bCs/>
          <w:sz w:val="28"/>
          <w:szCs w:val="28"/>
        </w:rPr>
        <w:t>10</w:t>
      </w:r>
      <w:r>
        <w:rPr>
          <w:rFonts w:hint="eastAsia"/>
          <w:b/>
          <w:bCs/>
          <w:sz w:val="28"/>
          <w:szCs w:val="28"/>
        </w:rPr>
        <w:t>股转增</w:t>
      </w:r>
      <w:r>
        <w:rPr>
          <w:b/>
          <w:bCs/>
          <w:sz w:val="28"/>
          <w:szCs w:val="28"/>
        </w:rPr>
        <w:t>5</w:t>
      </w:r>
      <w:r>
        <w:rPr>
          <w:rFonts w:hint="eastAsia"/>
          <w:b/>
          <w:bCs/>
          <w:sz w:val="28"/>
          <w:szCs w:val="28"/>
        </w:rPr>
        <w:t>股。</w:t>
      </w:r>
    </w:p>
    <w:p>
      <w:pPr>
        <w:spacing w:before="100" w:after="100"/>
        <w:ind w:firstLine="562" w:firstLineChars="200"/>
        <w:rPr>
          <w:b/>
          <w:bCs/>
          <w:sz w:val="28"/>
          <w:szCs w:val="28"/>
        </w:rPr>
        <w:sectPr>
          <w:pgSz w:w="11906" w:h="16838"/>
          <w:pgMar w:top="1440" w:right="1134" w:bottom="1440" w:left="1134" w:header="851" w:footer="992" w:gutter="0"/>
          <w:cols w:space="425" w:num="1"/>
          <w:docGrid w:type="lines" w:linePitch="312" w:charSpace="0"/>
        </w:sectPr>
      </w:pPr>
    </w:p>
    <w:p>
      <w:pPr>
        <w:spacing w:before="1400" w:after="1400"/>
        <w:jc w:val="center"/>
        <w:rPr>
          <w:b/>
          <w:bCs/>
          <w:sz w:val="36"/>
          <w:szCs w:val="36"/>
        </w:rPr>
      </w:pPr>
      <w:r>
        <w:rPr>
          <w:rFonts w:hint="eastAsia"/>
          <w:b/>
          <w:bCs/>
          <w:sz w:val="36"/>
          <w:szCs w:val="36"/>
        </w:rPr>
        <w:t>目录</w:t>
      </w:r>
    </w:p>
    <w:p>
      <w:pPr>
        <w:tabs>
          <w:tab w:val="right" w:leader="dot" w:pos="9628"/>
        </w:tabs>
        <w:spacing w:before="180" w:after="180"/>
        <w:rPr>
          <w:rFonts w:eastAsia="Times New Roman"/>
          <w:b/>
          <w:bCs/>
          <w:sz w:val="24"/>
          <w:szCs w:val="24"/>
        </w:rPr>
      </w:pPr>
      <w:r>
        <w:rPr>
          <w:rFonts w:eastAsia="Times New Roman"/>
          <w:b/>
          <w:bCs/>
          <w:sz w:val="24"/>
          <w:szCs w:val="24"/>
        </w:rPr>
        <w:fldChar w:fldCharType="begin"/>
      </w:r>
      <w:r>
        <w:rPr>
          <w:rFonts w:eastAsia="Times New Roman"/>
          <w:b/>
          <w:bCs/>
          <w:sz w:val="24"/>
          <w:szCs w:val="24"/>
        </w:rPr>
        <w:instrText xml:space="preserve"> TOC \h \z \t "</w:instrText>
      </w:r>
      <w:r>
        <w:rPr>
          <w:rFonts w:hint="eastAsia" w:ascii="宋体" w:hAnsi="宋体" w:cs="宋体"/>
          <w:b/>
          <w:bCs/>
          <w:sz w:val="24"/>
          <w:szCs w:val="24"/>
        </w:rPr>
        <w:instrText xml:space="preserve">标题</w:instrText>
      </w:r>
      <w:r>
        <w:rPr>
          <w:rFonts w:eastAsia="Times New Roman"/>
          <w:b/>
          <w:bCs/>
          <w:sz w:val="24"/>
          <w:szCs w:val="24"/>
        </w:rPr>
        <w:instrText xml:space="preserve">,1" </w:instrText>
      </w:r>
      <w:r>
        <w:rPr>
          <w:rFonts w:eastAsia="Times New Roman"/>
          <w:b/>
          <w:bCs/>
          <w:sz w:val="24"/>
          <w:szCs w:val="24"/>
        </w:rPr>
        <w:fldChar w:fldCharType="separate"/>
      </w:r>
      <w:r>
        <w:fldChar w:fldCharType="begin"/>
      </w:r>
      <w:r>
        <w:instrText xml:space="preserve"> HYPERLINK \l "_Toc300000085" </w:instrText>
      </w:r>
      <w:r>
        <w:fldChar w:fldCharType="separate"/>
      </w:r>
      <w:r>
        <w:rPr>
          <w:rFonts w:hint="eastAsia" w:ascii="宋体" w:hAnsi="宋体" w:cs="宋体"/>
          <w:b/>
          <w:bCs/>
          <w:color w:val="000000"/>
          <w:sz w:val="24"/>
          <w:szCs w:val="24"/>
        </w:rPr>
        <w:t>第一节</w:t>
      </w:r>
      <w:r>
        <w:rPr>
          <w:rFonts w:eastAsia="Times New Roman"/>
          <w:b/>
          <w:bCs/>
          <w:color w:val="000000"/>
          <w:sz w:val="24"/>
          <w:szCs w:val="24"/>
        </w:rPr>
        <w:t xml:space="preserve"> </w:t>
      </w:r>
      <w:r>
        <w:rPr>
          <w:rFonts w:hint="eastAsia" w:ascii="宋体" w:hAnsi="宋体" w:cs="宋体"/>
          <w:b/>
          <w:bCs/>
          <w:color w:val="000000"/>
          <w:sz w:val="24"/>
          <w:szCs w:val="24"/>
        </w:rPr>
        <w:t>重要提示、目录和释义</w:t>
      </w:r>
      <w:r>
        <w:rPr>
          <w:rFonts w:eastAsia="Times New Roman"/>
          <w:b/>
          <w:bCs/>
          <w:sz w:val="24"/>
          <w:szCs w:val="24"/>
        </w:rPr>
        <w:tab/>
      </w:r>
      <w:r>
        <w:rPr>
          <w:rFonts w:eastAsia="Times New Roman"/>
          <w:b/>
          <w:bCs/>
          <w:sz w:val="24"/>
          <w:szCs w:val="24"/>
        </w:rPr>
        <w:fldChar w:fldCharType="begin"/>
      </w:r>
      <w:r>
        <w:rPr>
          <w:rFonts w:eastAsia="Times New Roman"/>
          <w:b/>
          <w:bCs/>
          <w:sz w:val="24"/>
          <w:szCs w:val="24"/>
        </w:rPr>
        <w:instrText xml:space="preserve"> PAGEREF _Toc300000085 \h </w:instrText>
      </w:r>
      <w:r>
        <w:rPr>
          <w:rFonts w:eastAsia="Times New Roman"/>
          <w:b/>
          <w:bCs/>
          <w:sz w:val="24"/>
          <w:szCs w:val="24"/>
        </w:rPr>
        <w:fldChar w:fldCharType="separate"/>
      </w:r>
      <w:r>
        <w:rPr>
          <w:rFonts w:eastAsia="Times New Roman"/>
          <w:b/>
          <w:bCs/>
          <w:sz w:val="24"/>
          <w:szCs w:val="24"/>
        </w:rPr>
        <w:t>9</w:t>
      </w:r>
      <w:r>
        <w:rPr>
          <w:rFonts w:eastAsia="Times New Roman"/>
          <w:b/>
          <w:bCs/>
          <w:sz w:val="24"/>
          <w:szCs w:val="24"/>
        </w:rPr>
        <w:fldChar w:fldCharType="end"/>
      </w:r>
      <w:r>
        <w:rPr>
          <w:rFonts w:eastAsia="Times New Roman"/>
          <w:b/>
          <w:bCs/>
          <w:sz w:val="24"/>
          <w:szCs w:val="24"/>
        </w:rPr>
        <w:fldChar w:fldCharType="end"/>
      </w:r>
    </w:p>
    <w:p>
      <w:pPr>
        <w:tabs>
          <w:tab w:val="right" w:leader="dot" w:pos="9628"/>
        </w:tabs>
        <w:spacing w:before="180" w:after="180"/>
        <w:rPr>
          <w:rFonts w:eastAsia="Times New Roman"/>
          <w:b/>
          <w:bCs/>
          <w:sz w:val="24"/>
          <w:szCs w:val="24"/>
        </w:rPr>
      </w:pPr>
      <w:r>
        <w:fldChar w:fldCharType="begin"/>
      </w:r>
      <w:r>
        <w:instrText xml:space="preserve"> HYPERLINK \l "_Toc300000086" </w:instrText>
      </w:r>
      <w:r>
        <w:fldChar w:fldCharType="separate"/>
      </w:r>
      <w:r>
        <w:rPr>
          <w:rFonts w:hint="eastAsia" w:ascii="宋体" w:hAnsi="宋体" w:cs="宋体"/>
          <w:b/>
          <w:bCs/>
          <w:color w:val="000000"/>
          <w:sz w:val="24"/>
          <w:szCs w:val="24"/>
        </w:rPr>
        <w:t>第二节</w:t>
      </w:r>
      <w:r>
        <w:rPr>
          <w:rFonts w:eastAsia="Times New Roman"/>
          <w:b/>
          <w:bCs/>
          <w:color w:val="000000"/>
          <w:sz w:val="24"/>
          <w:szCs w:val="24"/>
        </w:rPr>
        <w:t xml:space="preserve"> </w:t>
      </w:r>
      <w:r>
        <w:rPr>
          <w:rFonts w:hint="eastAsia" w:ascii="宋体" w:hAnsi="宋体" w:cs="宋体"/>
          <w:b/>
          <w:bCs/>
          <w:color w:val="000000"/>
          <w:sz w:val="24"/>
          <w:szCs w:val="24"/>
        </w:rPr>
        <w:t>公司简介和主要财务指标</w:t>
      </w:r>
      <w:r>
        <w:rPr>
          <w:rFonts w:eastAsia="Times New Roman"/>
          <w:b/>
          <w:bCs/>
          <w:sz w:val="24"/>
          <w:szCs w:val="24"/>
        </w:rPr>
        <w:tab/>
      </w:r>
      <w:r>
        <w:rPr>
          <w:rFonts w:eastAsia="Times New Roman"/>
          <w:b/>
          <w:bCs/>
          <w:sz w:val="24"/>
          <w:szCs w:val="24"/>
        </w:rPr>
        <w:fldChar w:fldCharType="begin"/>
      </w:r>
      <w:r>
        <w:rPr>
          <w:rFonts w:eastAsia="Times New Roman"/>
          <w:b/>
          <w:bCs/>
          <w:sz w:val="24"/>
          <w:szCs w:val="24"/>
        </w:rPr>
        <w:instrText xml:space="preserve"> PAGEREF _Toc300000086 \h </w:instrText>
      </w:r>
      <w:r>
        <w:rPr>
          <w:rFonts w:eastAsia="Times New Roman"/>
          <w:b/>
          <w:bCs/>
          <w:sz w:val="24"/>
          <w:szCs w:val="24"/>
        </w:rPr>
        <w:fldChar w:fldCharType="separate"/>
      </w:r>
      <w:r>
        <w:rPr>
          <w:rFonts w:eastAsia="Times New Roman"/>
          <w:b/>
          <w:bCs/>
          <w:sz w:val="24"/>
          <w:szCs w:val="24"/>
        </w:rPr>
        <w:t>13</w:t>
      </w:r>
      <w:r>
        <w:rPr>
          <w:rFonts w:eastAsia="Times New Roman"/>
          <w:b/>
          <w:bCs/>
          <w:sz w:val="24"/>
          <w:szCs w:val="24"/>
        </w:rPr>
        <w:fldChar w:fldCharType="end"/>
      </w:r>
      <w:r>
        <w:rPr>
          <w:rFonts w:eastAsia="Times New Roman"/>
          <w:b/>
          <w:bCs/>
          <w:sz w:val="24"/>
          <w:szCs w:val="24"/>
        </w:rPr>
        <w:fldChar w:fldCharType="end"/>
      </w:r>
    </w:p>
    <w:p>
      <w:pPr>
        <w:tabs>
          <w:tab w:val="right" w:leader="dot" w:pos="9628"/>
        </w:tabs>
        <w:spacing w:before="180" w:after="180"/>
        <w:rPr>
          <w:rFonts w:eastAsia="Times New Roman"/>
          <w:b/>
          <w:bCs/>
          <w:sz w:val="24"/>
          <w:szCs w:val="24"/>
        </w:rPr>
      </w:pPr>
      <w:r>
        <w:fldChar w:fldCharType="begin"/>
      </w:r>
      <w:r>
        <w:instrText xml:space="preserve"> HYPERLINK \l "_Toc300000087" </w:instrText>
      </w:r>
      <w:r>
        <w:fldChar w:fldCharType="separate"/>
      </w:r>
      <w:r>
        <w:rPr>
          <w:rFonts w:hint="eastAsia" w:ascii="宋体" w:hAnsi="宋体" w:cs="宋体"/>
          <w:b/>
          <w:bCs/>
          <w:color w:val="000000"/>
          <w:sz w:val="24"/>
          <w:szCs w:val="24"/>
        </w:rPr>
        <w:t>第三节</w:t>
      </w:r>
      <w:r>
        <w:rPr>
          <w:rFonts w:eastAsia="Times New Roman"/>
          <w:b/>
          <w:bCs/>
          <w:color w:val="000000"/>
          <w:sz w:val="24"/>
          <w:szCs w:val="24"/>
        </w:rPr>
        <w:t xml:space="preserve"> </w:t>
      </w:r>
      <w:r>
        <w:rPr>
          <w:rFonts w:hint="eastAsia" w:ascii="宋体" w:hAnsi="宋体" w:cs="宋体"/>
          <w:b/>
          <w:bCs/>
          <w:color w:val="000000"/>
          <w:sz w:val="24"/>
          <w:szCs w:val="24"/>
        </w:rPr>
        <w:t>公司业务概要</w:t>
      </w:r>
      <w:r>
        <w:rPr>
          <w:rFonts w:eastAsia="Times New Roman"/>
          <w:b/>
          <w:bCs/>
          <w:sz w:val="24"/>
          <w:szCs w:val="24"/>
        </w:rPr>
        <w:tab/>
      </w:r>
      <w:r>
        <w:rPr>
          <w:rFonts w:eastAsia="Times New Roman"/>
          <w:b/>
          <w:bCs/>
          <w:sz w:val="24"/>
          <w:szCs w:val="24"/>
        </w:rPr>
        <w:fldChar w:fldCharType="begin"/>
      </w:r>
      <w:r>
        <w:rPr>
          <w:rFonts w:eastAsia="Times New Roman"/>
          <w:b/>
          <w:bCs/>
          <w:sz w:val="24"/>
          <w:szCs w:val="24"/>
        </w:rPr>
        <w:instrText xml:space="preserve"> PAGEREF _Toc300000087 \h </w:instrText>
      </w:r>
      <w:r>
        <w:rPr>
          <w:rFonts w:eastAsia="Times New Roman"/>
          <w:b/>
          <w:bCs/>
          <w:sz w:val="24"/>
          <w:szCs w:val="24"/>
        </w:rPr>
        <w:fldChar w:fldCharType="separate"/>
      </w:r>
      <w:r>
        <w:rPr>
          <w:rFonts w:eastAsia="Times New Roman"/>
          <w:b/>
          <w:bCs/>
          <w:sz w:val="24"/>
          <w:szCs w:val="24"/>
        </w:rPr>
        <w:t>18</w:t>
      </w:r>
      <w:r>
        <w:rPr>
          <w:rFonts w:eastAsia="Times New Roman"/>
          <w:b/>
          <w:bCs/>
          <w:sz w:val="24"/>
          <w:szCs w:val="24"/>
        </w:rPr>
        <w:fldChar w:fldCharType="end"/>
      </w:r>
      <w:r>
        <w:rPr>
          <w:rFonts w:eastAsia="Times New Roman"/>
          <w:b/>
          <w:bCs/>
          <w:sz w:val="24"/>
          <w:szCs w:val="24"/>
        </w:rPr>
        <w:fldChar w:fldCharType="end"/>
      </w:r>
    </w:p>
    <w:p>
      <w:pPr>
        <w:tabs>
          <w:tab w:val="right" w:leader="dot" w:pos="9628"/>
        </w:tabs>
        <w:spacing w:before="180" w:after="180"/>
        <w:rPr>
          <w:rFonts w:eastAsia="Times New Roman"/>
          <w:b/>
          <w:bCs/>
          <w:sz w:val="24"/>
          <w:szCs w:val="24"/>
        </w:rPr>
      </w:pPr>
      <w:r>
        <w:fldChar w:fldCharType="begin"/>
      </w:r>
      <w:r>
        <w:instrText xml:space="preserve"> HYPERLINK \l "_Toc300000088" </w:instrText>
      </w:r>
      <w:r>
        <w:fldChar w:fldCharType="separate"/>
      </w:r>
      <w:r>
        <w:rPr>
          <w:rFonts w:hint="eastAsia" w:ascii="宋体" w:hAnsi="宋体" w:cs="宋体"/>
          <w:b/>
          <w:bCs/>
          <w:color w:val="000000"/>
          <w:sz w:val="24"/>
          <w:szCs w:val="24"/>
        </w:rPr>
        <w:t>第四节</w:t>
      </w:r>
      <w:r>
        <w:rPr>
          <w:rFonts w:eastAsia="Times New Roman"/>
          <w:b/>
          <w:bCs/>
          <w:color w:val="000000"/>
          <w:sz w:val="24"/>
          <w:szCs w:val="24"/>
        </w:rPr>
        <w:t xml:space="preserve"> </w:t>
      </w:r>
      <w:r>
        <w:rPr>
          <w:rFonts w:hint="eastAsia" w:ascii="宋体" w:hAnsi="宋体" w:cs="宋体"/>
          <w:b/>
          <w:bCs/>
          <w:color w:val="000000"/>
          <w:sz w:val="24"/>
          <w:szCs w:val="24"/>
        </w:rPr>
        <w:t>经营情况讨论与分析</w:t>
      </w:r>
      <w:r>
        <w:rPr>
          <w:rFonts w:eastAsia="Times New Roman"/>
          <w:b/>
          <w:bCs/>
          <w:sz w:val="24"/>
          <w:szCs w:val="24"/>
        </w:rPr>
        <w:tab/>
      </w:r>
      <w:r>
        <w:rPr>
          <w:rFonts w:eastAsia="Times New Roman"/>
          <w:b/>
          <w:bCs/>
          <w:sz w:val="24"/>
          <w:szCs w:val="24"/>
        </w:rPr>
        <w:fldChar w:fldCharType="begin"/>
      </w:r>
      <w:r>
        <w:rPr>
          <w:rFonts w:eastAsia="Times New Roman"/>
          <w:b/>
          <w:bCs/>
          <w:sz w:val="24"/>
          <w:szCs w:val="24"/>
        </w:rPr>
        <w:instrText xml:space="preserve"> PAGEREF _Toc300000088 \h </w:instrText>
      </w:r>
      <w:r>
        <w:rPr>
          <w:rFonts w:eastAsia="Times New Roman"/>
          <w:b/>
          <w:bCs/>
          <w:sz w:val="24"/>
          <w:szCs w:val="24"/>
        </w:rPr>
        <w:fldChar w:fldCharType="separate"/>
      </w:r>
      <w:r>
        <w:rPr>
          <w:rFonts w:eastAsia="Times New Roman"/>
          <w:b/>
          <w:bCs/>
          <w:sz w:val="24"/>
          <w:szCs w:val="24"/>
        </w:rPr>
        <w:t>41</w:t>
      </w:r>
      <w:r>
        <w:rPr>
          <w:rFonts w:eastAsia="Times New Roman"/>
          <w:b/>
          <w:bCs/>
          <w:sz w:val="24"/>
          <w:szCs w:val="24"/>
        </w:rPr>
        <w:fldChar w:fldCharType="end"/>
      </w:r>
      <w:r>
        <w:rPr>
          <w:rFonts w:eastAsia="Times New Roman"/>
          <w:b/>
          <w:bCs/>
          <w:sz w:val="24"/>
          <w:szCs w:val="24"/>
        </w:rPr>
        <w:fldChar w:fldCharType="end"/>
      </w:r>
    </w:p>
    <w:p>
      <w:pPr>
        <w:tabs>
          <w:tab w:val="right" w:leader="dot" w:pos="9628"/>
        </w:tabs>
        <w:spacing w:before="180" w:after="180"/>
        <w:rPr>
          <w:rFonts w:eastAsia="Times New Roman"/>
          <w:b/>
          <w:bCs/>
          <w:sz w:val="24"/>
          <w:szCs w:val="24"/>
        </w:rPr>
      </w:pPr>
      <w:r>
        <w:fldChar w:fldCharType="begin"/>
      </w:r>
      <w:r>
        <w:instrText xml:space="preserve"> HYPERLINK \l "_Toc300000089" </w:instrText>
      </w:r>
      <w:r>
        <w:fldChar w:fldCharType="separate"/>
      </w:r>
      <w:r>
        <w:rPr>
          <w:rFonts w:hint="eastAsia" w:ascii="宋体" w:hAnsi="宋体" w:cs="宋体"/>
          <w:b/>
          <w:bCs/>
          <w:color w:val="000000"/>
          <w:sz w:val="24"/>
          <w:szCs w:val="24"/>
        </w:rPr>
        <w:t>第五节</w:t>
      </w:r>
      <w:r>
        <w:rPr>
          <w:rFonts w:eastAsia="Times New Roman"/>
          <w:b/>
          <w:bCs/>
          <w:color w:val="000000"/>
          <w:sz w:val="24"/>
          <w:szCs w:val="24"/>
        </w:rPr>
        <w:t xml:space="preserve"> </w:t>
      </w:r>
      <w:r>
        <w:rPr>
          <w:rFonts w:hint="eastAsia" w:ascii="宋体" w:hAnsi="宋体" w:cs="宋体"/>
          <w:b/>
          <w:bCs/>
          <w:color w:val="000000"/>
          <w:sz w:val="24"/>
          <w:szCs w:val="24"/>
        </w:rPr>
        <w:t>重要事项</w:t>
      </w:r>
      <w:r>
        <w:rPr>
          <w:rFonts w:eastAsia="Times New Roman"/>
          <w:b/>
          <w:bCs/>
          <w:sz w:val="24"/>
          <w:szCs w:val="24"/>
        </w:rPr>
        <w:tab/>
      </w:r>
      <w:r>
        <w:rPr>
          <w:rFonts w:eastAsia="Times New Roman"/>
          <w:b/>
          <w:bCs/>
          <w:sz w:val="24"/>
          <w:szCs w:val="24"/>
        </w:rPr>
        <w:fldChar w:fldCharType="begin"/>
      </w:r>
      <w:r>
        <w:rPr>
          <w:rFonts w:eastAsia="Times New Roman"/>
          <w:b/>
          <w:bCs/>
          <w:sz w:val="24"/>
          <w:szCs w:val="24"/>
        </w:rPr>
        <w:instrText xml:space="preserve"> PAGEREF _Toc300000089 \h </w:instrText>
      </w:r>
      <w:r>
        <w:rPr>
          <w:rFonts w:eastAsia="Times New Roman"/>
          <w:b/>
          <w:bCs/>
          <w:sz w:val="24"/>
          <w:szCs w:val="24"/>
        </w:rPr>
        <w:fldChar w:fldCharType="separate"/>
      </w:r>
      <w:r>
        <w:rPr>
          <w:rFonts w:eastAsia="Times New Roman"/>
          <w:b/>
          <w:bCs/>
          <w:sz w:val="24"/>
          <w:szCs w:val="24"/>
        </w:rPr>
        <w:t>59</w:t>
      </w:r>
      <w:r>
        <w:rPr>
          <w:rFonts w:eastAsia="Times New Roman"/>
          <w:b/>
          <w:bCs/>
          <w:sz w:val="24"/>
          <w:szCs w:val="24"/>
        </w:rPr>
        <w:fldChar w:fldCharType="end"/>
      </w:r>
      <w:r>
        <w:rPr>
          <w:rFonts w:eastAsia="Times New Roman"/>
          <w:b/>
          <w:bCs/>
          <w:sz w:val="24"/>
          <w:szCs w:val="24"/>
        </w:rPr>
        <w:fldChar w:fldCharType="end"/>
      </w:r>
    </w:p>
    <w:p>
      <w:pPr>
        <w:tabs>
          <w:tab w:val="right" w:leader="dot" w:pos="9628"/>
        </w:tabs>
        <w:spacing w:before="180" w:after="180"/>
        <w:rPr>
          <w:rFonts w:eastAsia="Times New Roman"/>
          <w:b/>
          <w:bCs/>
          <w:sz w:val="24"/>
          <w:szCs w:val="24"/>
        </w:rPr>
      </w:pPr>
      <w:r>
        <w:fldChar w:fldCharType="begin"/>
      </w:r>
      <w:r>
        <w:instrText xml:space="preserve"> HYPERLINK \l "_Toc300000090" </w:instrText>
      </w:r>
      <w:r>
        <w:fldChar w:fldCharType="separate"/>
      </w:r>
      <w:r>
        <w:rPr>
          <w:rFonts w:hint="eastAsia" w:ascii="宋体" w:hAnsi="宋体" w:cs="宋体"/>
          <w:b/>
          <w:bCs/>
          <w:color w:val="000000"/>
          <w:sz w:val="24"/>
          <w:szCs w:val="24"/>
        </w:rPr>
        <w:t>第六节</w:t>
      </w:r>
      <w:r>
        <w:rPr>
          <w:rFonts w:eastAsia="Times New Roman"/>
          <w:b/>
          <w:bCs/>
          <w:color w:val="000000"/>
          <w:sz w:val="24"/>
          <w:szCs w:val="24"/>
        </w:rPr>
        <w:t xml:space="preserve"> </w:t>
      </w:r>
      <w:r>
        <w:rPr>
          <w:rFonts w:hint="eastAsia" w:ascii="宋体" w:hAnsi="宋体" w:cs="宋体"/>
          <w:b/>
          <w:bCs/>
          <w:color w:val="000000"/>
          <w:sz w:val="24"/>
          <w:szCs w:val="24"/>
        </w:rPr>
        <w:t>股份变动及股东情况</w:t>
      </w:r>
      <w:r>
        <w:rPr>
          <w:rFonts w:eastAsia="Times New Roman"/>
          <w:b/>
          <w:bCs/>
          <w:sz w:val="24"/>
          <w:szCs w:val="24"/>
        </w:rPr>
        <w:tab/>
      </w:r>
      <w:r>
        <w:rPr>
          <w:rFonts w:eastAsia="Times New Roman"/>
          <w:b/>
          <w:bCs/>
          <w:sz w:val="24"/>
          <w:szCs w:val="24"/>
        </w:rPr>
        <w:fldChar w:fldCharType="begin"/>
      </w:r>
      <w:r>
        <w:rPr>
          <w:rFonts w:eastAsia="Times New Roman"/>
          <w:b/>
          <w:bCs/>
          <w:sz w:val="24"/>
          <w:szCs w:val="24"/>
        </w:rPr>
        <w:instrText xml:space="preserve"> PAGEREF _Toc300000090 \h </w:instrText>
      </w:r>
      <w:r>
        <w:rPr>
          <w:rFonts w:eastAsia="Times New Roman"/>
          <w:b/>
          <w:bCs/>
          <w:sz w:val="24"/>
          <w:szCs w:val="24"/>
        </w:rPr>
        <w:fldChar w:fldCharType="separate"/>
      </w:r>
      <w:r>
        <w:rPr>
          <w:rFonts w:eastAsia="Times New Roman"/>
          <w:b/>
          <w:bCs/>
          <w:sz w:val="24"/>
          <w:szCs w:val="24"/>
        </w:rPr>
        <w:t>65</w:t>
      </w:r>
      <w:r>
        <w:rPr>
          <w:rFonts w:eastAsia="Times New Roman"/>
          <w:b/>
          <w:bCs/>
          <w:sz w:val="24"/>
          <w:szCs w:val="24"/>
        </w:rPr>
        <w:fldChar w:fldCharType="end"/>
      </w:r>
      <w:r>
        <w:rPr>
          <w:rFonts w:eastAsia="Times New Roman"/>
          <w:b/>
          <w:bCs/>
          <w:sz w:val="24"/>
          <w:szCs w:val="24"/>
        </w:rPr>
        <w:fldChar w:fldCharType="end"/>
      </w:r>
    </w:p>
    <w:p>
      <w:pPr>
        <w:tabs>
          <w:tab w:val="right" w:leader="dot" w:pos="9628"/>
        </w:tabs>
        <w:spacing w:before="180" w:after="180"/>
        <w:rPr>
          <w:rFonts w:eastAsia="Times New Roman"/>
          <w:b/>
          <w:bCs/>
          <w:sz w:val="24"/>
          <w:szCs w:val="24"/>
        </w:rPr>
      </w:pPr>
      <w:r>
        <w:fldChar w:fldCharType="begin"/>
      </w:r>
      <w:r>
        <w:instrText xml:space="preserve"> HYPERLINK \l "_Toc300000090" </w:instrText>
      </w:r>
      <w:r>
        <w:fldChar w:fldCharType="separate"/>
      </w:r>
      <w:r>
        <w:rPr>
          <w:rFonts w:hint="eastAsia" w:ascii="宋体" w:hAnsi="宋体" w:cs="宋体"/>
          <w:b/>
          <w:bCs/>
          <w:color w:val="000000"/>
          <w:sz w:val="24"/>
          <w:szCs w:val="24"/>
        </w:rPr>
        <w:t>第七节</w:t>
      </w:r>
      <w:r>
        <w:rPr>
          <w:rFonts w:eastAsia="Times New Roman"/>
          <w:b/>
          <w:bCs/>
          <w:color w:val="000000"/>
          <w:sz w:val="24"/>
          <w:szCs w:val="24"/>
        </w:rPr>
        <w:t xml:space="preserve"> </w:t>
      </w:r>
      <w:r>
        <w:rPr>
          <w:rFonts w:hint="eastAsia" w:ascii="宋体" w:hAnsi="宋体" w:cs="宋体"/>
          <w:b/>
          <w:bCs/>
          <w:color w:val="000000"/>
          <w:sz w:val="24"/>
          <w:szCs w:val="24"/>
        </w:rPr>
        <w:t>优先股相关情况</w:t>
      </w:r>
      <w:r>
        <w:rPr>
          <w:rFonts w:eastAsia="Times New Roman"/>
          <w:b/>
          <w:bCs/>
          <w:sz w:val="24"/>
          <w:szCs w:val="24"/>
        </w:rPr>
        <w:tab/>
      </w:r>
      <w:r>
        <w:rPr>
          <w:rFonts w:eastAsia="Times New Roman"/>
          <w:b/>
          <w:bCs/>
          <w:sz w:val="24"/>
          <w:szCs w:val="24"/>
        </w:rPr>
        <w:fldChar w:fldCharType="begin"/>
      </w:r>
      <w:r>
        <w:rPr>
          <w:rFonts w:eastAsia="Times New Roman"/>
          <w:b/>
          <w:bCs/>
          <w:sz w:val="24"/>
          <w:szCs w:val="24"/>
        </w:rPr>
        <w:instrText xml:space="preserve"> PAGEREF _Toc300000090 \h </w:instrText>
      </w:r>
      <w:r>
        <w:rPr>
          <w:rFonts w:eastAsia="Times New Roman"/>
          <w:b/>
          <w:bCs/>
          <w:sz w:val="24"/>
          <w:szCs w:val="24"/>
        </w:rPr>
        <w:fldChar w:fldCharType="separate"/>
      </w:r>
      <w:r>
        <w:rPr>
          <w:rFonts w:eastAsia="Times New Roman"/>
          <w:b/>
          <w:bCs/>
          <w:sz w:val="24"/>
          <w:szCs w:val="24"/>
        </w:rPr>
        <w:t>65</w:t>
      </w:r>
      <w:r>
        <w:rPr>
          <w:rFonts w:eastAsia="Times New Roman"/>
          <w:b/>
          <w:bCs/>
          <w:sz w:val="24"/>
          <w:szCs w:val="24"/>
        </w:rPr>
        <w:fldChar w:fldCharType="end"/>
      </w:r>
      <w:r>
        <w:rPr>
          <w:rFonts w:eastAsia="Times New Roman"/>
          <w:b/>
          <w:bCs/>
          <w:sz w:val="24"/>
          <w:szCs w:val="24"/>
        </w:rPr>
        <w:fldChar w:fldCharType="end"/>
      </w:r>
    </w:p>
    <w:p>
      <w:pPr>
        <w:tabs>
          <w:tab w:val="right" w:leader="dot" w:pos="9628"/>
        </w:tabs>
        <w:spacing w:before="180" w:after="180"/>
        <w:rPr>
          <w:rFonts w:eastAsia="Times New Roman"/>
          <w:b/>
          <w:bCs/>
          <w:sz w:val="24"/>
          <w:szCs w:val="24"/>
        </w:rPr>
      </w:pPr>
      <w:r>
        <w:fldChar w:fldCharType="begin"/>
      </w:r>
      <w:r>
        <w:instrText xml:space="preserve"> HYPERLINK \l "_Toc300000091" </w:instrText>
      </w:r>
      <w:r>
        <w:fldChar w:fldCharType="separate"/>
      </w:r>
      <w:r>
        <w:rPr>
          <w:rFonts w:hint="eastAsia" w:ascii="宋体" w:hAnsi="宋体" w:cs="宋体"/>
          <w:b/>
          <w:bCs/>
          <w:color w:val="000000"/>
          <w:sz w:val="24"/>
          <w:szCs w:val="24"/>
        </w:rPr>
        <w:t>第八节</w:t>
      </w:r>
      <w:r>
        <w:rPr>
          <w:rFonts w:eastAsia="Times New Roman"/>
          <w:b/>
          <w:bCs/>
          <w:color w:val="000000"/>
          <w:sz w:val="24"/>
          <w:szCs w:val="24"/>
        </w:rPr>
        <w:t xml:space="preserve"> </w:t>
      </w:r>
      <w:r>
        <w:rPr>
          <w:rFonts w:hint="eastAsia" w:ascii="宋体" w:hAnsi="宋体" w:cs="宋体"/>
          <w:b/>
          <w:bCs/>
          <w:color w:val="000000"/>
          <w:sz w:val="24"/>
          <w:szCs w:val="24"/>
        </w:rPr>
        <w:t>董事、监事、高级管理人员和员工情况</w:t>
      </w:r>
      <w:r>
        <w:rPr>
          <w:rFonts w:eastAsia="Times New Roman"/>
          <w:b/>
          <w:bCs/>
          <w:sz w:val="24"/>
          <w:szCs w:val="24"/>
        </w:rPr>
        <w:tab/>
      </w:r>
      <w:r>
        <w:rPr>
          <w:rFonts w:eastAsia="Times New Roman"/>
          <w:b/>
          <w:bCs/>
          <w:sz w:val="24"/>
          <w:szCs w:val="24"/>
        </w:rPr>
        <w:fldChar w:fldCharType="begin"/>
      </w:r>
      <w:r>
        <w:rPr>
          <w:rFonts w:eastAsia="Times New Roman"/>
          <w:b/>
          <w:bCs/>
          <w:sz w:val="24"/>
          <w:szCs w:val="24"/>
        </w:rPr>
        <w:instrText xml:space="preserve"> PAGEREF _Toc300000091 \h </w:instrText>
      </w:r>
      <w:r>
        <w:rPr>
          <w:rFonts w:eastAsia="Times New Roman"/>
          <w:b/>
          <w:bCs/>
          <w:sz w:val="24"/>
          <w:szCs w:val="24"/>
        </w:rPr>
        <w:fldChar w:fldCharType="separate"/>
      </w:r>
      <w:r>
        <w:rPr>
          <w:rFonts w:eastAsia="Times New Roman"/>
          <w:b/>
          <w:bCs/>
          <w:sz w:val="24"/>
          <w:szCs w:val="24"/>
        </w:rPr>
        <w:t>66</w:t>
      </w:r>
      <w:r>
        <w:rPr>
          <w:rFonts w:eastAsia="Times New Roman"/>
          <w:b/>
          <w:bCs/>
          <w:sz w:val="24"/>
          <w:szCs w:val="24"/>
        </w:rPr>
        <w:fldChar w:fldCharType="end"/>
      </w:r>
      <w:r>
        <w:rPr>
          <w:rFonts w:eastAsia="Times New Roman"/>
          <w:b/>
          <w:bCs/>
          <w:sz w:val="24"/>
          <w:szCs w:val="24"/>
        </w:rPr>
        <w:fldChar w:fldCharType="end"/>
      </w:r>
    </w:p>
    <w:p>
      <w:pPr>
        <w:tabs>
          <w:tab w:val="right" w:leader="dot" w:pos="9628"/>
        </w:tabs>
        <w:spacing w:before="180" w:after="180"/>
        <w:rPr>
          <w:rFonts w:eastAsia="Times New Roman"/>
          <w:b/>
          <w:bCs/>
          <w:sz w:val="24"/>
          <w:szCs w:val="24"/>
        </w:rPr>
      </w:pPr>
      <w:r>
        <w:fldChar w:fldCharType="begin"/>
      </w:r>
      <w:r>
        <w:instrText xml:space="preserve"> HYPERLINK \l "_Toc300000092" </w:instrText>
      </w:r>
      <w:r>
        <w:fldChar w:fldCharType="separate"/>
      </w:r>
      <w:r>
        <w:rPr>
          <w:rFonts w:hint="eastAsia" w:ascii="宋体" w:hAnsi="宋体" w:cs="宋体"/>
          <w:b/>
          <w:bCs/>
          <w:color w:val="000000"/>
          <w:sz w:val="24"/>
          <w:szCs w:val="24"/>
        </w:rPr>
        <w:t>第九节</w:t>
      </w:r>
      <w:r>
        <w:rPr>
          <w:rFonts w:eastAsia="Times New Roman"/>
          <w:b/>
          <w:bCs/>
          <w:color w:val="000000"/>
          <w:sz w:val="24"/>
          <w:szCs w:val="24"/>
        </w:rPr>
        <w:t xml:space="preserve"> </w:t>
      </w:r>
      <w:r>
        <w:rPr>
          <w:rFonts w:hint="eastAsia" w:ascii="宋体" w:hAnsi="宋体" w:cs="宋体"/>
          <w:b/>
          <w:bCs/>
          <w:color w:val="000000"/>
          <w:sz w:val="24"/>
          <w:szCs w:val="24"/>
        </w:rPr>
        <w:t>公司治理</w:t>
      </w:r>
      <w:r>
        <w:rPr>
          <w:rFonts w:eastAsia="Times New Roman"/>
          <w:b/>
          <w:bCs/>
          <w:sz w:val="24"/>
          <w:szCs w:val="24"/>
        </w:rPr>
        <w:tab/>
      </w:r>
      <w:r>
        <w:rPr>
          <w:rFonts w:eastAsia="Times New Roman"/>
          <w:b/>
          <w:bCs/>
          <w:sz w:val="24"/>
          <w:szCs w:val="24"/>
        </w:rPr>
        <w:fldChar w:fldCharType="begin"/>
      </w:r>
      <w:r>
        <w:rPr>
          <w:rFonts w:eastAsia="Times New Roman"/>
          <w:b/>
          <w:bCs/>
          <w:sz w:val="24"/>
          <w:szCs w:val="24"/>
        </w:rPr>
        <w:instrText xml:space="preserve"> PAGEREF _Toc300000092 \h </w:instrText>
      </w:r>
      <w:r>
        <w:rPr>
          <w:rFonts w:eastAsia="Times New Roman"/>
          <w:b/>
          <w:bCs/>
          <w:sz w:val="24"/>
          <w:szCs w:val="24"/>
        </w:rPr>
        <w:fldChar w:fldCharType="separate"/>
      </w:r>
      <w:r>
        <w:rPr>
          <w:rFonts w:eastAsia="Times New Roman"/>
          <w:b/>
          <w:bCs/>
          <w:sz w:val="24"/>
          <w:szCs w:val="24"/>
        </w:rPr>
        <w:t>77</w:t>
      </w:r>
      <w:r>
        <w:rPr>
          <w:rFonts w:eastAsia="Times New Roman"/>
          <w:b/>
          <w:bCs/>
          <w:sz w:val="24"/>
          <w:szCs w:val="24"/>
        </w:rPr>
        <w:fldChar w:fldCharType="end"/>
      </w:r>
      <w:r>
        <w:rPr>
          <w:rFonts w:eastAsia="Times New Roman"/>
          <w:b/>
          <w:bCs/>
          <w:sz w:val="24"/>
          <w:szCs w:val="24"/>
        </w:rPr>
        <w:fldChar w:fldCharType="end"/>
      </w:r>
    </w:p>
    <w:p>
      <w:pPr>
        <w:tabs>
          <w:tab w:val="right" w:leader="dot" w:pos="9628"/>
        </w:tabs>
        <w:spacing w:before="180" w:after="180"/>
        <w:rPr>
          <w:rFonts w:eastAsia="Times New Roman"/>
          <w:b/>
          <w:bCs/>
          <w:sz w:val="24"/>
          <w:szCs w:val="24"/>
        </w:rPr>
      </w:pPr>
      <w:r>
        <w:fldChar w:fldCharType="begin"/>
      </w:r>
      <w:r>
        <w:instrText xml:space="preserve"> HYPERLINK \l "_Toc300000093" </w:instrText>
      </w:r>
      <w:r>
        <w:fldChar w:fldCharType="separate"/>
      </w:r>
      <w:r>
        <w:rPr>
          <w:rFonts w:hint="eastAsia" w:ascii="宋体" w:hAnsi="宋体" w:cs="宋体"/>
          <w:b/>
          <w:bCs/>
          <w:color w:val="000000"/>
          <w:sz w:val="24"/>
          <w:szCs w:val="24"/>
        </w:rPr>
        <w:t>第十节</w:t>
      </w:r>
      <w:r>
        <w:rPr>
          <w:rFonts w:eastAsia="Times New Roman"/>
          <w:b/>
          <w:bCs/>
          <w:color w:val="000000"/>
          <w:sz w:val="24"/>
          <w:szCs w:val="24"/>
        </w:rPr>
        <w:t xml:space="preserve"> </w:t>
      </w:r>
      <w:r>
        <w:rPr>
          <w:rFonts w:hint="eastAsia" w:ascii="宋体" w:hAnsi="宋体" w:cs="宋体"/>
          <w:b/>
          <w:bCs/>
          <w:color w:val="000000"/>
          <w:sz w:val="24"/>
          <w:szCs w:val="24"/>
        </w:rPr>
        <w:t>公司债券相关情况</w:t>
      </w:r>
      <w:r>
        <w:rPr>
          <w:rFonts w:eastAsia="Times New Roman"/>
          <w:b/>
          <w:bCs/>
          <w:sz w:val="24"/>
          <w:szCs w:val="24"/>
        </w:rPr>
        <w:tab/>
      </w:r>
      <w:r>
        <w:rPr>
          <w:rFonts w:eastAsia="Times New Roman"/>
          <w:b/>
          <w:bCs/>
          <w:sz w:val="24"/>
          <w:szCs w:val="24"/>
        </w:rPr>
        <w:fldChar w:fldCharType="begin"/>
      </w:r>
      <w:r>
        <w:rPr>
          <w:rFonts w:eastAsia="Times New Roman"/>
          <w:b/>
          <w:bCs/>
          <w:sz w:val="24"/>
          <w:szCs w:val="24"/>
        </w:rPr>
        <w:instrText xml:space="preserve"> PAGEREF _Toc300000093 \h </w:instrText>
      </w:r>
      <w:r>
        <w:rPr>
          <w:rFonts w:eastAsia="Times New Roman"/>
          <w:b/>
          <w:bCs/>
          <w:sz w:val="24"/>
          <w:szCs w:val="24"/>
        </w:rPr>
        <w:fldChar w:fldCharType="separate"/>
      </w:r>
      <w:r>
        <w:rPr>
          <w:rFonts w:eastAsia="Times New Roman"/>
          <w:b/>
          <w:bCs/>
          <w:sz w:val="24"/>
          <w:szCs w:val="24"/>
        </w:rPr>
        <w:t>82</w:t>
      </w:r>
      <w:r>
        <w:rPr>
          <w:rFonts w:eastAsia="Times New Roman"/>
          <w:b/>
          <w:bCs/>
          <w:sz w:val="24"/>
          <w:szCs w:val="24"/>
        </w:rPr>
        <w:fldChar w:fldCharType="end"/>
      </w:r>
      <w:r>
        <w:rPr>
          <w:rFonts w:eastAsia="Times New Roman"/>
          <w:b/>
          <w:bCs/>
          <w:sz w:val="24"/>
          <w:szCs w:val="24"/>
        </w:rPr>
        <w:fldChar w:fldCharType="end"/>
      </w:r>
    </w:p>
    <w:p>
      <w:pPr>
        <w:tabs>
          <w:tab w:val="right" w:leader="dot" w:pos="9628"/>
        </w:tabs>
        <w:spacing w:before="180" w:after="180"/>
        <w:rPr>
          <w:rFonts w:eastAsia="Times New Roman"/>
          <w:b/>
          <w:bCs/>
          <w:sz w:val="24"/>
          <w:szCs w:val="24"/>
        </w:rPr>
      </w:pPr>
      <w:r>
        <w:fldChar w:fldCharType="begin"/>
      </w:r>
      <w:r>
        <w:instrText xml:space="preserve"> HYPERLINK \l "_Toc300000094" </w:instrText>
      </w:r>
      <w:r>
        <w:fldChar w:fldCharType="separate"/>
      </w:r>
      <w:r>
        <w:rPr>
          <w:rFonts w:hint="eastAsia" w:ascii="宋体" w:hAnsi="宋体" w:cs="宋体"/>
          <w:b/>
          <w:bCs/>
          <w:color w:val="000000"/>
          <w:sz w:val="24"/>
          <w:szCs w:val="24"/>
        </w:rPr>
        <w:t>第十一节</w:t>
      </w:r>
      <w:r>
        <w:rPr>
          <w:rFonts w:eastAsia="Times New Roman"/>
          <w:b/>
          <w:bCs/>
          <w:color w:val="000000"/>
          <w:sz w:val="24"/>
          <w:szCs w:val="24"/>
        </w:rPr>
        <w:t xml:space="preserve"> </w:t>
      </w:r>
      <w:r>
        <w:rPr>
          <w:rFonts w:hint="eastAsia" w:ascii="宋体" w:hAnsi="宋体" w:cs="宋体"/>
          <w:b/>
          <w:bCs/>
          <w:color w:val="000000"/>
          <w:sz w:val="24"/>
          <w:szCs w:val="24"/>
        </w:rPr>
        <w:t>财务报告</w:t>
      </w:r>
      <w:r>
        <w:rPr>
          <w:rFonts w:eastAsia="Times New Roman"/>
          <w:b/>
          <w:bCs/>
          <w:sz w:val="24"/>
          <w:szCs w:val="24"/>
        </w:rPr>
        <w:tab/>
      </w:r>
      <w:r>
        <w:rPr>
          <w:rFonts w:eastAsia="Times New Roman"/>
          <w:b/>
          <w:bCs/>
          <w:sz w:val="24"/>
          <w:szCs w:val="24"/>
        </w:rPr>
        <w:fldChar w:fldCharType="begin"/>
      </w:r>
      <w:r>
        <w:rPr>
          <w:rFonts w:eastAsia="Times New Roman"/>
          <w:b/>
          <w:bCs/>
          <w:sz w:val="24"/>
          <w:szCs w:val="24"/>
        </w:rPr>
        <w:instrText xml:space="preserve"> PAGEREF _Toc300000094 \h </w:instrText>
      </w:r>
      <w:r>
        <w:rPr>
          <w:rFonts w:eastAsia="Times New Roman"/>
          <w:b/>
          <w:bCs/>
          <w:sz w:val="24"/>
          <w:szCs w:val="24"/>
        </w:rPr>
        <w:fldChar w:fldCharType="separate"/>
      </w:r>
      <w:r>
        <w:rPr>
          <w:rFonts w:eastAsia="Times New Roman"/>
          <w:b/>
          <w:bCs/>
          <w:sz w:val="24"/>
          <w:szCs w:val="24"/>
        </w:rPr>
        <w:t>83</w:t>
      </w:r>
      <w:r>
        <w:rPr>
          <w:rFonts w:eastAsia="Times New Roman"/>
          <w:b/>
          <w:bCs/>
          <w:sz w:val="24"/>
          <w:szCs w:val="24"/>
        </w:rPr>
        <w:fldChar w:fldCharType="end"/>
      </w:r>
      <w:r>
        <w:rPr>
          <w:rFonts w:eastAsia="Times New Roman"/>
          <w:b/>
          <w:bCs/>
          <w:sz w:val="24"/>
          <w:szCs w:val="24"/>
        </w:rPr>
        <w:fldChar w:fldCharType="end"/>
      </w:r>
    </w:p>
    <w:p>
      <w:pPr>
        <w:tabs>
          <w:tab w:val="right" w:leader="dot" w:pos="9628"/>
        </w:tabs>
        <w:spacing w:before="180" w:after="180"/>
        <w:rPr>
          <w:rFonts w:eastAsia="Times New Roman"/>
          <w:b/>
          <w:bCs/>
          <w:sz w:val="24"/>
          <w:szCs w:val="24"/>
        </w:rPr>
      </w:pPr>
      <w:r>
        <w:fldChar w:fldCharType="begin"/>
      </w:r>
      <w:r>
        <w:instrText xml:space="preserve"> HYPERLINK \l "_Toc300000095" </w:instrText>
      </w:r>
      <w:r>
        <w:fldChar w:fldCharType="separate"/>
      </w:r>
      <w:r>
        <w:rPr>
          <w:rFonts w:hint="eastAsia" w:ascii="宋体" w:hAnsi="宋体" w:cs="宋体"/>
          <w:b/>
          <w:bCs/>
          <w:color w:val="000000"/>
          <w:sz w:val="24"/>
          <w:szCs w:val="24"/>
        </w:rPr>
        <w:t>第十二节</w:t>
      </w:r>
      <w:r>
        <w:rPr>
          <w:rFonts w:eastAsia="Times New Roman"/>
          <w:b/>
          <w:bCs/>
          <w:color w:val="000000"/>
          <w:sz w:val="24"/>
          <w:szCs w:val="24"/>
        </w:rPr>
        <w:t xml:space="preserve"> </w:t>
      </w:r>
      <w:r>
        <w:rPr>
          <w:rFonts w:hint="eastAsia" w:ascii="宋体" w:hAnsi="宋体" w:cs="宋体"/>
          <w:b/>
          <w:bCs/>
          <w:color w:val="000000"/>
          <w:sz w:val="24"/>
          <w:szCs w:val="24"/>
        </w:rPr>
        <w:t>备查文件目录</w:t>
      </w:r>
      <w:r>
        <w:rPr>
          <w:rFonts w:eastAsia="Times New Roman"/>
          <w:b/>
          <w:bCs/>
          <w:sz w:val="24"/>
          <w:szCs w:val="24"/>
        </w:rPr>
        <w:tab/>
      </w:r>
      <w:r>
        <w:rPr>
          <w:rFonts w:eastAsia="Times New Roman"/>
          <w:b/>
          <w:bCs/>
          <w:sz w:val="24"/>
          <w:szCs w:val="24"/>
        </w:rPr>
        <w:fldChar w:fldCharType="begin"/>
      </w:r>
      <w:r>
        <w:rPr>
          <w:rFonts w:eastAsia="Times New Roman"/>
          <w:b/>
          <w:bCs/>
          <w:sz w:val="24"/>
          <w:szCs w:val="24"/>
        </w:rPr>
        <w:instrText xml:space="preserve"> PAGEREF _Toc300000095 \h </w:instrText>
      </w:r>
      <w:r>
        <w:rPr>
          <w:rFonts w:eastAsia="Times New Roman"/>
          <w:b/>
          <w:bCs/>
          <w:sz w:val="24"/>
          <w:szCs w:val="24"/>
        </w:rPr>
        <w:fldChar w:fldCharType="separate"/>
      </w:r>
      <w:r>
        <w:rPr>
          <w:rFonts w:eastAsia="Times New Roman"/>
          <w:b/>
          <w:bCs/>
          <w:sz w:val="24"/>
          <w:szCs w:val="24"/>
        </w:rPr>
        <w:t>83</w:t>
      </w:r>
      <w:r>
        <w:rPr>
          <w:rFonts w:eastAsia="Times New Roman"/>
          <w:b/>
          <w:bCs/>
          <w:sz w:val="24"/>
          <w:szCs w:val="24"/>
        </w:rPr>
        <w:fldChar w:fldCharType="end"/>
      </w:r>
      <w:r>
        <w:rPr>
          <w:rFonts w:eastAsia="Times New Roman"/>
          <w:b/>
          <w:bCs/>
          <w:sz w:val="24"/>
          <w:szCs w:val="24"/>
        </w:rPr>
        <w:fldChar w:fldCharType="end"/>
      </w:r>
    </w:p>
    <w:p>
      <w:pPr>
        <w:tabs>
          <w:tab w:val="right" w:leader="dot" w:pos="9628"/>
        </w:tabs>
        <w:spacing w:before="180" w:after="180"/>
        <w:rPr>
          <w:rFonts w:eastAsia="Times New Roman"/>
        </w:rPr>
        <w:sectPr>
          <w:pgSz w:w="11906" w:h="16838"/>
          <w:pgMar w:top="1440" w:right="1134" w:bottom="1440" w:left="1134" w:header="851" w:footer="992" w:gutter="0"/>
          <w:cols w:space="425" w:num="1"/>
          <w:docGrid w:type="lines" w:linePitch="312" w:charSpace="0"/>
        </w:sectPr>
      </w:pPr>
      <w:r>
        <w:rPr>
          <w:rFonts w:eastAsia="Times New Roman"/>
          <w:b/>
          <w:bCs/>
          <w:sz w:val="24"/>
          <w:szCs w:val="24"/>
        </w:rPr>
        <w:fldChar w:fldCharType="end"/>
      </w:r>
    </w:p>
    <w:p>
      <w:pPr>
        <w:spacing w:before="700" w:after="700"/>
        <w:jc w:val="center"/>
        <w:rPr>
          <w:b/>
          <w:bCs/>
          <w:sz w:val="32"/>
          <w:szCs w:val="32"/>
        </w:rPr>
      </w:pPr>
      <w:r>
        <w:rPr>
          <w:rFonts w:hint="eastAsia"/>
          <w:b/>
          <w:bCs/>
          <w:sz w:val="32"/>
          <w:szCs w:val="32"/>
        </w:rPr>
        <w:t>释义</w:t>
      </w:r>
    </w:p>
    <w:tbl>
      <w:tblPr>
        <w:tblStyle w:val="8"/>
        <w:tblW w:w="9569" w:type="dxa"/>
        <w:tblInd w:w="28" w:type="dxa"/>
        <w:tblLayout w:type="fixed"/>
        <w:tblCellMar>
          <w:top w:w="0" w:type="dxa"/>
          <w:left w:w="28" w:type="dxa"/>
          <w:bottom w:w="0" w:type="dxa"/>
          <w:right w:w="28" w:type="dxa"/>
        </w:tblCellMar>
      </w:tblPr>
      <w:tblGrid>
        <w:gridCol w:w="3524"/>
        <w:gridCol w:w="621"/>
        <w:gridCol w:w="5424"/>
      </w:tblGrid>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释义项</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释义内容</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公司、本公司、发行人或海兰信</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北京海兰信数据科技股份有限公司</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中国证监会</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中国证券监督管理委员会</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深交所</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深圳证券交易所</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中国结算深圳分公司</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中国证券登记结算有限责任公司深圳分公司</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t>A</w:t>
            </w:r>
            <w:r>
              <w:rPr>
                <w:rFonts w:hint="eastAsia"/>
              </w:rPr>
              <w:t>股</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人民币普通股</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保荐机构</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海通证券股份有限公司</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元</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人民币元</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公司章程</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北京海兰信数据科技股份有限公司章程</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公司法</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中华人民共和国公司法</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证券法</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中华人民共和国证券法</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报告期</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t>2016</w:t>
            </w:r>
            <w:r>
              <w:rPr>
                <w:rFonts w:hint="eastAsia"/>
              </w:rPr>
              <w:t>年</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上海海兰劳雷</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上海海兰劳雷海洋科技有限公司，公司全资子公司</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劳雷香港</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劳雷海洋系统有限公司（原</w:t>
            </w:r>
            <w:r>
              <w:t>“</w:t>
            </w:r>
            <w:r>
              <w:rPr>
                <w:rFonts w:hint="eastAsia"/>
              </w:rPr>
              <w:t>劳雷工业有限公司</w:t>
            </w:r>
            <w:r>
              <w:t>”</w:t>
            </w:r>
            <w:r>
              <w:rPr>
                <w:rFonts w:hint="eastAsia"/>
              </w:rPr>
              <w:t>），公司控股子公司</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t>summerview</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t>summerview company limited</w:t>
            </w:r>
            <w:r>
              <w:rPr>
                <w:rFonts w:hint="eastAsia"/>
              </w:rPr>
              <w:t>，公司控股子公司</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北京劳雷</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北京劳雷海洋仪器有限公司，公司控股子公司</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劳雷产业</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劳雷香港、</w:t>
            </w:r>
            <w:r>
              <w:t>Summerview</w:t>
            </w:r>
            <w:r>
              <w:rPr>
                <w:rFonts w:hint="eastAsia"/>
              </w:rPr>
              <w:t>、劳雷北京的总称</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广东蓝图</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广东蓝图信息技术有限公司，公司控股子公司</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上海言盛</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上海言盛投资合伙企业（有限合伙）</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三沙海兰信</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三沙海兰信海洋信息科技有限公司，公司全资子公司</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江苏海兰</w:t>
            </w:r>
            <w:r>
              <w:t>/</w:t>
            </w:r>
            <w:r>
              <w:rPr>
                <w:rFonts w:hint="eastAsia"/>
              </w:rPr>
              <w:t>江苏海兰电气</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江苏海兰船舶电气系统科技有限公司，公司控股子公司</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香港海兰电气</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香港海兰船舶电气系统科技有限公司，公司控股子公司</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海兰天澄</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成都海兰天澄科技有限公司，公司控股子公司</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t>Rockson</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t>Rockson Automation GmbH</w:t>
            </w:r>
            <w:r>
              <w:rPr>
                <w:rFonts w:hint="eastAsia"/>
              </w:rPr>
              <w:t>，公司控股子公司</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江苏船舶</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江苏海兰信船舶设备有限公司，公司全资子公司</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海兰船舶</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北京海兰信船舶设备有限公司，公司全资子公司</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香港海兰信</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海兰信（香港）航海科技有限公司，公司全资子公司</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海兰弘义</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北京海兰弘义科技有限公司，公司全资子公司</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海兰盈华</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北京海兰盈华科技有限公司，公司全资子公司</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劳雷绿湾</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武汉劳雷绿湾船舶科技有限公司，公司参股公司</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边界电子</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杭州边界电子技术有限公司，公司参股公司</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中船投资</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中船投资发展有限公司</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黄海船厂</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黄海造船有限公司</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南通长青沙</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南通长青沙船舶工程有限公司</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扬子江船业</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江苏扬子江船业集团公司</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国开发展基金</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国开发展基金有限公司</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t>e</w:t>
            </w:r>
            <w:r>
              <w:rPr>
                <w:rFonts w:hint="eastAsia"/>
              </w:rPr>
              <w:t>航海</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t>e</w:t>
            </w:r>
            <w:r>
              <w:rPr>
                <w:rFonts w:hint="eastAsia"/>
              </w:rPr>
              <w:t>航海（</w:t>
            </w:r>
            <w:r>
              <w:t>e-Navigation</w:t>
            </w:r>
            <w:r>
              <w:rPr>
                <w:rFonts w:hint="eastAsia"/>
              </w:rPr>
              <w:t>），是指通过电子的方式，在船上和岸上，收集、综合、交换、显示和分析海事信息，以增强船舶泊位到泊位的全程航行能力，增强相应的海上服务、安全和保安能力，以及海洋环境保护的能力。</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t>IMO</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国际海事组织（</w:t>
            </w:r>
            <w:r>
              <w:t>International Maritime Organization</w:t>
            </w:r>
            <w:r>
              <w:rPr>
                <w:rFonts w:hint="eastAsia"/>
              </w:rPr>
              <w:t>），是联合国负责海上航行安全和防止船舶造成海洋污染的专门机构，该组织宗旨为促进各国间的航运技术合作，鼓励各国在促进海上安全，提高船舶航行效率，防止和控制船舶对海洋污染方面采取统一的标准，并处理有关的法律问题。</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t>CCS</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中国船级社（</w:t>
            </w:r>
            <w:r>
              <w:t>China Classification Society</w:t>
            </w:r>
            <w:r>
              <w:rPr>
                <w:rFonts w:hint="eastAsia"/>
              </w:rPr>
              <w:t>），是中国唯一从事船舶入级检验业务的专业机构。</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t>DNV-GL</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t>DNVGL</w:t>
            </w:r>
            <w:r>
              <w:rPr>
                <w:rFonts w:hint="eastAsia"/>
              </w:rPr>
              <w:t>集团</w:t>
            </w:r>
            <w:r>
              <w:t>(DNV GL Group)</w:t>
            </w:r>
            <w:r>
              <w:rPr>
                <w:rFonts w:hint="eastAsia"/>
              </w:rPr>
              <w:t>，由全球两大知名船级社</w:t>
            </w:r>
            <w:r>
              <w:t>DNV(</w:t>
            </w:r>
            <w:r>
              <w:rPr>
                <w:rFonts w:hint="eastAsia"/>
              </w:rPr>
              <w:t>挪威船级社</w:t>
            </w:r>
            <w:r>
              <w:t>)</w:t>
            </w:r>
            <w:r>
              <w:rPr>
                <w:rFonts w:hint="eastAsia"/>
              </w:rPr>
              <w:t>与</w:t>
            </w:r>
            <w:r>
              <w:t>GL(</w:t>
            </w:r>
            <w:r>
              <w:rPr>
                <w:rFonts w:hint="eastAsia"/>
              </w:rPr>
              <w:t>德国劳氏船级社</w:t>
            </w:r>
            <w:r>
              <w:t>)</w:t>
            </w:r>
            <w:r>
              <w:rPr>
                <w:rFonts w:hint="eastAsia"/>
              </w:rPr>
              <w:t>合并而成，位居全球三大管理系统认证机构之列。</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t>VDR</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船载航行数据记录仪（</w:t>
            </w:r>
            <w:r>
              <w:t>Voyage Data Recorder</w:t>
            </w:r>
            <w:r>
              <w:rPr>
                <w:rFonts w:hint="eastAsia"/>
              </w:rPr>
              <w:t>），本公司的主导产品之一，其主要功能是以安全和可恢复的方式实时记录并保存船舶航行过程中关于船位变化的物理状态、对船舶的命令和控制等数据信息，用于保障航行安全和分析航行事故原因，也称</w:t>
            </w:r>
            <w:r>
              <w:t>"</w:t>
            </w:r>
            <w:r>
              <w:rPr>
                <w:rFonts w:hint="eastAsia"/>
              </w:rPr>
              <w:t>船用黑匣子</w:t>
            </w:r>
            <w:r>
              <w:t>"</w:t>
            </w:r>
            <w:r>
              <w:rPr>
                <w:rFonts w:hint="eastAsia"/>
              </w:rPr>
              <w:t>。</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t>INS</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综合导航系统（</w:t>
            </w:r>
            <w:r>
              <w:t>Integrated Navigation System</w:t>
            </w:r>
            <w:r>
              <w:rPr>
                <w:rFonts w:hint="eastAsia"/>
              </w:rPr>
              <w:t>），该系统基于国际海事组织（</w:t>
            </w:r>
            <w:r>
              <w:t>IMO</w:t>
            </w:r>
            <w:r>
              <w:rPr>
                <w:rFonts w:hint="eastAsia"/>
              </w:rPr>
              <w:t>）综合导航系统（</w:t>
            </w:r>
            <w:r>
              <w:t>INS</w:t>
            </w:r>
            <w:r>
              <w:rPr>
                <w:rFonts w:hint="eastAsia"/>
              </w:rPr>
              <w:t>）最新性能标准，可覆盖船舶在航行中的航线规划、航线监控、安全防撞、导航控制数据、状态显示、警报管理、航迹控制等功能。</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t>IBS</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综合船桥系统（</w:t>
            </w:r>
            <w:r>
              <w:t>Integrated Bridge System</w:t>
            </w:r>
            <w:r>
              <w:rPr>
                <w:rFonts w:hint="eastAsia"/>
              </w:rPr>
              <w:t>），又称综合航行系统、自动化航行系统。该系统采用系统设计的方法，将船上的各种导航、操作控制和雷达避碰等设备有机地组合和功能综合，利用计算机、现代控制、信息处理等技术实现船舶航行的自动化。</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t>RADAR</w:t>
            </w:r>
            <w:r>
              <w:rPr>
                <w:rFonts w:hint="eastAsia"/>
              </w:rPr>
              <w:t>、导航雷达</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导航雷达是用于航行避让、船舶定位和引航的设备。雷达是测定本船位置和预防冲撞事故所不可缺少的系统，能够准确捕获其它船只、陆地、航线标志等物标信息，并显示在显示屏上，引导船只出入海湾和通过窄水道航行等。</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机舱自动化</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船舶综合机舱监控报警系统，简称</w:t>
            </w:r>
            <w:r>
              <w:t>“</w:t>
            </w:r>
            <w:r>
              <w:rPr>
                <w:rFonts w:hint="eastAsia"/>
              </w:rPr>
              <w:t>机舱自动化</w:t>
            </w:r>
            <w:r>
              <w:t>”</w:t>
            </w:r>
            <w:r>
              <w:rPr>
                <w:rFonts w:hint="eastAsia"/>
              </w:rPr>
              <w:t>，该系统能实现对轮机设备不间断地数据采集、监测和对各类泵组、阀门和风机等辅助设备的控制。此外，还可实现液货管理和电站管理，具备成熟的远程通信功能，通过远程网关能使岸上办公室更加方便地对船舶设备信息进行远程访问和远程诊断，为船员提供远程技术支持。</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t>VMS</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船舶远程监控管理系统（</w:t>
            </w:r>
            <w:r>
              <w:t>Vessel Manage System</w:t>
            </w:r>
            <w:r>
              <w:rPr>
                <w:rFonts w:hint="eastAsia"/>
              </w:rPr>
              <w:t>），本公司的主导产品之一，其主要功能是实现远洋船舶现场的航行信息、机舱信息、货物信息、海况信息、视频信息和船舶工作文件向岸端实时传输，实现船岸之间信息相互传递。</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t>Hi-Cloud</w:t>
            </w:r>
            <w:r>
              <w:rPr>
                <w:rFonts w:hint="eastAsia"/>
              </w:rPr>
              <w:t>船舶远程信息服务系统</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t>"Hi-Cloud"</w:t>
            </w:r>
            <w:r>
              <w:rPr>
                <w:rFonts w:hint="eastAsia"/>
              </w:rPr>
              <w:t>船舶远程信息服务系统，是通过海兰信</w:t>
            </w:r>
            <w:r>
              <w:t>VDR+</w:t>
            </w:r>
            <w:r>
              <w:rPr>
                <w:rFonts w:hint="eastAsia"/>
              </w:rPr>
              <w:t>、</w:t>
            </w:r>
            <w:r>
              <w:t>INS+</w:t>
            </w:r>
            <w:r>
              <w:rPr>
                <w:rFonts w:hint="eastAsia"/>
              </w:rPr>
              <w:t>或</w:t>
            </w:r>
            <w:r>
              <w:t>VMS+</w:t>
            </w:r>
            <w:r>
              <w:rPr>
                <w:rFonts w:hint="eastAsia"/>
              </w:rPr>
              <w:t>采集船舶的航行、机舱、货物、视频等数据，并通过卫星或</w:t>
            </w:r>
            <w:r>
              <w:t>3G/4G</w:t>
            </w:r>
            <w:r>
              <w:rPr>
                <w:rFonts w:hint="eastAsia"/>
              </w:rPr>
              <w:t>网络传递到岸端云服务器，同时采集全球的海洋气象洋流信息，在云服务器上对各种信息进行存储、梳理分析及挖掘，进而形成一个船舶信息服务平台。</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t>SCS</w:t>
            </w:r>
            <w:r>
              <w:rPr>
                <w:rFonts w:hint="eastAsia"/>
              </w:rPr>
              <w:t>、自动舵</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船舶操舵仪（</w:t>
            </w:r>
            <w:r>
              <w:t>Steering Control System</w:t>
            </w:r>
            <w:r>
              <w:rPr>
                <w:rFonts w:hint="eastAsia"/>
              </w:rPr>
              <w:t>），也称船舶操舵控制系统或自动操舵仪，本公司募集资金投资生产的产品之一。其主要功能是控制船的航行方向，通过手动或自动控制打舵改变航向。其工作原理主要是根据实际航行方向与目标航向的差值所产生的偏航信号控制舵机转动，使船舶按目标航向行驶。</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t>GYRO</w:t>
            </w:r>
            <w:r>
              <w:rPr>
                <w:rFonts w:hint="eastAsia"/>
              </w:rPr>
              <w:t>、罗经</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船用陀螺罗经</w:t>
            </w:r>
            <w:r>
              <w:t>(Gyro Compass)</w:t>
            </w:r>
            <w:r>
              <w:rPr>
                <w:rFonts w:hint="eastAsia"/>
              </w:rPr>
              <w:t>，也称电罗经，是利用高速陀螺受地球自转和引力作用能稳定指北的原理，为船舶设备指示方向，测定方向基准的仪器。船舶用罗经以确定航向和观测目标方位。</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t>ECDIS</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电子海图显示与信息系统（</w:t>
            </w:r>
            <w:r>
              <w:t>Electronic Chart Display and Information System</w:t>
            </w:r>
            <w:r>
              <w:rPr>
                <w:rFonts w:hint="eastAsia"/>
              </w:rPr>
              <w:t>，简称电子海图或</w:t>
            </w:r>
            <w:r>
              <w:t>ECDIS</w:t>
            </w:r>
            <w:r>
              <w:rPr>
                <w:rFonts w:hint="eastAsia"/>
              </w:rPr>
              <w:t>），是一种以数字形式表示、能动态地描绘海域地理信息和航海信息并能够进行自动化导航的综合系统。</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t>BNWAS</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船桥航行值班报警系统（</w:t>
            </w:r>
            <w:r>
              <w:t>Bridge Navigational Watch Alarm Systems</w:t>
            </w:r>
            <w:r>
              <w:rPr>
                <w:rFonts w:hint="eastAsia"/>
              </w:rPr>
              <w:t>，简称</w:t>
            </w:r>
            <w:r>
              <w:t>BNWAS</w:t>
            </w:r>
            <w:r>
              <w:rPr>
                <w:rFonts w:hint="eastAsia"/>
              </w:rPr>
              <w:t>），是一种用于监视值班驾驶员（</w:t>
            </w:r>
            <w:r>
              <w:t>ODW</w:t>
            </w:r>
            <w:r>
              <w:rPr>
                <w:rFonts w:hint="eastAsia"/>
              </w:rPr>
              <w:t>）意识的设备，若因为任何原因而使值班驾驶员失去履行其职责的能力时，该系统将自动向船长或其他有能力的值班驾驶员报警。</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t>VEIS</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船舶电子集成系统（</w:t>
            </w:r>
            <w:r>
              <w:t>Vessel Electronic Integrated System</w:t>
            </w:r>
            <w:r>
              <w:rPr>
                <w:rFonts w:hint="eastAsia"/>
              </w:rPr>
              <w:t>），是指供应商根据船厂的要求，向船厂提供完整功能的船舶电子产品整体解决方案，功能模块包括导航子系统、通信子系统、船岸信息管理子系统，服务范围包括系统总体设计、工程设计、系统开发、产品组织与提供、物流、安装调试、试航试验、船级社验收、船东验收和售后服务等相关工作。</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t>STTD</w:t>
            </w:r>
            <w:r>
              <w:rPr>
                <w:rFonts w:hint="eastAsia"/>
              </w:rPr>
              <w:t>、小目标探测雷达</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小目标探测雷达（</w:t>
            </w:r>
            <w:r>
              <w:t>Small Target Tracking and Detector</w:t>
            </w:r>
            <w:r>
              <w:rPr>
                <w:rFonts w:hint="eastAsia"/>
              </w:rPr>
              <w:t>），该系统基于海杂波处理独特算法的极小目标探测雷达技术，可有效提高对雷达回波信号的处理能力，采用先进的先跟踪后探测（</w:t>
            </w:r>
            <w:r>
              <w:t>TBD</w:t>
            </w:r>
            <w:r>
              <w:rPr>
                <w:rFonts w:hint="eastAsia"/>
              </w:rPr>
              <w:t>）算法，能够实现全自动跟踪、探测、识别海上的目标，尤其对雷达反射截面积（</w:t>
            </w:r>
            <w:r>
              <w:t>RCS</w:t>
            </w:r>
            <w:r>
              <w:rPr>
                <w:rFonts w:hint="eastAsia"/>
              </w:rPr>
              <w:t>）大于</w:t>
            </w:r>
            <w:r>
              <w:t>0.1</w:t>
            </w:r>
            <w:r>
              <w:rPr>
                <w:rFonts w:hint="eastAsia"/>
              </w:rPr>
              <w:t>平方米的海上极小目标具有良好的探测、跟踪和识别功能。</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t>AOSD</w:t>
            </w:r>
            <w:r>
              <w:rPr>
                <w:rFonts w:hint="eastAsia"/>
              </w:rPr>
              <w:t>、溢油探测雷达</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溢油探测雷达（</w:t>
            </w:r>
            <w:r>
              <w:t>Automatic Oil Spill Detector</w:t>
            </w:r>
            <w:r>
              <w:rPr>
                <w:rFonts w:hint="eastAsia"/>
              </w:rPr>
              <w:t>），该系统通过附着油污的水面杂波运动比不附着油污的水面杂波运动缓慢原理对海上溢油（污染物）进行探测、并实时跟踪溢油带的漂移与扩散态势，及时准确获取溢油带的位置、大小、厚度等信息，从而有效提升海洋污染治理效率。</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t>AIDR</w:t>
            </w:r>
            <w:r>
              <w:rPr>
                <w:rFonts w:hint="eastAsia"/>
              </w:rPr>
              <w:t>、测冰雷达</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测冰雷达（</w:t>
            </w:r>
            <w:r>
              <w:t>Autommatic Ice Detection Radar System</w:t>
            </w:r>
            <w:r>
              <w:rPr>
                <w:rFonts w:hint="eastAsia"/>
              </w:rPr>
              <w:t>），该系统利用小目标探测能力为船舶穿过冰雪覆盖的水面提供关键的导航信息，为避免船舶碰撞、探索最佳航线、降低燃料消耗和缩短航行时间提供保障。</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t>AWHC</w:t>
            </w:r>
            <w:r>
              <w:rPr>
                <w:rFonts w:hint="eastAsia"/>
              </w:rPr>
              <w:t>、海浪探测雷达</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海浪探测雷达（</w:t>
            </w:r>
            <w:r>
              <w:t>Automatic Wave Height Calculator</w:t>
            </w:r>
            <w:r>
              <w:rPr>
                <w:rFonts w:hint="eastAsia"/>
              </w:rPr>
              <w:t>），该系统能够实时获取频谱域上的海洋动态信息，包括波浪高度、波浪长度、波浪周期等动态信息，生成实时二维（或三维）海况图，为海洋动态信息研究和船舶航行安全与效率提供数据支撑。</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智能雷达监控系统</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智能雷达监控系统是以雷达、光电观察设备为主要传感器，采用先跟踪后探测（</w:t>
            </w:r>
            <w:r>
              <w:t>TBD</w:t>
            </w:r>
            <w:r>
              <w:rPr>
                <w:rFonts w:hint="eastAsia"/>
              </w:rPr>
              <w:t>）算法、独特的非恒定自适应门限设计，能够有效抑制海、雨、雪杂波，全自动精准提取雷达散射截面积（</w:t>
            </w:r>
            <w:r>
              <w:t>RCS</w:t>
            </w:r>
            <w:r>
              <w:rPr>
                <w:rFonts w:hint="eastAsia"/>
              </w:rPr>
              <w:t>）</w:t>
            </w:r>
            <w:r>
              <w:t>≥0.1</w:t>
            </w:r>
            <w:r>
              <w:rPr>
                <w:rFonts w:hint="eastAsia"/>
              </w:rPr>
              <w:t>㎡，物标高度</w:t>
            </w:r>
            <w:r>
              <w:t>≥1m</w:t>
            </w:r>
            <w:r>
              <w:rPr>
                <w:rFonts w:hint="eastAsia"/>
              </w:rPr>
              <w:t>的海上高速、低速目标，并对其有效跟踪、探测和识别，弥补了常规探测手段遗漏小型目标的缺陷。系统先进的多信息融合技术在岸与岸、船与船、岸与船之间多站点组网时，可避免因不同传感器探测到同一目标后产生重复信息，并能显示目标探测与识别的传感器来源，同时实现统一平台下的态势分析。</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物理海洋仪器设备</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主要包括温盐深测量系统、多参数光学测量仪、测流仪器、波潮仪和其他产品等。</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海洋物探仪器设备</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主要包括海洋</w:t>
            </w:r>
            <w:r>
              <w:t>/</w:t>
            </w:r>
            <w:r>
              <w:rPr>
                <w:rFonts w:hint="eastAsia"/>
              </w:rPr>
              <w:t>航空重力仪、海洋磁力仪、海底静力触探系统和海洋地震仪。</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海洋测绘仪器设备</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主要包括多波束测深系统、单波束测深系统、侧扫声纳系统、浅地层剖面仪系统、组合式侧扫声纳</w:t>
            </w:r>
            <w:r>
              <w:t>/</w:t>
            </w:r>
            <w:r>
              <w:rPr>
                <w:rFonts w:hint="eastAsia"/>
              </w:rPr>
              <w:t>浅地层剖面仪系统、深海拖曳系统、测绘软件和声呐同步控制器等。</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水下工程仪器设备</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主要包括声学释放器、声学通讯机、浮力材料、抗拽网海底安装座、</w:t>
            </w:r>
            <w:r>
              <w:t>ROV</w:t>
            </w:r>
            <w:r>
              <w:rPr>
                <w:rFonts w:hint="eastAsia"/>
              </w:rPr>
              <w:t>（有缆遥控潜器）、救生潜器、水下三维全景成像声纳系统、水下二维图像声纳、前视声纳系统、水下作业工具及设备、</w:t>
            </w:r>
            <w:r>
              <w:t>A</w:t>
            </w:r>
            <w:r>
              <w:rPr>
                <w:rFonts w:hint="eastAsia"/>
              </w:rPr>
              <w:t>型架与吊艇架、绞车、水密接插件、导航定位仪器设备和水下声学换能器等</w:t>
            </w:r>
          </w:p>
        </w:tc>
      </w:tr>
      <w:tr>
        <w:tblPrEx>
          <w:tblLayout w:type="fixed"/>
          <w:tblCellMar>
            <w:top w:w="0" w:type="dxa"/>
            <w:left w:w="28" w:type="dxa"/>
            <w:bottom w:w="0" w:type="dxa"/>
            <w:right w:w="28" w:type="dxa"/>
          </w:tblCellMar>
        </w:tblPrEx>
        <w:tc>
          <w:tcPr>
            <w:tcW w:w="35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无人智能监测平台</w:t>
            </w:r>
          </w:p>
        </w:tc>
        <w:tc>
          <w:tcPr>
            <w:tcW w:w="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指</w:t>
            </w:r>
          </w:p>
        </w:tc>
        <w:tc>
          <w:tcPr>
            <w:tcW w:w="54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该平台通过岸基船队综合管理系统，借助卫星通信链路，对多种自主无人艇、无人机进行统一管控的综合性海洋探测设备搭载平台系统。该系统包括柴油动力高速无人艇系列、电动力低速测量船系列、太阳能动力无人艇系列、波浪能水面无人艇系列和无人机系列，可通过搭载不同的任务载荷，在广阔的海域进行较长时间的路径跟踪和位置保持，并通过复合无线通讯系统，将监测数据传输到船队服务管理系统，并可在不同的操作终端进行远程控制。</w:t>
            </w:r>
          </w:p>
        </w:tc>
      </w:tr>
    </w:tbl>
    <w:p>
      <w:pPr>
        <w:sectPr>
          <w:pgSz w:w="11906" w:h="16838"/>
          <w:pgMar w:top="1440" w:right="1134" w:bottom="1440" w:left="1134" w:header="851" w:footer="992" w:gutter="0"/>
          <w:cols w:space="425" w:num="1"/>
          <w:docGrid w:type="lines" w:linePitch="312" w:charSpace="0"/>
        </w:sectPr>
      </w:pPr>
    </w:p>
    <w:p>
      <w:pPr>
        <w:pStyle w:val="5"/>
        <w:outlineLvl w:val="0"/>
      </w:pPr>
      <w:bookmarkStart w:id="1" w:name="_Toc300000085"/>
      <w:r>
        <w:rPr>
          <w:rFonts w:hint="eastAsia"/>
        </w:rPr>
        <w:t>第二节</w:t>
      </w:r>
      <w:r>
        <w:t xml:space="preserve"> </w:t>
      </w:r>
      <w:r>
        <w:rPr>
          <w:rFonts w:hint="eastAsia"/>
        </w:rPr>
        <w:t>公司简介和主要财务指标</w:t>
      </w:r>
      <w:bookmarkEnd w:id="1"/>
    </w:p>
    <w:p>
      <w:pPr>
        <w:pStyle w:val="10"/>
        <w:outlineLvl w:val="1"/>
      </w:pPr>
      <w:r>
        <w:rPr>
          <w:rFonts w:hint="eastAsia"/>
        </w:rPr>
        <w:t>一、公司信息</w:t>
      </w:r>
    </w:p>
    <w:tbl>
      <w:tblPr>
        <w:tblStyle w:val="8"/>
        <w:tblW w:w="9569" w:type="dxa"/>
        <w:tblInd w:w="28" w:type="dxa"/>
        <w:tblLayout w:type="fixed"/>
        <w:tblCellMar>
          <w:top w:w="0" w:type="dxa"/>
          <w:left w:w="28" w:type="dxa"/>
          <w:bottom w:w="0" w:type="dxa"/>
          <w:right w:w="28" w:type="dxa"/>
        </w:tblCellMar>
      </w:tblPr>
      <w:tblGrid>
        <w:gridCol w:w="2284"/>
        <w:gridCol w:w="2953"/>
        <w:gridCol w:w="2156"/>
        <w:gridCol w:w="2176"/>
      </w:tblGrid>
      <w:tr>
        <w:tblPrEx>
          <w:tblLayout w:type="fixed"/>
        </w:tblPrEx>
        <w:tc>
          <w:tcPr>
            <w:tcW w:w="228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rPr>
                <w:rFonts w:hint="eastAsia"/>
              </w:rPr>
              <w:t>股票简称</w:t>
            </w:r>
          </w:p>
        </w:tc>
        <w:tc>
          <w:tcPr>
            <w:tcW w:w="295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海兰信</w:t>
            </w:r>
          </w:p>
        </w:tc>
        <w:tc>
          <w:tcPr>
            <w:tcW w:w="215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rPr>
                <w:rFonts w:hint="eastAsia"/>
              </w:rPr>
              <w:t>股票代码</w:t>
            </w:r>
          </w:p>
        </w:tc>
        <w:tc>
          <w:tcPr>
            <w:tcW w:w="217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t>300065</w:t>
            </w:r>
          </w:p>
        </w:tc>
      </w:tr>
      <w:tr>
        <w:tblPrEx>
          <w:tblLayout w:type="fixed"/>
          <w:tblCellMar>
            <w:top w:w="0" w:type="dxa"/>
            <w:left w:w="28" w:type="dxa"/>
            <w:bottom w:w="0" w:type="dxa"/>
            <w:right w:w="28" w:type="dxa"/>
          </w:tblCellMar>
        </w:tblPrEx>
        <w:tc>
          <w:tcPr>
            <w:tcW w:w="228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rPr>
                <w:rFonts w:hint="eastAsia"/>
              </w:rPr>
              <w:t>公司的中文名称</w:t>
            </w:r>
          </w:p>
        </w:tc>
        <w:tc>
          <w:tcPr>
            <w:tcW w:w="7285" w:type="dxa"/>
            <w:gridSpan w:val="3"/>
            <w:tcBorders>
              <w:top w:val="single" w:color="auto" w:sz="4" w:space="0"/>
              <w:left w:val="single" w:color="auto" w:sz="4" w:space="0"/>
              <w:bottom w:val="single" w:color="auto" w:sz="4" w:space="0"/>
              <w:right w:val="single" w:color="auto" w:sz="4" w:space="0"/>
            </w:tcBorders>
            <w:vAlign w:val="center"/>
          </w:tcPr>
          <w:p>
            <w:pPr>
              <w:jc w:val="left"/>
            </w:pPr>
            <w:r>
              <w:rPr>
                <w:rFonts w:hint="eastAsia"/>
              </w:rPr>
              <w:t>北京海兰信数据科技股份有限公司</w:t>
            </w:r>
          </w:p>
        </w:tc>
      </w:tr>
      <w:tr>
        <w:tblPrEx>
          <w:tblLayout w:type="fixed"/>
          <w:tblCellMar>
            <w:top w:w="0" w:type="dxa"/>
            <w:left w:w="28" w:type="dxa"/>
            <w:bottom w:w="0" w:type="dxa"/>
            <w:right w:w="28" w:type="dxa"/>
          </w:tblCellMar>
        </w:tblPrEx>
        <w:tc>
          <w:tcPr>
            <w:tcW w:w="228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rPr>
                <w:rFonts w:hint="eastAsia"/>
              </w:rPr>
              <w:t>公司的中文简称</w:t>
            </w:r>
          </w:p>
        </w:tc>
        <w:tc>
          <w:tcPr>
            <w:tcW w:w="7285" w:type="dxa"/>
            <w:gridSpan w:val="3"/>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海兰信</w:t>
            </w:r>
          </w:p>
        </w:tc>
      </w:tr>
      <w:tr>
        <w:tblPrEx>
          <w:tblLayout w:type="fixed"/>
          <w:tblCellMar>
            <w:top w:w="0" w:type="dxa"/>
            <w:left w:w="28" w:type="dxa"/>
            <w:bottom w:w="0" w:type="dxa"/>
            <w:right w:w="28" w:type="dxa"/>
          </w:tblCellMar>
        </w:tblPrEx>
        <w:tc>
          <w:tcPr>
            <w:tcW w:w="228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rPr>
                <w:rFonts w:hint="eastAsia"/>
              </w:rPr>
              <w:t>公司的外文名称（如有）</w:t>
            </w:r>
          </w:p>
        </w:tc>
        <w:tc>
          <w:tcPr>
            <w:tcW w:w="7285" w:type="dxa"/>
            <w:gridSpan w:val="3"/>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t>Beijing Highlander Digital Technology Co., Ltd.</w:t>
            </w:r>
          </w:p>
        </w:tc>
      </w:tr>
      <w:tr>
        <w:tblPrEx>
          <w:tblLayout w:type="fixed"/>
          <w:tblCellMar>
            <w:top w:w="0" w:type="dxa"/>
            <w:left w:w="28" w:type="dxa"/>
            <w:bottom w:w="0" w:type="dxa"/>
            <w:right w:w="28" w:type="dxa"/>
          </w:tblCellMar>
        </w:tblPrEx>
        <w:tc>
          <w:tcPr>
            <w:tcW w:w="228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rPr>
                <w:rFonts w:hint="eastAsia"/>
              </w:rPr>
              <w:t>公司的外文名称缩写（如有）</w:t>
            </w:r>
          </w:p>
        </w:tc>
        <w:tc>
          <w:tcPr>
            <w:tcW w:w="7285" w:type="dxa"/>
            <w:gridSpan w:val="3"/>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t>Highlander</w:t>
            </w:r>
          </w:p>
        </w:tc>
      </w:tr>
      <w:tr>
        <w:tblPrEx>
          <w:tblLayout w:type="fixed"/>
          <w:tblCellMar>
            <w:top w:w="0" w:type="dxa"/>
            <w:left w:w="28" w:type="dxa"/>
            <w:bottom w:w="0" w:type="dxa"/>
            <w:right w:w="28" w:type="dxa"/>
          </w:tblCellMar>
        </w:tblPrEx>
        <w:tc>
          <w:tcPr>
            <w:tcW w:w="228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rPr>
                <w:rFonts w:hint="eastAsia"/>
              </w:rPr>
              <w:t>公司的法定代表人</w:t>
            </w:r>
          </w:p>
        </w:tc>
        <w:tc>
          <w:tcPr>
            <w:tcW w:w="7285" w:type="dxa"/>
            <w:gridSpan w:val="3"/>
            <w:tcBorders>
              <w:top w:val="single" w:color="auto" w:sz="4" w:space="0"/>
              <w:left w:val="single" w:color="auto" w:sz="4" w:space="0"/>
              <w:bottom w:val="single" w:color="auto" w:sz="4" w:space="0"/>
              <w:right w:val="single" w:color="auto" w:sz="4" w:space="0"/>
            </w:tcBorders>
            <w:vAlign w:val="center"/>
          </w:tcPr>
          <w:p>
            <w:pPr>
              <w:jc w:val="left"/>
            </w:pPr>
            <w:r>
              <w:rPr>
                <w:rFonts w:hint="eastAsia"/>
              </w:rPr>
              <w:t>申万秋</w:t>
            </w:r>
          </w:p>
        </w:tc>
      </w:tr>
      <w:tr>
        <w:tblPrEx>
          <w:tblLayout w:type="fixed"/>
          <w:tblCellMar>
            <w:top w:w="0" w:type="dxa"/>
            <w:left w:w="28" w:type="dxa"/>
            <w:bottom w:w="0" w:type="dxa"/>
            <w:right w:w="28" w:type="dxa"/>
          </w:tblCellMar>
        </w:tblPrEx>
        <w:tc>
          <w:tcPr>
            <w:tcW w:w="228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rPr>
                <w:rFonts w:hint="eastAsia"/>
              </w:rPr>
              <w:t>注册地址</w:t>
            </w:r>
          </w:p>
        </w:tc>
        <w:tc>
          <w:tcPr>
            <w:tcW w:w="7285" w:type="dxa"/>
            <w:gridSpan w:val="3"/>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北京市海淀区中关村东路</w:t>
            </w:r>
            <w:r>
              <w:t>1</w:t>
            </w:r>
            <w:r>
              <w:rPr>
                <w:rFonts w:hint="eastAsia"/>
              </w:rPr>
              <w:t>号清华科技园科技大厦</w:t>
            </w:r>
            <w:r>
              <w:t>C</w:t>
            </w:r>
            <w:r>
              <w:rPr>
                <w:rFonts w:hint="eastAsia"/>
              </w:rPr>
              <w:t>座</w:t>
            </w:r>
            <w:r>
              <w:t>1902</w:t>
            </w:r>
            <w:r>
              <w:rPr>
                <w:rFonts w:hint="eastAsia"/>
              </w:rPr>
              <w:t>室</w:t>
            </w:r>
          </w:p>
        </w:tc>
      </w:tr>
      <w:tr>
        <w:tblPrEx>
          <w:tblLayout w:type="fixed"/>
          <w:tblCellMar>
            <w:top w:w="0" w:type="dxa"/>
            <w:left w:w="28" w:type="dxa"/>
            <w:bottom w:w="0" w:type="dxa"/>
            <w:right w:w="28" w:type="dxa"/>
          </w:tblCellMar>
        </w:tblPrEx>
        <w:tc>
          <w:tcPr>
            <w:tcW w:w="228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rPr>
                <w:rFonts w:hint="eastAsia"/>
              </w:rPr>
              <w:t>注册地址的邮政编码</w:t>
            </w:r>
          </w:p>
        </w:tc>
        <w:tc>
          <w:tcPr>
            <w:tcW w:w="7285" w:type="dxa"/>
            <w:gridSpan w:val="3"/>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t>100084</w:t>
            </w:r>
          </w:p>
        </w:tc>
      </w:tr>
      <w:tr>
        <w:tblPrEx>
          <w:tblLayout w:type="fixed"/>
          <w:tblCellMar>
            <w:top w:w="0" w:type="dxa"/>
            <w:left w:w="28" w:type="dxa"/>
            <w:bottom w:w="0" w:type="dxa"/>
            <w:right w:w="28" w:type="dxa"/>
          </w:tblCellMar>
        </w:tblPrEx>
        <w:tc>
          <w:tcPr>
            <w:tcW w:w="228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rPr>
                <w:rFonts w:hint="eastAsia"/>
              </w:rPr>
              <w:t>办公地址</w:t>
            </w:r>
          </w:p>
        </w:tc>
        <w:tc>
          <w:tcPr>
            <w:tcW w:w="7285" w:type="dxa"/>
            <w:gridSpan w:val="3"/>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北京市海淀区中关村东路</w:t>
            </w:r>
            <w:r>
              <w:t>1</w:t>
            </w:r>
            <w:r>
              <w:rPr>
                <w:rFonts w:hint="eastAsia"/>
              </w:rPr>
              <w:t>号清华科技园科技大厦</w:t>
            </w:r>
            <w:r>
              <w:t>C</w:t>
            </w:r>
            <w:r>
              <w:rPr>
                <w:rFonts w:hint="eastAsia"/>
              </w:rPr>
              <w:t>座</w:t>
            </w:r>
            <w:r>
              <w:t>1902</w:t>
            </w:r>
            <w:r>
              <w:rPr>
                <w:rFonts w:hint="eastAsia"/>
              </w:rPr>
              <w:t>室</w:t>
            </w:r>
          </w:p>
        </w:tc>
      </w:tr>
      <w:tr>
        <w:tblPrEx>
          <w:tblLayout w:type="fixed"/>
          <w:tblCellMar>
            <w:top w:w="0" w:type="dxa"/>
            <w:left w:w="28" w:type="dxa"/>
            <w:bottom w:w="0" w:type="dxa"/>
            <w:right w:w="28" w:type="dxa"/>
          </w:tblCellMar>
        </w:tblPrEx>
        <w:tc>
          <w:tcPr>
            <w:tcW w:w="228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rPr>
                <w:rFonts w:hint="eastAsia"/>
              </w:rPr>
              <w:t>办公地址的邮政编码</w:t>
            </w:r>
          </w:p>
        </w:tc>
        <w:tc>
          <w:tcPr>
            <w:tcW w:w="7285" w:type="dxa"/>
            <w:gridSpan w:val="3"/>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t>100084</w:t>
            </w:r>
          </w:p>
        </w:tc>
      </w:tr>
      <w:tr>
        <w:tblPrEx>
          <w:tblLayout w:type="fixed"/>
          <w:tblCellMar>
            <w:top w:w="0" w:type="dxa"/>
            <w:left w:w="28" w:type="dxa"/>
            <w:bottom w:w="0" w:type="dxa"/>
            <w:right w:w="28" w:type="dxa"/>
          </w:tblCellMar>
        </w:tblPrEx>
        <w:tc>
          <w:tcPr>
            <w:tcW w:w="228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rPr>
                <w:rFonts w:hint="eastAsia"/>
              </w:rPr>
              <w:t>公司国际互联网网址</w:t>
            </w:r>
          </w:p>
        </w:tc>
        <w:tc>
          <w:tcPr>
            <w:tcW w:w="7285" w:type="dxa"/>
            <w:gridSpan w:val="3"/>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t>http://www.highlander.com.cn</w:t>
            </w:r>
          </w:p>
        </w:tc>
      </w:tr>
      <w:tr>
        <w:tblPrEx>
          <w:tblLayout w:type="fixed"/>
          <w:tblCellMar>
            <w:top w:w="0" w:type="dxa"/>
            <w:left w:w="28" w:type="dxa"/>
            <w:bottom w:w="0" w:type="dxa"/>
            <w:right w:w="28" w:type="dxa"/>
          </w:tblCellMar>
        </w:tblPrEx>
        <w:tc>
          <w:tcPr>
            <w:tcW w:w="228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rPr>
                <w:rFonts w:hint="eastAsia"/>
              </w:rPr>
              <w:t>电子信箱</w:t>
            </w:r>
          </w:p>
        </w:tc>
        <w:tc>
          <w:tcPr>
            <w:tcW w:w="7285" w:type="dxa"/>
            <w:gridSpan w:val="3"/>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t>HLX@highlander.com.cn</w:t>
            </w:r>
          </w:p>
        </w:tc>
      </w:tr>
    </w:tbl>
    <w:p>
      <w:pPr>
        <w:pStyle w:val="10"/>
        <w:outlineLvl w:val="1"/>
      </w:pPr>
      <w:r>
        <w:rPr>
          <w:rFonts w:hint="eastAsia"/>
        </w:rPr>
        <w:t>二、联系人和联系方式</w:t>
      </w:r>
    </w:p>
    <w:tbl>
      <w:tblPr>
        <w:tblStyle w:val="8"/>
        <w:tblW w:w="9569" w:type="dxa"/>
        <w:tblInd w:w="28" w:type="dxa"/>
        <w:tblLayout w:type="fixed"/>
        <w:tblCellMar>
          <w:top w:w="0" w:type="dxa"/>
          <w:left w:w="28" w:type="dxa"/>
          <w:bottom w:w="0" w:type="dxa"/>
          <w:right w:w="28" w:type="dxa"/>
        </w:tblCellMar>
      </w:tblPr>
      <w:tblGrid>
        <w:gridCol w:w="3189"/>
        <w:gridCol w:w="3190"/>
        <w:gridCol w:w="3190"/>
      </w:tblGrid>
      <w:tr>
        <w:tblPrEx>
          <w:tblLayout w:type="fixed"/>
          <w:tblCellMar>
            <w:top w:w="0" w:type="dxa"/>
            <w:left w:w="28" w:type="dxa"/>
            <w:bottom w:w="0" w:type="dxa"/>
            <w:right w:w="28" w:type="dxa"/>
          </w:tblCellMar>
        </w:tblPrEx>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p>
        </w:tc>
        <w:tc>
          <w:tcPr>
            <w:tcW w:w="319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董事会秘书</w:t>
            </w:r>
          </w:p>
        </w:tc>
        <w:tc>
          <w:tcPr>
            <w:tcW w:w="319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证券事务代表</w:t>
            </w:r>
          </w:p>
        </w:tc>
      </w:tr>
      <w:tr>
        <w:tblPrEx>
          <w:tblLayout w:type="fixed"/>
          <w:tblCellMar>
            <w:top w:w="0" w:type="dxa"/>
            <w:left w:w="28" w:type="dxa"/>
            <w:bottom w:w="0" w:type="dxa"/>
            <w:right w:w="28" w:type="dxa"/>
          </w:tblCellMar>
        </w:tblPrEx>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rPr>
                <w:rFonts w:hint="eastAsia"/>
              </w:rPr>
              <w:t>姓名</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姜楠</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葛井波</w:t>
            </w:r>
          </w:p>
        </w:tc>
      </w:tr>
      <w:tr>
        <w:tblPrEx>
          <w:tblLayout w:type="fixed"/>
          <w:tblCellMar>
            <w:top w:w="0" w:type="dxa"/>
            <w:left w:w="28" w:type="dxa"/>
            <w:bottom w:w="0" w:type="dxa"/>
            <w:right w:w="28" w:type="dxa"/>
          </w:tblCellMar>
        </w:tblPrEx>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rPr>
                <w:rFonts w:hint="eastAsia"/>
              </w:rPr>
              <w:t>联系地址</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北京市海淀区中关村东路</w:t>
            </w:r>
            <w:r>
              <w:t>1</w:t>
            </w:r>
            <w:r>
              <w:rPr>
                <w:rFonts w:hint="eastAsia"/>
              </w:rPr>
              <w:t>号清华科技园科技大厦</w:t>
            </w:r>
            <w:r>
              <w:t>C</w:t>
            </w:r>
            <w:r>
              <w:rPr>
                <w:rFonts w:hint="eastAsia"/>
              </w:rPr>
              <w:t>座</w:t>
            </w:r>
            <w:r>
              <w:t>1902</w:t>
            </w:r>
            <w:r>
              <w:rPr>
                <w:rFonts w:hint="eastAsia"/>
              </w:rPr>
              <w:t>室</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北京市海淀区中关村东路</w:t>
            </w:r>
            <w:r>
              <w:t>1</w:t>
            </w:r>
            <w:r>
              <w:rPr>
                <w:rFonts w:hint="eastAsia"/>
              </w:rPr>
              <w:t>号清华科技园科技大厦</w:t>
            </w:r>
            <w:r>
              <w:t>C</w:t>
            </w:r>
            <w:r>
              <w:rPr>
                <w:rFonts w:hint="eastAsia"/>
              </w:rPr>
              <w:t>座</w:t>
            </w:r>
            <w:r>
              <w:t>1902</w:t>
            </w:r>
            <w:r>
              <w:rPr>
                <w:rFonts w:hint="eastAsia"/>
              </w:rPr>
              <w:t>室</w:t>
            </w:r>
          </w:p>
        </w:tc>
      </w:tr>
      <w:tr>
        <w:tblPrEx>
          <w:tblLayout w:type="fixed"/>
          <w:tblCellMar>
            <w:top w:w="0" w:type="dxa"/>
            <w:left w:w="28" w:type="dxa"/>
            <w:bottom w:w="0" w:type="dxa"/>
            <w:right w:w="28" w:type="dxa"/>
          </w:tblCellMar>
        </w:tblPrEx>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rPr>
                <w:rFonts w:hint="eastAsia"/>
              </w:rPr>
              <w:t>电话</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w:t>
            </w:r>
            <w:r>
              <w:t>010</w:t>
            </w:r>
            <w:r>
              <w:rPr>
                <w:rFonts w:hint="eastAsia"/>
              </w:rPr>
              <w:t>）</w:t>
            </w:r>
            <w:r>
              <w:t>82158018</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w:t>
            </w:r>
            <w:r>
              <w:t>010</w:t>
            </w:r>
            <w:r>
              <w:rPr>
                <w:rFonts w:hint="eastAsia"/>
              </w:rPr>
              <w:t>）</w:t>
            </w:r>
            <w:r>
              <w:t>82151445</w:t>
            </w:r>
          </w:p>
        </w:tc>
      </w:tr>
      <w:tr>
        <w:tblPrEx>
          <w:tblLayout w:type="fixed"/>
          <w:tblCellMar>
            <w:top w:w="0" w:type="dxa"/>
            <w:left w:w="28" w:type="dxa"/>
            <w:bottom w:w="0" w:type="dxa"/>
            <w:right w:w="28" w:type="dxa"/>
          </w:tblCellMar>
        </w:tblPrEx>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rPr>
                <w:rFonts w:hint="eastAsia"/>
              </w:rPr>
              <w:t>传真</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w:t>
            </w:r>
            <w:r>
              <w:t>010</w:t>
            </w:r>
            <w:r>
              <w:rPr>
                <w:rFonts w:hint="eastAsia"/>
              </w:rPr>
              <w:t>）</w:t>
            </w:r>
            <w:r>
              <w:t>82150083</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w:t>
            </w:r>
            <w:r>
              <w:t>010</w:t>
            </w:r>
            <w:r>
              <w:rPr>
                <w:rFonts w:hint="eastAsia"/>
              </w:rPr>
              <w:t>）</w:t>
            </w:r>
            <w:r>
              <w:t>82150083</w:t>
            </w:r>
          </w:p>
        </w:tc>
      </w:tr>
      <w:tr>
        <w:tblPrEx>
          <w:tblLayout w:type="fixed"/>
          <w:tblCellMar>
            <w:top w:w="0" w:type="dxa"/>
            <w:left w:w="28" w:type="dxa"/>
            <w:bottom w:w="0" w:type="dxa"/>
            <w:right w:w="28" w:type="dxa"/>
          </w:tblCellMar>
        </w:tblPrEx>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rPr>
                <w:rFonts w:hint="eastAsia"/>
              </w:rPr>
              <w:t>电子信箱</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t>jiangn@highlander.com.cn</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t>gejb@highlander.com.cn</w:t>
            </w:r>
          </w:p>
        </w:tc>
      </w:tr>
    </w:tbl>
    <w:p>
      <w:pPr>
        <w:pStyle w:val="10"/>
        <w:outlineLvl w:val="1"/>
      </w:pPr>
      <w:r>
        <w:rPr>
          <w:rFonts w:hint="eastAsia"/>
        </w:rPr>
        <w:t>三、信息披露及备置地点</w:t>
      </w:r>
    </w:p>
    <w:tbl>
      <w:tblPr>
        <w:tblStyle w:val="8"/>
        <w:tblW w:w="9568" w:type="dxa"/>
        <w:tblInd w:w="28" w:type="dxa"/>
        <w:tblLayout w:type="fixed"/>
        <w:tblCellMar>
          <w:top w:w="0" w:type="dxa"/>
          <w:left w:w="28" w:type="dxa"/>
          <w:bottom w:w="0" w:type="dxa"/>
          <w:right w:w="28" w:type="dxa"/>
        </w:tblCellMar>
      </w:tblPr>
      <w:tblGrid>
        <w:gridCol w:w="3992"/>
        <w:gridCol w:w="5576"/>
      </w:tblGrid>
      <w:tr>
        <w:tblPrEx>
          <w:tblLayout w:type="fixed"/>
          <w:tblCellMar>
            <w:top w:w="0" w:type="dxa"/>
            <w:left w:w="28" w:type="dxa"/>
            <w:bottom w:w="0" w:type="dxa"/>
            <w:right w:w="28" w:type="dxa"/>
          </w:tblCellMar>
        </w:tblPrEx>
        <w:tc>
          <w:tcPr>
            <w:tcW w:w="399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rPr>
                <w:rFonts w:hint="eastAsia"/>
              </w:rPr>
              <w:t>公司选定的信息披露媒体的名称</w:t>
            </w:r>
          </w:p>
        </w:tc>
        <w:tc>
          <w:tcPr>
            <w:tcW w:w="557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《证券时报》</w:t>
            </w:r>
          </w:p>
        </w:tc>
      </w:tr>
      <w:tr>
        <w:tblPrEx>
          <w:tblLayout w:type="fixed"/>
          <w:tblCellMar>
            <w:top w:w="0" w:type="dxa"/>
            <w:left w:w="28" w:type="dxa"/>
            <w:bottom w:w="0" w:type="dxa"/>
            <w:right w:w="28" w:type="dxa"/>
          </w:tblCellMar>
        </w:tblPrEx>
        <w:tc>
          <w:tcPr>
            <w:tcW w:w="399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rPr>
                <w:rFonts w:hint="eastAsia"/>
              </w:rPr>
              <w:t>登载年度报告的中国证监会指定网站的网址</w:t>
            </w:r>
          </w:p>
        </w:tc>
        <w:tc>
          <w:tcPr>
            <w:tcW w:w="557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t>http://www.cninfo.com.cn</w:t>
            </w:r>
          </w:p>
        </w:tc>
      </w:tr>
      <w:tr>
        <w:tblPrEx>
          <w:tblLayout w:type="fixed"/>
          <w:tblCellMar>
            <w:top w:w="0" w:type="dxa"/>
            <w:left w:w="28" w:type="dxa"/>
            <w:bottom w:w="0" w:type="dxa"/>
            <w:right w:w="28" w:type="dxa"/>
          </w:tblCellMar>
        </w:tblPrEx>
        <w:tc>
          <w:tcPr>
            <w:tcW w:w="399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rPr>
                <w:rFonts w:hint="eastAsia"/>
              </w:rPr>
              <w:t>公司年度报告备置地点</w:t>
            </w:r>
          </w:p>
        </w:tc>
        <w:tc>
          <w:tcPr>
            <w:tcW w:w="557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北京市海淀区中关村东路</w:t>
            </w:r>
            <w:r>
              <w:t>1</w:t>
            </w:r>
            <w:r>
              <w:rPr>
                <w:rFonts w:hint="eastAsia"/>
              </w:rPr>
              <w:t>号清华科技园科技大厦</w:t>
            </w:r>
            <w:r>
              <w:t>C</w:t>
            </w:r>
            <w:r>
              <w:rPr>
                <w:rFonts w:hint="eastAsia"/>
              </w:rPr>
              <w:t>座</w:t>
            </w:r>
            <w:r>
              <w:t>1902</w:t>
            </w:r>
            <w:r>
              <w:rPr>
                <w:rFonts w:hint="eastAsia"/>
              </w:rPr>
              <w:t>室董事会办公室</w:t>
            </w:r>
          </w:p>
        </w:tc>
      </w:tr>
    </w:tbl>
    <w:p>
      <w:pPr>
        <w:pStyle w:val="10"/>
        <w:outlineLvl w:val="1"/>
      </w:pPr>
      <w:r>
        <w:rPr>
          <w:rFonts w:hint="eastAsia"/>
        </w:rPr>
        <w:t>四、其他有关资料</w:t>
      </w:r>
    </w:p>
    <w:p>
      <w:pPr>
        <w:jc w:val="left"/>
      </w:pPr>
      <w:r>
        <w:rPr>
          <w:rFonts w:hint="eastAsia"/>
        </w:rPr>
        <w:t>公司聘请的会计师事务所</w:t>
      </w:r>
    </w:p>
    <w:tbl>
      <w:tblPr>
        <w:tblStyle w:val="8"/>
        <w:tblW w:w="9568" w:type="dxa"/>
        <w:tblInd w:w="28" w:type="dxa"/>
        <w:tblLayout w:type="fixed"/>
        <w:tblCellMar>
          <w:top w:w="0" w:type="dxa"/>
          <w:left w:w="28" w:type="dxa"/>
          <w:bottom w:w="0" w:type="dxa"/>
          <w:right w:w="28" w:type="dxa"/>
        </w:tblCellMar>
      </w:tblPr>
      <w:tblGrid>
        <w:gridCol w:w="2662"/>
        <w:gridCol w:w="6906"/>
      </w:tblGrid>
      <w:tr>
        <w:tblPrEx>
          <w:tblLayout w:type="fixed"/>
          <w:tblCellMar>
            <w:top w:w="0" w:type="dxa"/>
            <w:left w:w="28" w:type="dxa"/>
            <w:bottom w:w="0" w:type="dxa"/>
            <w:right w:w="28" w:type="dxa"/>
          </w:tblCellMar>
        </w:tblPrEx>
        <w:tc>
          <w:tcPr>
            <w:tcW w:w="266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rPr>
                <w:rFonts w:hint="eastAsia"/>
              </w:rPr>
              <w:t>会计师事务所名称</w:t>
            </w:r>
          </w:p>
        </w:tc>
        <w:tc>
          <w:tcPr>
            <w:tcW w:w="690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信永中和会计师事务所（特殊普通合伙）</w:t>
            </w:r>
          </w:p>
        </w:tc>
      </w:tr>
      <w:tr>
        <w:tblPrEx>
          <w:tblLayout w:type="fixed"/>
          <w:tblCellMar>
            <w:top w:w="0" w:type="dxa"/>
            <w:left w:w="28" w:type="dxa"/>
            <w:bottom w:w="0" w:type="dxa"/>
            <w:right w:w="28" w:type="dxa"/>
          </w:tblCellMar>
        </w:tblPrEx>
        <w:tc>
          <w:tcPr>
            <w:tcW w:w="266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rPr>
                <w:rFonts w:hint="eastAsia"/>
              </w:rPr>
              <w:t>会计师事务所办公地址</w:t>
            </w:r>
          </w:p>
        </w:tc>
        <w:tc>
          <w:tcPr>
            <w:tcW w:w="690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北京市东城区朝阳门北大街</w:t>
            </w:r>
            <w:r>
              <w:t>8</w:t>
            </w:r>
            <w:r>
              <w:rPr>
                <w:rFonts w:hint="eastAsia"/>
              </w:rPr>
              <w:t>号富华大厦</w:t>
            </w:r>
            <w:r>
              <w:t>A</w:t>
            </w:r>
            <w:r>
              <w:rPr>
                <w:rFonts w:hint="eastAsia"/>
              </w:rPr>
              <w:t>座</w:t>
            </w:r>
            <w:r>
              <w:t>9</w:t>
            </w:r>
            <w:r>
              <w:rPr>
                <w:rFonts w:hint="eastAsia"/>
              </w:rPr>
              <w:t>层</w:t>
            </w:r>
          </w:p>
        </w:tc>
      </w:tr>
      <w:tr>
        <w:tblPrEx>
          <w:tblLayout w:type="fixed"/>
          <w:tblCellMar>
            <w:top w:w="0" w:type="dxa"/>
            <w:left w:w="28" w:type="dxa"/>
            <w:bottom w:w="0" w:type="dxa"/>
            <w:right w:w="28" w:type="dxa"/>
          </w:tblCellMar>
        </w:tblPrEx>
        <w:tc>
          <w:tcPr>
            <w:tcW w:w="266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rPr>
                <w:rFonts w:hint="eastAsia"/>
              </w:rPr>
              <w:t>签字会计师姓名</w:t>
            </w:r>
          </w:p>
        </w:tc>
        <w:tc>
          <w:tcPr>
            <w:tcW w:w="690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树新、唐静</w:t>
            </w:r>
          </w:p>
        </w:tc>
      </w:tr>
    </w:tbl>
    <w:p>
      <w:pPr>
        <w:jc w:val="left"/>
      </w:pPr>
      <w:r>
        <w:rPr>
          <w:rFonts w:hint="eastAsia"/>
        </w:rPr>
        <w:t>公司聘请的报告期内履行持续督导职责的保荐机构</w:t>
      </w:r>
    </w:p>
    <w:p>
      <w:pPr>
        <w:jc w:val="left"/>
      </w:pPr>
      <w:r>
        <w:t xml:space="preserve">□ </w:t>
      </w:r>
      <w:r>
        <w:rPr>
          <w:rFonts w:hint="eastAsia"/>
        </w:rPr>
        <w:t>适用</w:t>
      </w:r>
      <w:r>
        <w:t xml:space="preserve"> √ </w:t>
      </w:r>
      <w:r>
        <w:rPr>
          <w:rFonts w:hint="eastAsia"/>
        </w:rPr>
        <w:t>不适用</w:t>
      </w:r>
      <w:r>
        <w:t xml:space="preserve"> </w:t>
      </w:r>
    </w:p>
    <w:p>
      <w:pPr>
        <w:jc w:val="left"/>
      </w:pPr>
      <w:r>
        <w:rPr>
          <w:rFonts w:hint="eastAsia"/>
        </w:rPr>
        <w:t>公司聘请的报告期内履行持续督导职责的财务顾问</w:t>
      </w:r>
    </w:p>
    <w:p>
      <w:pPr>
        <w:jc w:val="left"/>
      </w:pPr>
      <w:r>
        <w:t xml:space="preserve">√ </w:t>
      </w:r>
      <w:r>
        <w:rPr>
          <w:rFonts w:hint="eastAsia"/>
        </w:rPr>
        <w:t>适用</w:t>
      </w:r>
      <w:r>
        <w:t xml:space="preserve"> □ </w:t>
      </w:r>
      <w:r>
        <w:rPr>
          <w:rFonts w:hint="eastAsia"/>
        </w:rPr>
        <w:t>不适用</w:t>
      </w:r>
      <w:r>
        <w:t xml:space="preserve"> </w:t>
      </w:r>
    </w:p>
    <w:tbl>
      <w:tblPr>
        <w:tblStyle w:val="8"/>
        <w:tblW w:w="9568" w:type="dxa"/>
        <w:tblInd w:w="28" w:type="dxa"/>
        <w:tblLayout w:type="fixed"/>
        <w:tblCellMar>
          <w:top w:w="0" w:type="dxa"/>
          <w:left w:w="28" w:type="dxa"/>
          <w:bottom w:w="0" w:type="dxa"/>
          <w:right w:w="28" w:type="dxa"/>
        </w:tblCellMar>
      </w:tblPr>
      <w:tblGrid>
        <w:gridCol w:w="2392"/>
        <w:gridCol w:w="2392"/>
        <w:gridCol w:w="2392"/>
        <w:gridCol w:w="2392"/>
      </w:tblGrid>
      <w:tr>
        <w:tblPrEx>
          <w:tblLayout w:type="fixed"/>
          <w:tblCellMar>
            <w:top w:w="0" w:type="dxa"/>
            <w:left w:w="28" w:type="dxa"/>
            <w:bottom w:w="0" w:type="dxa"/>
            <w:right w:w="28" w:type="dxa"/>
          </w:tblCellMar>
        </w:tblPrEx>
        <w:tc>
          <w:tcPr>
            <w:tcW w:w="239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财务顾问名称</w:t>
            </w:r>
          </w:p>
        </w:tc>
        <w:tc>
          <w:tcPr>
            <w:tcW w:w="239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财务顾问办公地址</w:t>
            </w:r>
          </w:p>
        </w:tc>
        <w:tc>
          <w:tcPr>
            <w:tcW w:w="239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财务顾问主办人姓名</w:t>
            </w:r>
          </w:p>
        </w:tc>
        <w:tc>
          <w:tcPr>
            <w:tcW w:w="239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持续督导期间</w:t>
            </w:r>
          </w:p>
        </w:tc>
      </w:tr>
      <w:tr>
        <w:tblPrEx>
          <w:tblLayout w:type="fixed"/>
          <w:tblCellMar>
            <w:top w:w="0" w:type="dxa"/>
            <w:left w:w="28" w:type="dxa"/>
            <w:bottom w:w="0" w:type="dxa"/>
            <w:right w:w="28" w:type="dxa"/>
          </w:tblCellMar>
        </w:tblPrEx>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国信证券股份有限公司</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北京市西城区兴盛街六号国信证券大厦</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王淼、张苗</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t>2015.12.29-2016.12.31</w:t>
            </w:r>
          </w:p>
        </w:tc>
      </w:tr>
    </w:tbl>
    <w:p>
      <w:pPr>
        <w:pStyle w:val="10"/>
        <w:outlineLvl w:val="1"/>
      </w:pPr>
      <w:r>
        <w:rPr>
          <w:rFonts w:hint="eastAsia"/>
        </w:rPr>
        <w:t>五、主要会计数据和财务指标</w:t>
      </w:r>
    </w:p>
    <w:p>
      <w:pPr>
        <w:jc w:val="left"/>
      </w:pPr>
      <w:r>
        <w:rPr>
          <w:rFonts w:hint="eastAsia"/>
        </w:rPr>
        <w:t>公司是否因会计政策变更及会计差错更正等追溯调整或重述以前年度会计数据</w:t>
      </w:r>
    </w:p>
    <w:p>
      <w:pPr>
        <w:jc w:val="left"/>
      </w:pPr>
      <w:r>
        <w:t xml:space="preserve">□ </w:t>
      </w:r>
      <w:r>
        <w:rPr>
          <w:rFonts w:hint="eastAsia"/>
        </w:rPr>
        <w:t>是</w:t>
      </w:r>
      <w:r>
        <w:t xml:space="preserve"> √ </w:t>
      </w:r>
      <w:r>
        <w:rPr>
          <w:rFonts w:hint="eastAsia"/>
        </w:rPr>
        <w:t>否</w:t>
      </w:r>
      <w:r>
        <w:t xml:space="preserve"> </w:t>
      </w:r>
    </w:p>
    <w:tbl>
      <w:tblPr>
        <w:tblStyle w:val="8"/>
        <w:tblW w:w="9569" w:type="dxa"/>
        <w:tblInd w:w="28" w:type="dxa"/>
        <w:tblLayout w:type="fixed"/>
        <w:tblCellMar>
          <w:top w:w="0" w:type="dxa"/>
          <w:left w:w="28" w:type="dxa"/>
          <w:bottom w:w="0" w:type="dxa"/>
          <w:right w:w="28" w:type="dxa"/>
        </w:tblCellMar>
      </w:tblPr>
      <w:tblGrid>
        <w:gridCol w:w="2621"/>
        <w:gridCol w:w="1738"/>
        <w:gridCol w:w="1737"/>
        <w:gridCol w:w="1737"/>
        <w:gridCol w:w="1736"/>
      </w:tblGrid>
      <w:tr>
        <w:tblPrEx>
          <w:tblLayout w:type="fixed"/>
          <w:tblCellMar>
            <w:top w:w="0" w:type="dxa"/>
            <w:left w:w="28" w:type="dxa"/>
            <w:bottom w:w="0" w:type="dxa"/>
            <w:right w:w="28" w:type="dxa"/>
          </w:tblCellMar>
        </w:tblPrEx>
        <w:tc>
          <w:tcPr>
            <w:tcW w:w="2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p>
        </w:tc>
        <w:tc>
          <w:tcPr>
            <w:tcW w:w="1738"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t>2016</w:t>
            </w:r>
            <w:r>
              <w:rPr>
                <w:rFonts w:hint="eastAsia"/>
              </w:rPr>
              <w:t>年</w:t>
            </w:r>
          </w:p>
        </w:tc>
        <w:tc>
          <w:tcPr>
            <w:tcW w:w="173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t>2015</w:t>
            </w:r>
            <w:r>
              <w:rPr>
                <w:rFonts w:hint="eastAsia"/>
              </w:rPr>
              <w:t>年</w:t>
            </w:r>
          </w:p>
        </w:tc>
        <w:tc>
          <w:tcPr>
            <w:tcW w:w="173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本年比上年增减</w:t>
            </w:r>
          </w:p>
        </w:tc>
        <w:tc>
          <w:tcPr>
            <w:tcW w:w="173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t>2014</w:t>
            </w:r>
            <w:r>
              <w:rPr>
                <w:rFonts w:hint="eastAsia"/>
              </w:rPr>
              <w:t>年</w:t>
            </w:r>
          </w:p>
        </w:tc>
      </w:tr>
      <w:tr>
        <w:tblPrEx>
          <w:tblLayout w:type="fixed"/>
          <w:tblCellMar>
            <w:top w:w="0" w:type="dxa"/>
            <w:left w:w="28" w:type="dxa"/>
            <w:bottom w:w="0" w:type="dxa"/>
            <w:right w:w="28" w:type="dxa"/>
          </w:tblCellMar>
        </w:tblPrEx>
        <w:tc>
          <w:tcPr>
            <w:tcW w:w="2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rPr>
                <w:rFonts w:hint="eastAsia"/>
              </w:rPr>
              <w:t>营业收入（元）</w:t>
            </w:r>
          </w:p>
        </w:tc>
        <w:tc>
          <w:tcPr>
            <w:tcW w:w="1738" w:type="dxa"/>
            <w:tcBorders>
              <w:top w:val="single" w:color="auto" w:sz="4" w:space="0"/>
              <w:left w:val="single" w:color="auto" w:sz="4" w:space="0"/>
              <w:bottom w:val="single" w:color="auto" w:sz="4" w:space="0"/>
              <w:right w:val="single" w:color="auto" w:sz="4" w:space="0"/>
            </w:tcBorders>
            <w:vAlign w:val="center"/>
          </w:tcPr>
          <w:p>
            <w:pPr>
              <w:jc w:val="right"/>
            </w:pPr>
            <w:r>
              <w:t>716,569,929.16</w:t>
            </w:r>
          </w:p>
        </w:tc>
        <w:tc>
          <w:tcPr>
            <w:tcW w:w="1737" w:type="dxa"/>
            <w:tcBorders>
              <w:top w:val="single" w:color="auto" w:sz="4" w:space="0"/>
              <w:left w:val="single" w:color="auto" w:sz="4" w:space="0"/>
              <w:bottom w:val="single" w:color="auto" w:sz="4" w:space="0"/>
              <w:right w:val="single" w:color="auto" w:sz="4" w:space="0"/>
            </w:tcBorders>
            <w:vAlign w:val="center"/>
          </w:tcPr>
          <w:p>
            <w:pPr>
              <w:jc w:val="right"/>
            </w:pPr>
            <w:r>
              <w:t>327,812,510.49</w:t>
            </w:r>
          </w:p>
        </w:tc>
        <w:tc>
          <w:tcPr>
            <w:tcW w:w="173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118.59%</w:t>
            </w:r>
          </w:p>
        </w:tc>
        <w:tc>
          <w:tcPr>
            <w:tcW w:w="173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392,820,726.88</w:t>
            </w:r>
          </w:p>
        </w:tc>
      </w:tr>
      <w:tr>
        <w:tblPrEx>
          <w:tblLayout w:type="fixed"/>
          <w:tblCellMar>
            <w:top w:w="0" w:type="dxa"/>
            <w:left w:w="28" w:type="dxa"/>
            <w:bottom w:w="0" w:type="dxa"/>
            <w:right w:w="28" w:type="dxa"/>
          </w:tblCellMar>
        </w:tblPrEx>
        <w:tc>
          <w:tcPr>
            <w:tcW w:w="2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rPr>
                <w:rFonts w:hint="eastAsia"/>
              </w:rPr>
              <w:t>归属于上市公司股东的净利润（元）</w:t>
            </w:r>
          </w:p>
        </w:tc>
        <w:tc>
          <w:tcPr>
            <w:tcW w:w="1738" w:type="dxa"/>
            <w:tcBorders>
              <w:top w:val="single" w:color="auto" w:sz="4" w:space="0"/>
              <w:left w:val="single" w:color="auto" w:sz="4" w:space="0"/>
              <w:bottom w:val="single" w:color="auto" w:sz="4" w:space="0"/>
              <w:right w:val="single" w:color="auto" w:sz="4" w:space="0"/>
            </w:tcBorders>
            <w:vAlign w:val="center"/>
          </w:tcPr>
          <w:p>
            <w:pPr>
              <w:jc w:val="right"/>
            </w:pPr>
            <w:r>
              <w:t>81,983,493.18</w:t>
            </w:r>
          </w:p>
        </w:tc>
        <w:tc>
          <w:tcPr>
            <w:tcW w:w="1737" w:type="dxa"/>
            <w:tcBorders>
              <w:top w:val="single" w:color="auto" w:sz="4" w:space="0"/>
              <w:left w:val="single" w:color="auto" w:sz="4" w:space="0"/>
              <w:bottom w:val="single" w:color="auto" w:sz="4" w:space="0"/>
              <w:right w:val="single" w:color="auto" w:sz="4" w:space="0"/>
            </w:tcBorders>
            <w:vAlign w:val="center"/>
          </w:tcPr>
          <w:p>
            <w:pPr>
              <w:jc w:val="right"/>
            </w:pPr>
            <w:r>
              <w:t>35,429,529.71</w:t>
            </w:r>
          </w:p>
        </w:tc>
        <w:tc>
          <w:tcPr>
            <w:tcW w:w="173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131.40%</w:t>
            </w:r>
          </w:p>
        </w:tc>
        <w:tc>
          <w:tcPr>
            <w:tcW w:w="173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18,070,987.95</w:t>
            </w:r>
          </w:p>
        </w:tc>
      </w:tr>
      <w:tr>
        <w:tblPrEx>
          <w:tblLayout w:type="fixed"/>
          <w:tblCellMar>
            <w:top w:w="0" w:type="dxa"/>
            <w:left w:w="28" w:type="dxa"/>
            <w:bottom w:w="0" w:type="dxa"/>
            <w:right w:w="28" w:type="dxa"/>
          </w:tblCellMar>
        </w:tblPrEx>
        <w:tc>
          <w:tcPr>
            <w:tcW w:w="2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rPr>
                <w:rFonts w:hint="eastAsia"/>
              </w:rPr>
              <w:t>归属于上市公司股东的扣除非经常性损益的净利润（元）</w:t>
            </w:r>
          </w:p>
        </w:tc>
        <w:tc>
          <w:tcPr>
            <w:tcW w:w="173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63,622,567.61</w:t>
            </w:r>
          </w:p>
        </w:tc>
        <w:tc>
          <w:tcPr>
            <w:tcW w:w="173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13,885,539.87</w:t>
            </w:r>
          </w:p>
        </w:tc>
        <w:tc>
          <w:tcPr>
            <w:tcW w:w="173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358.19%</w:t>
            </w:r>
          </w:p>
        </w:tc>
        <w:tc>
          <w:tcPr>
            <w:tcW w:w="173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6,577,564.33</w:t>
            </w:r>
          </w:p>
        </w:tc>
      </w:tr>
      <w:tr>
        <w:tblPrEx>
          <w:tblLayout w:type="fixed"/>
          <w:tblCellMar>
            <w:top w:w="0" w:type="dxa"/>
            <w:left w:w="28" w:type="dxa"/>
            <w:bottom w:w="0" w:type="dxa"/>
            <w:right w:w="28" w:type="dxa"/>
          </w:tblCellMar>
        </w:tblPrEx>
        <w:tc>
          <w:tcPr>
            <w:tcW w:w="2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rPr>
                <w:rFonts w:hint="eastAsia"/>
              </w:rPr>
              <w:t>经营活动产生的现金流量净额（元）</w:t>
            </w:r>
          </w:p>
        </w:tc>
        <w:tc>
          <w:tcPr>
            <w:tcW w:w="1738" w:type="dxa"/>
            <w:tcBorders>
              <w:top w:val="single" w:color="auto" w:sz="4" w:space="0"/>
              <w:left w:val="single" w:color="auto" w:sz="4" w:space="0"/>
              <w:bottom w:val="single" w:color="auto" w:sz="4" w:space="0"/>
              <w:right w:val="single" w:color="auto" w:sz="4" w:space="0"/>
            </w:tcBorders>
            <w:vAlign w:val="center"/>
          </w:tcPr>
          <w:p>
            <w:pPr>
              <w:jc w:val="right"/>
            </w:pPr>
            <w:r>
              <w:t>157,085,288.17</w:t>
            </w:r>
          </w:p>
        </w:tc>
        <w:tc>
          <w:tcPr>
            <w:tcW w:w="1737" w:type="dxa"/>
            <w:tcBorders>
              <w:top w:val="single" w:color="auto" w:sz="4" w:space="0"/>
              <w:left w:val="single" w:color="auto" w:sz="4" w:space="0"/>
              <w:bottom w:val="single" w:color="auto" w:sz="4" w:space="0"/>
              <w:right w:val="single" w:color="auto" w:sz="4" w:space="0"/>
            </w:tcBorders>
            <w:vAlign w:val="center"/>
          </w:tcPr>
          <w:p>
            <w:pPr>
              <w:jc w:val="right"/>
            </w:pPr>
            <w:r>
              <w:t>55,685,247.97</w:t>
            </w:r>
          </w:p>
        </w:tc>
        <w:tc>
          <w:tcPr>
            <w:tcW w:w="173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182.09%</w:t>
            </w:r>
          </w:p>
        </w:tc>
        <w:tc>
          <w:tcPr>
            <w:tcW w:w="173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-11,563,885.41</w:t>
            </w:r>
          </w:p>
        </w:tc>
      </w:tr>
      <w:tr>
        <w:tblPrEx>
          <w:tblLayout w:type="fixed"/>
          <w:tblCellMar>
            <w:top w:w="0" w:type="dxa"/>
            <w:left w:w="28" w:type="dxa"/>
            <w:bottom w:w="0" w:type="dxa"/>
            <w:right w:w="28" w:type="dxa"/>
          </w:tblCellMar>
        </w:tblPrEx>
        <w:tc>
          <w:tcPr>
            <w:tcW w:w="2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rPr>
                <w:rFonts w:hint="eastAsia"/>
              </w:rPr>
              <w:t>基本每股收益（元</w:t>
            </w:r>
            <w:r>
              <w:t>/</w:t>
            </w:r>
            <w:r>
              <w:rPr>
                <w:rFonts w:hint="eastAsia"/>
              </w:rPr>
              <w:t>股）</w:t>
            </w:r>
          </w:p>
        </w:tc>
        <w:tc>
          <w:tcPr>
            <w:tcW w:w="1738" w:type="dxa"/>
            <w:tcBorders>
              <w:top w:val="single" w:color="auto" w:sz="4" w:space="0"/>
              <w:left w:val="single" w:color="auto" w:sz="4" w:space="0"/>
              <w:bottom w:val="single" w:color="auto" w:sz="4" w:space="0"/>
              <w:right w:val="single" w:color="auto" w:sz="4" w:space="0"/>
            </w:tcBorders>
            <w:vAlign w:val="center"/>
          </w:tcPr>
          <w:p>
            <w:pPr>
              <w:jc w:val="right"/>
            </w:pPr>
            <w:r>
              <w:t>0.34</w:t>
            </w:r>
          </w:p>
        </w:tc>
        <w:tc>
          <w:tcPr>
            <w:tcW w:w="1737" w:type="dxa"/>
            <w:tcBorders>
              <w:top w:val="single" w:color="auto" w:sz="4" w:space="0"/>
              <w:left w:val="single" w:color="auto" w:sz="4" w:space="0"/>
              <w:bottom w:val="single" w:color="auto" w:sz="4" w:space="0"/>
              <w:right w:val="single" w:color="auto" w:sz="4" w:space="0"/>
            </w:tcBorders>
            <w:vAlign w:val="center"/>
          </w:tcPr>
          <w:p>
            <w:pPr>
              <w:jc w:val="right"/>
            </w:pPr>
            <w:r>
              <w:t>0.17</w:t>
            </w:r>
          </w:p>
        </w:tc>
        <w:tc>
          <w:tcPr>
            <w:tcW w:w="173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100.00%</w:t>
            </w:r>
          </w:p>
        </w:tc>
        <w:tc>
          <w:tcPr>
            <w:tcW w:w="173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0.09</w:t>
            </w:r>
          </w:p>
        </w:tc>
      </w:tr>
      <w:tr>
        <w:tblPrEx>
          <w:tblLayout w:type="fixed"/>
          <w:tblCellMar>
            <w:top w:w="0" w:type="dxa"/>
            <w:left w:w="28" w:type="dxa"/>
            <w:bottom w:w="0" w:type="dxa"/>
            <w:right w:w="28" w:type="dxa"/>
          </w:tblCellMar>
        </w:tblPrEx>
        <w:tc>
          <w:tcPr>
            <w:tcW w:w="2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rPr>
                <w:rFonts w:hint="eastAsia"/>
              </w:rPr>
              <w:t>稀释每股收益（元</w:t>
            </w:r>
            <w:r>
              <w:t>/</w:t>
            </w:r>
            <w:r>
              <w:rPr>
                <w:rFonts w:hint="eastAsia"/>
              </w:rPr>
              <w:t>股）</w:t>
            </w:r>
          </w:p>
        </w:tc>
        <w:tc>
          <w:tcPr>
            <w:tcW w:w="1738" w:type="dxa"/>
            <w:tcBorders>
              <w:top w:val="single" w:color="auto" w:sz="4" w:space="0"/>
              <w:left w:val="single" w:color="auto" w:sz="4" w:space="0"/>
              <w:bottom w:val="single" w:color="auto" w:sz="4" w:space="0"/>
              <w:right w:val="single" w:color="auto" w:sz="4" w:space="0"/>
            </w:tcBorders>
            <w:vAlign w:val="center"/>
          </w:tcPr>
          <w:p>
            <w:pPr>
              <w:jc w:val="right"/>
            </w:pPr>
            <w:r>
              <w:t>0.34</w:t>
            </w:r>
          </w:p>
        </w:tc>
        <w:tc>
          <w:tcPr>
            <w:tcW w:w="1737" w:type="dxa"/>
            <w:tcBorders>
              <w:top w:val="single" w:color="auto" w:sz="4" w:space="0"/>
              <w:left w:val="single" w:color="auto" w:sz="4" w:space="0"/>
              <w:bottom w:val="single" w:color="auto" w:sz="4" w:space="0"/>
              <w:right w:val="single" w:color="auto" w:sz="4" w:space="0"/>
            </w:tcBorders>
            <w:vAlign w:val="center"/>
          </w:tcPr>
          <w:p>
            <w:pPr>
              <w:jc w:val="right"/>
            </w:pPr>
            <w:r>
              <w:t>0.17</w:t>
            </w:r>
          </w:p>
        </w:tc>
        <w:tc>
          <w:tcPr>
            <w:tcW w:w="173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100.00%</w:t>
            </w:r>
          </w:p>
        </w:tc>
        <w:tc>
          <w:tcPr>
            <w:tcW w:w="173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0.09</w:t>
            </w:r>
          </w:p>
        </w:tc>
      </w:tr>
      <w:tr>
        <w:tblPrEx>
          <w:tblLayout w:type="fixed"/>
          <w:tblCellMar>
            <w:top w:w="0" w:type="dxa"/>
            <w:left w:w="28" w:type="dxa"/>
            <w:bottom w:w="0" w:type="dxa"/>
            <w:right w:w="28" w:type="dxa"/>
          </w:tblCellMar>
        </w:tblPrEx>
        <w:tc>
          <w:tcPr>
            <w:tcW w:w="2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rPr>
                <w:rFonts w:hint="eastAsia"/>
              </w:rPr>
              <w:t>加权平均净资产收益率</w:t>
            </w:r>
          </w:p>
        </w:tc>
        <w:tc>
          <w:tcPr>
            <w:tcW w:w="173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6.72%</w:t>
            </w:r>
          </w:p>
        </w:tc>
        <w:tc>
          <w:tcPr>
            <w:tcW w:w="173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5.77%</w:t>
            </w:r>
          </w:p>
        </w:tc>
        <w:tc>
          <w:tcPr>
            <w:tcW w:w="173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0.95%</w:t>
            </w:r>
          </w:p>
        </w:tc>
        <w:tc>
          <w:tcPr>
            <w:tcW w:w="173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3.01%</w:t>
            </w:r>
          </w:p>
        </w:tc>
      </w:tr>
      <w:tr>
        <w:tblPrEx>
          <w:tblLayout w:type="fixed"/>
          <w:tblCellMar>
            <w:top w:w="0" w:type="dxa"/>
            <w:left w:w="28" w:type="dxa"/>
            <w:bottom w:w="0" w:type="dxa"/>
            <w:right w:w="28" w:type="dxa"/>
          </w:tblCellMar>
        </w:tblPrEx>
        <w:tc>
          <w:tcPr>
            <w:tcW w:w="2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p>
        </w:tc>
        <w:tc>
          <w:tcPr>
            <w:tcW w:w="1738"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t>2016</w:t>
            </w:r>
            <w:r>
              <w:rPr>
                <w:rFonts w:hint="eastAsia"/>
              </w:rPr>
              <w:t>年末</w:t>
            </w:r>
          </w:p>
        </w:tc>
        <w:tc>
          <w:tcPr>
            <w:tcW w:w="173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t>2015</w:t>
            </w:r>
            <w:r>
              <w:rPr>
                <w:rFonts w:hint="eastAsia"/>
              </w:rPr>
              <w:t>年末</w:t>
            </w:r>
          </w:p>
        </w:tc>
        <w:tc>
          <w:tcPr>
            <w:tcW w:w="173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本年末比上年末增减</w:t>
            </w:r>
          </w:p>
        </w:tc>
        <w:tc>
          <w:tcPr>
            <w:tcW w:w="173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t>2014</w:t>
            </w:r>
            <w:r>
              <w:rPr>
                <w:rFonts w:hint="eastAsia"/>
              </w:rPr>
              <w:t>年末</w:t>
            </w:r>
          </w:p>
        </w:tc>
      </w:tr>
      <w:tr>
        <w:tblPrEx>
          <w:tblLayout w:type="fixed"/>
          <w:tblCellMar>
            <w:top w:w="0" w:type="dxa"/>
            <w:left w:w="28" w:type="dxa"/>
            <w:bottom w:w="0" w:type="dxa"/>
            <w:right w:w="28" w:type="dxa"/>
          </w:tblCellMar>
        </w:tblPrEx>
        <w:tc>
          <w:tcPr>
            <w:tcW w:w="2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rPr>
                <w:rFonts w:hint="eastAsia"/>
              </w:rPr>
              <w:t>资产总额（元）</w:t>
            </w:r>
          </w:p>
        </w:tc>
        <w:tc>
          <w:tcPr>
            <w:tcW w:w="1738" w:type="dxa"/>
            <w:tcBorders>
              <w:top w:val="single" w:color="auto" w:sz="4" w:space="0"/>
              <w:left w:val="single" w:color="auto" w:sz="4" w:space="0"/>
              <w:bottom w:val="single" w:color="auto" w:sz="4" w:space="0"/>
              <w:right w:val="single" w:color="auto" w:sz="4" w:space="0"/>
            </w:tcBorders>
            <w:vAlign w:val="center"/>
          </w:tcPr>
          <w:p>
            <w:pPr>
              <w:jc w:val="right"/>
            </w:pPr>
            <w:r>
              <w:t>1,808,703,978.56</w:t>
            </w:r>
          </w:p>
        </w:tc>
        <w:tc>
          <w:tcPr>
            <w:tcW w:w="1737" w:type="dxa"/>
            <w:tcBorders>
              <w:top w:val="single" w:color="auto" w:sz="4" w:space="0"/>
              <w:left w:val="single" w:color="auto" w:sz="4" w:space="0"/>
              <w:bottom w:val="single" w:color="auto" w:sz="4" w:space="0"/>
              <w:right w:val="single" w:color="auto" w:sz="4" w:space="0"/>
            </w:tcBorders>
            <w:vAlign w:val="center"/>
          </w:tcPr>
          <w:p>
            <w:pPr>
              <w:jc w:val="right"/>
            </w:pPr>
            <w:r>
              <w:t>1,657,280,225.32</w:t>
            </w:r>
          </w:p>
        </w:tc>
        <w:tc>
          <w:tcPr>
            <w:tcW w:w="173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9.14%</w:t>
            </w:r>
          </w:p>
        </w:tc>
        <w:tc>
          <w:tcPr>
            <w:tcW w:w="173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825,929,688.84</w:t>
            </w:r>
          </w:p>
        </w:tc>
      </w:tr>
      <w:tr>
        <w:tblPrEx>
          <w:tblLayout w:type="fixed"/>
          <w:tblCellMar>
            <w:top w:w="0" w:type="dxa"/>
            <w:left w:w="28" w:type="dxa"/>
            <w:bottom w:w="0" w:type="dxa"/>
            <w:right w:w="28" w:type="dxa"/>
          </w:tblCellMar>
        </w:tblPrEx>
        <w:tc>
          <w:tcPr>
            <w:tcW w:w="2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rPr>
                <w:rFonts w:hint="eastAsia"/>
              </w:rPr>
              <w:t>归属于上市公司股东的净资产（元）</w:t>
            </w:r>
          </w:p>
        </w:tc>
        <w:tc>
          <w:tcPr>
            <w:tcW w:w="1738" w:type="dxa"/>
            <w:tcBorders>
              <w:top w:val="single" w:color="auto" w:sz="4" w:space="0"/>
              <w:left w:val="single" w:color="auto" w:sz="4" w:space="0"/>
              <w:bottom w:val="single" w:color="auto" w:sz="4" w:space="0"/>
              <w:right w:val="single" w:color="auto" w:sz="4" w:space="0"/>
            </w:tcBorders>
            <w:vAlign w:val="center"/>
          </w:tcPr>
          <w:p>
            <w:pPr>
              <w:jc w:val="right"/>
            </w:pPr>
            <w:r>
              <w:t>1,260,840,122.30</w:t>
            </w:r>
          </w:p>
        </w:tc>
        <w:tc>
          <w:tcPr>
            <w:tcW w:w="1737" w:type="dxa"/>
            <w:tcBorders>
              <w:top w:val="single" w:color="auto" w:sz="4" w:space="0"/>
              <w:left w:val="single" w:color="auto" w:sz="4" w:space="0"/>
              <w:bottom w:val="single" w:color="auto" w:sz="4" w:space="0"/>
              <w:right w:val="single" w:color="auto" w:sz="4" w:space="0"/>
            </w:tcBorders>
            <w:vAlign w:val="center"/>
          </w:tcPr>
          <w:p>
            <w:pPr>
              <w:jc w:val="right"/>
            </w:pPr>
            <w:r>
              <w:t>1,182,537,628.85</w:t>
            </w:r>
          </w:p>
        </w:tc>
        <w:tc>
          <w:tcPr>
            <w:tcW w:w="173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6.62%</w:t>
            </w:r>
          </w:p>
        </w:tc>
        <w:tc>
          <w:tcPr>
            <w:tcW w:w="173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599,791,535.74</w:t>
            </w:r>
          </w:p>
        </w:tc>
      </w:tr>
    </w:tbl>
    <w:p>
      <w:pPr>
        <w:pStyle w:val="10"/>
        <w:outlineLvl w:val="1"/>
      </w:pPr>
      <w:r>
        <w:rPr>
          <w:rFonts w:hint="eastAsia"/>
        </w:rPr>
        <w:t>六、分季度主要财务指标</w:t>
      </w:r>
    </w:p>
    <w:p>
      <w:pPr>
        <w:jc w:val="right"/>
      </w:pPr>
      <w:r>
        <w:rPr>
          <w:rFonts w:hint="eastAsia"/>
        </w:rPr>
        <w:t>单位：元</w:t>
      </w:r>
    </w:p>
    <w:tbl>
      <w:tblPr>
        <w:tblStyle w:val="8"/>
        <w:tblW w:w="9569" w:type="dxa"/>
        <w:tblInd w:w="28" w:type="dxa"/>
        <w:tblLayout w:type="fixed"/>
        <w:tblCellMar>
          <w:top w:w="0" w:type="dxa"/>
          <w:left w:w="28" w:type="dxa"/>
          <w:bottom w:w="0" w:type="dxa"/>
          <w:right w:w="28" w:type="dxa"/>
        </w:tblCellMar>
      </w:tblPr>
      <w:tblGrid>
        <w:gridCol w:w="2621"/>
        <w:gridCol w:w="1740"/>
        <w:gridCol w:w="1739"/>
        <w:gridCol w:w="1739"/>
        <w:gridCol w:w="1730"/>
      </w:tblGrid>
      <w:tr>
        <w:tblPrEx>
          <w:tblLayout w:type="fixed"/>
          <w:tblCellMar>
            <w:top w:w="0" w:type="dxa"/>
            <w:left w:w="28" w:type="dxa"/>
            <w:bottom w:w="0" w:type="dxa"/>
            <w:right w:w="28" w:type="dxa"/>
          </w:tblCellMar>
        </w:tblPrEx>
        <w:tc>
          <w:tcPr>
            <w:tcW w:w="2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p>
        </w:tc>
        <w:tc>
          <w:tcPr>
            <w:tcW w:w="174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第一季度</w:t>
            </w:r>
          </w:p>
        </w:tc>
        <w:tc>
          <w:tcPr>
            <w:tcW w:w="173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第二季度</w:t>
            </w:r>
          </w:p>
        </w:tc>
        <w:tc>
          <w:tcPr>
            <w:tcW w:w="173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第三季度</w:t>
            </w:r>
          </w:p>
        </w:tc>
        <w:tc>
          <w:tcPr>
            <w:tcW w:w="173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第四季度</w:t>
            </w:r>
          </w:p>
        </w:tc>
      </w:tr>
      <w:tr>
        <w:tblPrEx>
          <w:tblLayout w:type="fixed"/>
          <w:tblCellMar>
            <w:top w:w="0" w:type="dxa"/>
            <w:left w:w="28" w:type="dxa"/>
            <w:bottom w:w="0" w:type="dxa"/>
            <w:right w:w="28" w:type="dxa"/>
          </w:tblCellMar>
        </w:tblPrEx>
        <w:tc>
          <w:tcPr>
            <w:tcW w:w="2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rPr>
                <w:rFonts w:hint="eastAsia"/>
              </w:rPr>
              <w:t>营业收入</w:t>
            </w:r>
          </w:p>
        </w:tc>
        <w:tc>
          <w:tcPr>
            <w:tcW w:w="174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120,711,506.11</w:t>
            </w:r>
          </w:p>
        </w:tc>
        <w:tc>
          <w:tcPr>
            <w:tcW w:w="17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145,613,854.26</w:t>
            </w:r>
          </w:p>
        </w:tc>
        <w:tc>
          <w:tcPr>
            <w:tcW w:w="17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179,416,349.07</w:t>
            </w:r>
          </w:p>
        </w:tc>
        <w:tc>
          <w:tcPr>
            <w:tcW w:w="173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270,828,219.72</w:t>
            </w:r>
          </w:p>
        </w:tc>
      </w:tr>
      <w:tr>
        <w:tblPrEx>
          <w:tblLayout w:type="fixed"/>
          <w:tblCellMar>
            <w:top w:w="0" w:type="dxa"/>
            <w:left w:w="28" w:type="dxa"/>
            <w:bottom w:w="0" w:type="dxa"/>
            <w:right w:w="28" w:type="dxa"/>
          </w:tblCellMar>
        </w:tblPrEx>
        <w:tc>
          <w:tcPr>
            <w:tcW w:w="2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rPr>
                <w:rFonts w:hint="eastAsia"/>
              </w:rPr>
              <w:t>归属于上市公司股东的净利润</w:t>
            </w:r>
          </w:p>
        </w:tc>
        <w:tc>
          <w:tcPr>
            <w:tcW w:w="174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11,471,883.12</w:t>
            </w:r>
          </w:p>
        </w:tc>
        <w:tc>
          <w:tcPr>
            <w:tcW w:w="17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18,545,943.07</w:t>
            </w:r>
          </w:p>
        </w:tc>
        <w:tc>
          <w:tcPr>
            <w:tcW w:w="17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20,287,322.71</w:t>
            </w:r>
          </w:p>
        </w:tc>
        <w:tc>
          <w:tcPr>
            <w:tcW w:w="173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31,678,344.28</w:t>
            </w:r>
          </w:p>
        </w:tc>
      </w:tr>
      <w:tr>
        <w:tblPrEx>
          <w:tblLayout w:type="fixed"/>
          <w:tblCellMar>
            <w:top w:w="0" w:type="dxa"/>
            <w:left w:w="28" w:type="dxa"/>
            <w:bottom w:w="0" w:type="dxa"/>
            <w:right w:w="28" w:type="dxa"/>
          </w:tblCellMar>
        </w:tblPrEx>
        <w:tc>
          <w:tcPr>
            <w:tcW w:w="2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rPr>
                <w:rFonts w:hint="eastAsia"/>
              </w:rPr>
              <w:t>归属于上市公司股东的扣除非经常性损益的净利润</w:t>
            </w:r>
          </w:p>
        </w:tc>
        <w:tc>
          <w:tcPr>
            <w:tcW w:w="174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6,114,329.83</w:t>
            </w:r>
          </w:p>
        </w:tc>
        <w:tc>
          <w:tcPr>
            <w:tcW w:w="17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17,359,561.85</w:t>
            </w:r>
          </w:p>
        </w:tc>
        <w:tc>
          <w:tcPr>
            <w:tcW w:w="17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15,624,963.71</w:t>
            </w:r>
          </w:p>
        </w:tc>
        <w:tc>
          <w:tcPr>
            <w:tcW w:w="173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24,523,712.22</w:t>
            </w:r>
          </w:p>
        </w:tc>
      </w:tr>
      <w:tr>
        <w:tblPrEx>
          <w:tblLayout w:type="fixed"/>
          <w:tblCellMar>
            <w:top w:w="0" w:type="dxa"/>
            <w:left w:w="28" w:type="dxa"/>
            <w:bottom w:w="0" w:type="dxa"/>
            <w:right w:w="28" w:type="dxa"/>
          </w:tblCellMar>
        </w:tblPrEx>
        <w:tc>
          <w:tcPr>
            <w:tcW w:w="2621"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rPr>
                <w:rFonts w:hint="eastAsia"/>
              </w:rPr>
              <w:t>经营活动产生的现金流量净额</w:t>
            </w:r>
          </w:p>
        </w:tc>
        <w:tc>
          <w:tcPr>
            <w:tcW w:w="174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-38,185,419.92</w:t>
            </w:r>
          </w:p>
        </w:tc>
        <w:tc>
          <w:tcPr>
            <w:tcW w:w="17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-12,290,541.91</w:t>
            </w:r>
          </w:p>
        </w:tc>
        <w:tc>
          <w:tcPr>
            <w:tcW w:w="17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5,483,464.43</w:t>
            </w:r>
          </w:p>
        </w:tc>
        <w:tc>
          <w:tcPr>
            <w:tcW w:w="173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202,077,785.57</w:t>
            </w:r>
          </w:p>
        </w:tc>
      </w:tr>
    </w:tbl>
    <w:p>
      <w:pPr>
        <w:jc w:val="left"/>
      </w:pPr>
      <w:r>
        <w:rPr>
          <w:rFonts w:hint="eastAsia"/>
        </w:rPr>
        <w:t>上述财务指标或其加总数是否与公司已披露季度报告、半年度报告相关财务指标存在重大差异</w:t>
      </w:r>
    </w:p>
    <w:p>
      <w:pPr>
        <w:jc w:val="left"/>
      </w:pPr>
      <w:r>
        <w:t xml:space="preserve">□ </w:t>
      </w:r>
      <w:r>
        <w:rPr>
          <w:rFonts w:hint="eastAsia"/>
        </w:rPr>
        <w:t>是</w:t>
      </w:r>
      <w:r>
        <w:t xml:space="preserve"> √ </w:t>
      </w:r>
      <w:r>
        <w:rPr>
          <w:rFonts w:hint="eastAsia"/>
        </w:rPr>
        <w:t>否</w:t>
      </w:r>
      <w:r>
        <w:t xml:space="preserve"> </w:t>
      </w:r>
    </w:p>
    <w:p>
      <w:pPr>
        <w:pStyle w:val="10"/>
        <w:outlineLvl w:val="1"/>
      </w:pPr>
      <w:r>
        <w:rPr>
          <w:rFonts w:hint="eastAsia"/>
        </w:rPr>
        <w:t>七、境内外会计准则下会计数据差异</w:t>
      </w:r>
    </w:p>
    <w:p>
      <w:pPr>
        <w:pStyle w:val="11"/>
        <w:outlineLvl w:val="2"/>
      </w:pPr>
      <w:r>
        <w:t>1</w:t>
      </w:r>
      <w:r>
        <w:rPr>
          <w:rFonts w:hint="eastAsia"/>
        </w:rPr>
        <w:t>、同时按照国际会计准则与按照中国会计准则披露的财务报告中净利润和净资产差异情况</w:t>
      </w:r>
    </w:p>
    <w:p>
      <w:pPr>
        <w:jc w:val="left"/>
      </w:pPr>
      <w:r>
        <w:t xml:space="preserve">□ </w:t>
      </w:r>
      <w:r>
        <w:rPr>
          <w:rFonts w:hint="eastAsia"/>
        </w:rPr>
        <w:t>适用</w:t>
      </w:r>
      <w:r>
        <w:t xml:space="preserve"> √ </w:t>
      </w:r>
      <w:r>
        <w:rPr>
          <w:rFonts w:hint="eastAsia"/>
        </w:rPr>
        <w:t>不适用</w:t>
      </w:r>
      <w:r>
        <w:t xml:space="preserve"> </w:t>
      </w:r>
    </w:p>
    <w:p>
      <w:pPr>
        <w:jc w:val="left"/>
      </w:pPr>
      <w:r>
        <w:rPr>
          <w:rFonts w:hint="eastAsia"/>
        </w:rPr>
        <w:t>公司报告期不存在按照国际会计准则与按照中国会计准则披露的财务报告中净利润和净资产差异情况。</w:t>
      </w:r>
    </w:p>
    <w:p>
      <w:pPr>
        <w:pStyle w:val="11"/>
        <w:outlineLvl w:val="2"/>
      </w:pPr>
      <w:r>
        <w:t>2</w:t>
      </w:r>
      <w:r>
        <w:rPr>
          <w:rFonts w:hint="eastAsia"/>
        </w:rPr>
        <w:t>、同时按照境外会计准则与按照中国会计准则披露的财务报告中净利润和净资产差异情况</w:t>
      </w:r>
    </w:p>
    <w:p>
      <w:pPr>
        <w:jc w:val="left"/>
      </w:pPr>
      <w:r>
        <w:t xml:space="preserve">□ </w:t>
      </w:r>
      <w:r>
        <w:rPr>
          <w:rFonts w:hint="eastAsia"/>
        </w:rPr>
        <w:t>适用</w:t>
      </w:r>
      <w:r>
        <w:t xml:space="preserve"> √ </w:t>
      </w:r>
      <w:r>
        <w:rPr>
          <w:rFonts w:hint="eastAsia"/>
        </w:rPr>
        <w:t>不适用</w:t>
      </w:r>
      <w:r>
        <w:t xml:space="preserve"> </w:t>
      </w:r>
    </w:p>
    <w:p>
      <w:pPr>
        <w:jc w:val="left"/>
      </w:pPr>
      <w:r>
        <w:rPr>
          <w:rFonts w:hint="eastAsia"/>
        </w:rPr>
        <w:t>公司报告期不存在按照境外会计准则与按照中国会计准则披露的财务报告中净利润和净资产差异情况。</w:t>
      </w:r>
    </w:p>
    <w:p>
      <w:pPr>
        <w:pStyle w:val="10"/>
        <w:outlineLvl w:val="1"/>
      </w:pPr>
      <w:r>
        <w:rPr>
          <w:rFonts w:hint="eastAsia"/>
        </w:rPr>
        <w:t>八、非经常性损益项目及金额</w:t>
      </w:r>
    </w:p>
    <w:p>
      <w:pPr>
        <w:jc w:val="left"/>
      </w:pPr>
      <w:r>
        <w:t xml:space="preserve">√ </w:t>
      </w:r>
      <w:r>
        <w:rPr>
          <w:rFonts w:hint="eastAsia"/>
        </w:rPr>
        <w:t>适用</w:t>
      </w:r>
      <w:r>
        <w:t xml:space="preserve"> □ </w:t>
      </w:r>
      <w:r>
        <w:rPr>
          <w:rFonts w:hint="eastAsia"/>
        </w:rPr>
        <w:t>不适用</w:t>
      </w:r>
      <w:r>
        <w:t xml:space="preserve"> </w:t>
      </w:r>
    </w:p>
    <w:p>
      <w:pPr>
        <w:jc w:val="right"/>
      </w:pPr>
      <w:r>
        <w:rPr>
          <w:rFonts w:hint="eastAsia"/>
        </w:rPr>
        <w:t>单位：元</w:t>
      </w:r>
    </w:p>
    <w:tbl>
      <w:tblPr>
        <w:tblStyle w:val="8"/>
        <w:tblW w:w="9568" w:type="dxa"/>
        <w:tblInd w:w="28" w:type="dxa"/>
        <w:tblLayout w:type="fixed"/>
        <w:tblCellMar>
          <w:top w:w="0" w:type="dxa"/>
          <w:left w:w="28" w:type="dxa"/>
          <w:bottom w:w="0" w:type="dxa"/>
          <w:right w:w="28" w:type="dxa"/>
        </w:tblCellMar>
      </w:tblPr>
      <w:tblGrid>
        <w:gridCol w:w="3296"/>
        <w:gridCol w:w="1520"/>
        <w:gridCol w:w="1520"/>
        <w:gridCol w:w="1522"/>
        <w:gridCol w:w="1710"/>
      </w:tblGrid>
      <w:tr>
        <w:tblPrEx>
          <w:tblLayout w:type="fixed"/>
          <w:tblCellMar>
            <w:top w:w="0" w:type="dxa"/>
            <w:left w:w="28" w:type="dxa"/>
            <w:bottom w:w="0" w:type="dxa"/>
            <w:right w:w="28" w:type="dxa"/>
          </w:tblCellMar>
        </w:tblPrEx>
        <w:tc>
          <w:tcPr>
            <w:tcW w:w="329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项目</w:t>
            </w:r>
          </w:p>
        </w:tc>
        <w:tc>
          <w:tcPr>
            <w:tcW w:w="152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t>2016</w:t>
            </w:r>
            <w:r>
              <w:rPr>
                <w:rFonts w:hint="eastAsia"/>
              </w:rPr>
              <w:t>年金额</w:t>
            </w:r>
          </w:p>
        </w:tc>
        <w:tc>
          <w:tcPr>
            <w:tcW w:w="152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t>2015</w:t>
            </w:r>
            <w:r>
              <w:rPr>
                <w:rFonts w:hint="eastAsia"/>
              </w:rPr>
              <w:t>年金额</w:t>
            </w:r>
          </w:p>
        </w:tc>
        <w:tc>
          <w:tcPr>
            <w:tcW w:w="152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t>2014</w:t>
            </w:r>
            <w:r>
              <w:rPr>
                <w:rFonts w:hint="eastAsia"/>
              </w:rPr>
              <w:t>年金额</w:t>
            </w:r>
          </w:p>
        </w:tc>
        <w:tc>
          <w:tcPr>
            <w:tcW w:w="171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rPr>
                <w:rFonts w:hint="eastAsia"/>
              </w:rPr>
              <w:t>说明</w:t>
            </w:r>
          </w:p>
        </w:tc>
      </w:tr>
      <w:tr>
        <w:tblPrEx>
          <w:tblLayout w:type="fixed"/>
        </w:tblPrEx>
        <w:tc>
          <w:tcPr>
            <w:tcW w:w="329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rPr>
                <w:rFonts w:hint="eastAsia"/>
              </w:rPr>
              <w:t>非流动资产处置损益（包括已计提资产减值准备的冲销部分）</w:t>
            </w:r>
          </w:p>
        </w:tc>
        <w:tc>
          <w:tcPr>
            <w:tcW w:w="1520" w:type="dxa"/>
            <w:tcBorders>
              <w:top w:val="single" w:color="auto" w:sz="4" w:space="0"/>
              <w:left w:val="single" w:color="auto" w:sz="4" w:space="0"/>
              <w:bottom w:val="single" w:color="auto" w:sz="4" w:space="0"/>
              <w:right w:val="single" w:color="auto" w:sz="4" w:space="0"/>
            </w:tcBorders>
            <w:vAlign w:val="center"/>
          </w:tcPr>
          <w:p>
            <w:pPr>
              <w:jc w:val="right"/>
            </w:pPr>
            <w:r>
              <w:t>-31,789.13</w:t>
            </w:r>
          </w:p>
        </w:tc>
        <w:tc>
          <w:tcPr>
            <w:tcW w:w="152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143,544.98</w:t>
            </w:r>
          </w:p>
        </w:tc>
        <w:tc>
          <w:tcPr>
            <w:tcW w:w="152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-64,804.84</w:t>
            </w:r>
          </w:p>
        </w:tc>
        <w:tc>
          <w:tcPr>
            <w:tcW w:w="1710" w:type="dxa"/>
            <w:tcBorders>
              <w:top w:val="single" w:color="auto" w:sz="4" w:space="0"/>
              <w:left w:val="single" w:color="auto" w:sz="4" w:space="0"/>
              <w:bottom w:val="single" w:color="auto" w:sz="4" w:space="0"/>
              <w:right w:val="single" w:color="auto" w:sz="4" w:space="0"/>
            </w:tcBorders>
            <w:vAlign w:val="center"/>
          </w:tcPr>
          <w:p>
            <w:pPr>
              <w:jc w:val="left"/>
            </w:pPr>
          </w:p>
        </w:tc>
      </w:tr>
      <w:tr>
        <w:tblPrEx>
          <w:tblLayout w:type="fixed"/>
          <w:tblCellMar>
            <w:top w:w="0" w:type="dxa"/>
            <w:left w:w="28" w:type="dxa"/>
            <w:bottom w:w="0" w:type="dxa"/>
            <w:right w:w="28" w:type="dxa"/>
          </w:tblCellMar>
        </w:tblPrEx>
        <w:tc>
          <w:tcPr>
            <w:tcW w:w="329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rPr>
                <w:rFonts w:hint="eastAsia"/>
              </w:rPr>
              <w:t>计入当期损益的政府补助（与企业业务密切相关，按照国家统一标准定额或定量享受的政府补助除外）</w:t>
            </w:r>
          </w:p>
        </w:tc>
        <w:tc>
          <w:tcPr>
            <w:tcW w:w="1520" w:type="dxa"/>
            <w:tcBorders>
              <w:top w:val="single" w:color="auto" w:sz="4" w:space="0"/>
              <w:left w:val="single" w:color="auto" w:sz="4" w:space="0"/>
              <w:bottom w:val="single" w:color="auto" w:sz="4" w:space="0"/>
              <w:right w:val="single" w:color="auto" w:sz="4" w:space="0"/>
            </w:tcBorders>
            <w:vAlign w:val="center"/>
          </w:tcPr>
          <w:p>
            <w:pPr>
              <w:jc w:val="right"/>
            </w:pPr>
            <w:r>
              <w:t>24,151,889.48</w:t>
            </w:r>
          </w:p>
        </w:tc>
        <w:tc>
          <w:tcPr>
            <w:tcW w:w="152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18,726,997.31</w:t>
            </w:r>
          </w:p>
        </w:tc>
        <w:tc>
          <w:tcPr>
            <w:tcW w:w="152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15,295,806.06</w:t>
            </w:r>
          </w:p>
        </w:tc>
        <w:tc>
          <w:tcPr>
            <w:tcW w:w="1710" w:type="dxa"/>
            <w:tcBorders>
              <w:top w:val="single" w:color="auto" w:sz="4" w:space="0"/>
              <w:left w:val="single" w:color="auto" w:sz="4" w:space="0"/>
              <w:bottom w:val="single" w:color="auto" w:sz="4" w:space="0"/>
              <w:right w:val="single" w:color="auto" w:sz="4" w:space="0"/>
            </w:tcBorders>
            <w:vAlign w:val="center"/>
          </w:tcPr>
          <w:p>
            <w:pPr>
              <w:jc w:val="left"/>
            </w:pPr>
          </w:p>
        </w:tc>
      </w:tr>
      <w:tr>
        <w:tblPrEx>
          <w:tblLayout w:type="fixed"/>
          <w:tblCellMar>
            <w:top w:w="0" w:type="dxa"/>
            <w:left w:w="28" w:type="dxa"/>
            <w:bottom w:w="0" w:type="dxa"/>
            <w:right w:w="28" w:type="dxa"/>
          </w:tblCellMar>
        </w:tblPrEx>
        <w:tc>
          <w:tcPr>
            <w:tcW w:w="329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rPr>
                <w:rFonts w:hint="eastAsia"/>
              </w:rPr>
              <w:t>单独进行减值测试的应收款项减值准备转回</w:t>
            </w:r>
          </w:p>
        </w:tc>
        <w:tc>
          <w:tcPr>
            <w:tcW w:w="1520" w:type="dxa"/>
            <w:tcBorders>
              <w:top w:val="single" w:color="auto" w:sz="4" w:space="0"/>
              <w:left w:val="single" w:color="auto" w:sz="4" w:space="0"/>
              <w:bottom w:val="single" w:color="auto" w:sz="4" w:space="0"/>
              <w:right w:val="single" w:color="auto" w:sz="4" w:space="0"/>
            </w:tcBorders>
            <w:vAlign w:val="center"/>
          </w:tcPr>
          <w:p>
            <w:pPr>
              <w:jc w:val="right"/>
            </w:pPr>
          </w:p>
        </w:tc>
        <w:tc>
          <w:tcPr>
            <w:tcW w:w="152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p>
        </w:tc>
        <w:tc>
          <w:tcPr>
            <w:tcW w:w="152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2,125.66</w:t>
            </w:r>
          </w:p>
        </w:tc>
        <w:tc>
          <w:tcPr>
            <w:tcW w:w="1710" w:type="dxa"/>
            <w:tcBorders>
              <w:top w:val="single" w:color="auto" w:sz="4" w:space="0"/>
              <w:left w:val="single" w:color="auto" w:sz="4" w:space="0"/>
              <w:bottom w:val="single" w:color="auto" w:sz="4" w:space="0"/>
              <w:right w:val="single" w:color="auto" w:sz="4" w:space="0"/>
            </w:tcBorders>
            <w:vAlign w:val="center"/>
          </w:tcPr>
          <w:p>
            <w:pPr>
              <w:jc w:val="left"/>
            </w:pPr>
          </w:p>
        </w:tc>
      </w:tr>
      <w:tr>
        <w:tblPrEx>
          <w:tblLayout w:type="fixed"/>
          <w:tblCellMar>
            <w:top w:w="0" w:type="dxa"/>
            <w:left w:w="28" w:type="dxa"/>
            <w:bottom w:w="0" w:type="dxa"/>
            <w:right w:w="28" w:type="dxa"/>
          </w:tblCellMar>
        </w:tblPrEx>
        <w:tc>
          <w:tcPr>
            <w:tcW w:w="329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rPr>
                <w:rFonts w:hint="eastAsia"/>
              </w:rPr>
              <w:t>除上述各项之外的其他营业外收入和支出</w:t>
            </w:r>
          </w:p>
        </w:tc>
        <w:tc>
          <w:tcPr>
            <w:tcW w:w="1520" w:type="dxa"/>
            <w:tcBorders>
              <w:top w:val="single" w:color="auto" w:sz="4" w:space="0"/>
              <w:left w:val="single" w:color="auto" w:sz="4" w:space="0"/>
              <w:bottom w:val="single" w:color="auto" w:sz="4" w:space="0"/>
              <w:right w:val="single" w:color="auto" w:sz="4" w:space="0"/>
            </w:tcBorders>
            <w:vAlign w:val="center"/>
          </w:tcPr>
          <w:p>
            <w:pPr>
              <w:jc w:val="right"/>
            </w:pPr>
            <w:r>
              <w:t>72,394.75</w:t>
            </w:r>
          </w:p>
        </w:tc>
        <w:tc>
          <w:tcPr>
            <w:tcW w:w="152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-37,568.44</w:t>
            </w:r>
          </w:p>
        </w:tc>
        <w:tc>
          <w:tcPr>
            <w:tcW w:w="152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48,091.65</w:t>
            </w:r>
          </w:p>
        </w:tc>
        <w:tc>
          <w:tcPr>
            <w:tcW w:w="1710" w:type="dxa"/>
            <w:tcBorders>
              <w:top w:val="single" w:color="auto" w:sz="4" w:space="0"/>
              <w:left w:val="single" w:color="auto" w:sz="4" w:space="0"/>
              <w:bottom w:val="single" w:color="auto" w:sz="4" w:space="0"/>
              <w:right w:val="single" w:color="auto" w:sz="4" w:space="0"/>
            </w:tcBorders>
            <w:vAlign w:val="center"/>
          </w:tcPr>
          <w:p>
            <w:pPr>
              <w:jc w:val="left"/>
            </w:pPr>
          </w:p>
        </w:tc>
      </w:tr>
      <w:tr>
        <w:tblPrEx>
          <w:tblLayout w:type="fixed"/>
          <w:tblCellMar>
            <w:top w:w="0" w:type="dxa"/>
            <w:left w:w="28" w:type="dxa"/>
            <w:bottom w:w="0" w:type="dxa"/>
            <w:right w:w="28" w:type="dxa"/>
          </w:tblCellMar>
        </w:tblPrEx>
        <w:tc>
          <w:tcPr>
            <w:tcW w:w="32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处置长期股权投资产生的投资收益</w:t>
            </w:r>
          </w:p>
        </w:tc>
        <w:tc>
          <w:tcPr>
            <w:tcW w:w="152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p>
        </w:tc>
        <w:tc>
          <w:tcPr>
            <w:tcW w:w="152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9,527,153.02</w:t>
            </w:r>
          </w:p>
        </w:tc>
        <w:tc>
          <w:tcPr>
            <w:tcW w:w="152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p>
        </w:tc>
        <w:tc>
          <w:tcPr>
            <w:tcW w:w="171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p>
        </w:tc>
      </w:tr>
      <w:tr>
        <w:tblPrEx>
          <w:tblLayout w:type="fixed"/>
          <w:tblCellMar>
            <w:top w:w="0" w:type="dxa"/>
            <w:left w:w="28" w:type="dxa"/>
            <w:bottom w:w="0" w:type="dxa"/>
            <w:right w:w="28" w:type="dxa"/>
          </w:tblCellMar>
        </w:tblPrEx>
        <w:tc>
          <w:tcPr>
            <w:tcW w:w="329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rPr>
                <w:rFonts w:hint="eastAsia"/>
              </w:rPr>
              <w:t>减：所得税影响额</w:t>
            </w:r>
          </w:p>
        </w:tc>
        <w:tc>
          <w:tcPr>
            <w:tcW w:w="1520" w:type="dxa"/>
            <w:tcBorders>
              <w:top w:val="single" w:color="auto" w:sz="4" w:space="0"/>
              <w:left w:val="single" w:color="auto" w:sz="4" w:space="0"/>
              <w:bottom w:val="single" w:color="auto" w:sz="4" w:space="0"/>
              <w:right w:val="single" w:color="auto" w:sz="4" w:space="0"/>
            </w:tcBorders>
            <w:vAlign w:val="center"/>
          </w:tcPr>
          <w:p>
            <w:pPr>
              <w:jc w:val="right"/>
            </w:pPr>
            <w:r>
              <w:t>4,060,383.81</w:t>
            </w:r>
          </w:p>
        </w:tc>
        <w:tc>
          <w:tcPr>
            <w:tcW w:w="152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4,685,726.72</w:t>
            </w:r>
          </w:p>
        </w:tc>
        <w:tc>
          <w:tcPr>
            <w:tcW w:w="152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2,311,818.26</w:t>
            </w:r>
          </w:p>
        </w:tc>
        <w:tc>
          <w:tcPr>
            <w:tcW w:w="1710" w:type="dxa"/>
            <w:tcBorders>
              <w:top w:val="single" w:color="auto" w:sz="4" w:space="0"/>
              <w:left w:val="single" w:color="auto" w:sz="4" w:space="0"/>
              <w:bottom w:val="single" w:color="auto" w:sz="4" w:space="0"/>
              <w:right w:val="single" w:color="auto" w:sz="4" w:space="0"/>
            </w:tcBorders>
            <w:vAlign w:val="center"/>
          </w:tcPr>
          <w:p>
            <w:pPr>
              <w:jc w:val="left"/>
            </w:pPr>
          </w:p>
        </w:tc>
      </w:tr>
      <w:tr>
        <w:tblPrEx>
          <w:tblLayout w:type="fixed"/>
          <w:tblCellMar>
            <w:top w:w="0" w:type="dxa"/>
            <w:left w:w="28" w:type="dxa"/>
            <w:bottom w:w="0" w:type="dxa"/>
            <w:right w:w="28" w:type="dxa"/>
          </w:tblCellMar>
        </w:tblPrEx>
        <w:tc>
          <w:tcPr>
            <w:tcW w:w="329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rPr>
                <w:rFonts w:hint="eastAsia"/>
              </w:rPr>
              <w:t>　　少数股东权益影响额（税后）</w:t>
            </w:r>
          </w:p>
        </w:tc>
        <w:tc>
          <w:tcPr>
            <w:tcW w:w="1520" w:type="dxa"/>
            <w:tcBorders>
              <w:top w:val="single" w:color="auto" w:sz="4" w:space="0"/>
              <w:left w:val="single" w:color="auto" w:sz="4" w:space="0"/>
              <w:bottom w:val="single" w:color="auto" w:sz="4" w:space="0"/>
              <w:right w:val="single" w:color="auto" w:sz="4" w:space="0"/>
            </w:tcBorders>
            <w:vAlign w:val="center"/>
          </w:tcPr>
          <w:p>
            <w:pPr>
              <w:jc w:val="right"/>
            </w:pPr>
            <w:r>
              <w:t>1,771,185.72</w:t>
            </w:r>
          </w:p>
        </w:tc>
        <w:tc>
          <w:tcPr>
            <w:tcW w:w="152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2,130,410.31</w:t>
            </w:r>
          </w:p>
        </w:tc>
        <w:tc>
          <w:tcPr>
            <w:tcW w:w="152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1,475,976.65</w:t>
            </w:r>
          </w:p>
        </w:tc>
        <w:tc>
          <w:tcPr>
            <w:tcW w:w="1710" w:type="dxa"/>
            <w:tcBorders>
              <w:top w:val="single" w:color="auto" w:sz="4" w:space="0"/>
              <w:left w:val="single" w:color="auto" w:sz="4" w:space="0"/>
              <w:bottom w:val="single" w:color="auto" w:sz="4" w:space="0"/>
              <w:right w:val="single" w:color="auto" w:sz="4" w:space="0"/>
            </w:tcBorders>
            <w:vAlign w:val="center"/>
          </w:tcPr>
          <w:p>
            <w:pPr>
              <w:jc w:val="left"/>
            </w:pPr>
          </w:p>
        </w:tc>
      </w:tr>
      <w:tr>
        <w:tblPrEx>
          <w:tblLayout w:type="fixed"/>
          <w:tblCellMar>
            <w:top w:w="0" w:type="dxa"/>
            <w:left w:w="28" w:type="dxa"/>
            <w:bottom w:w="0" w:type="dxa"/>
            <w:right w:w="28" w:type="dxa"/>
          </w:tblCellMar>
        </w:tblPrEx>
        <w:tc>
          <w:tcPr>
            <w:tcW w:w="329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rPr>
                <w:rFonts w:hint="eastAsia"/>
              </w:rPr>
              <w:t>合计</w:t>
            </w:r>
          </w:p>
        </w:tc>
        <w:tc>
          <w:tcPr>
            <w:tcW w:w="1520" w:type="dxa"/>
            <w:tcBorders>
              <w:top w:val="single" w:color="auto" w:sz="4" w:space="0"/>
              <w:left w:val="single" w:color="auto" w:sz="4" w:space="0"/>
              <w:bottom w:val="single" w:color="auto" w:sz="4" w:space="0"/>
              <w:right w:val="single" w:color="auto" w:sz="4" w:space="0"/>
            </w:tcBorders>
            <w:vAlign w:val="center"/>
          </w:tcPr>
          <w:p>
            <w:pPr>
              <w:jc w:val="right"/>
            </w:pPr>
            <w:r>
              <w:t>18,360,925.57</w:t>
            </w:r>
          </w:p>
        </w:tc>
        <w:tc>
          <w:tcPr>
            <w:tcW w:w="152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21,543,989.84</w:t>
            </w:r>
          </w:p>
        </w:tc>
        <w:tc>
          <w:tcPr>
            <w:tcW w:w="152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11,493,423.62</w:t>
            </w:r>
          </w:p>
        </w:tc>
        <w:tc>
          <w:tcPr>
            <w:tcW w:w="171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t>--</w:t>
            </w:r>
          </w:p>
        </w:tc>
      </w:tr>
    </w:tbl>
    <w:p>
      <w:pPr>
        <w:jc w:val="left"/>
      </w:pPr>
      <w:r>
        <w:rPr>
          <w:rFonts w:hint="eastAsia"/>
        </w:rPr>
        <w:t>对公司根据《公开发行证券的公司信息披露解释性公告第</w:t>
      </w:r>
      <w:r>
        <w:t>1</w:t>
      </w:r>
      <w:r>
        <w:rPr>
          <w:rFonts w:hint="eastAsia"/>
        </w:rPr>
        <w:t>号</w:t>
      </w:r>
      <w:r>
        <w:t>——</w:t>
      </w:r>
      <w:r>
        <w:rPr>
          <w:rFonts w:hint="eastAsia"/>
        </w:rPr>
        <w:t>非经常性损益》定义界定的非经常性损益项目，以及把《公开发行证券的公司信息披露解释性公告第</w:t>
      </w:r>
      <w:r>
        <w:t>1</w:t>
      </w:r>
      <w:r>
        <w:rPr>
          <w:rFonts w:hint="eastAsia"/>
        </w:rPr>
        <w:t>号</w:t>
      </w:r>
      <w:r>
        <w:t>——</w:t>
      </w:r>
      <w:r>
        <w:rPr>
          <w:rFonts w:hint="eastAsia"/>
        </w:rPr>
        <w:t>非经常性损益》中列举的非经常性损益项目界定为经常性损益的项目，应说明原因</w:t>
      </w:r>
    </w:p>
    <w:p>
      <w:pPr>
        <w:jc w:val="left"/>
      </w:pPr>
      <w:r>
        <w:t xml:space="preserve">□ </w:t>
      </w:r>
      <w:r>
        <w:rPr>
          <w:rFonts w:hint="eastAsia"/>
        </w:rPr>
        <w:t>适用</w:t>
      </w:r>
      <w:r>
        <w:t xml:space="preserve"> √ </w:t>
      </w:r>
      <w:r>
        <w:rPr>
          <w:rFonts w:hint="eastAsia"/>
        </w:rPr>
        <w:t>不适用</w:t>
      </w:r>
      <w:r>
        <w:t xml:space="preserve"> </w:t>
      </w:r>
    </w:p>
    <w:p>
      <w:pPr>
        <w:jc w:val="left"/>
      </w:pPr>
      <w:r>
        <w:rPr>
          <w:rFonts w:hint="eastAsia"/>
        </w:rPr>
        <w:t>公司报告期不存在将根据《公开发行证券的公司信息披露解释性公告第</w:t>
      </w:r>
      <w:r>
        <w:t>1</w:t>
      </w:r>
      <w:r>
        <w:rPr>
          <w:rFonts w:hint="eastAsia"/>
        </w:rPr>
        <w:t>号</w:t>
      </w:r>
      <w:r>
        <w:t>——</w:t>
      </w:r>
      <w:r>
        <w:rPr>
          <w:rFonts w:hint="eastAsia"/>
        </w:rPr>
        <w:t>非经常性损益》定义、列举的非经常性损益项目界定为经常性损益的项目的情形。</w:t>
      </w:r>
    </w:p>
    <w:p>
      <w:pPr>
        <w:jc w:val="left"/>
        <w:sectPr>
          <w:pgSz w:w="11906" w:h="16838"/>
          <w:pgMar w:top="1440" w:right="1134" w:bottom="1440" w:left="1134" w:header="851" w:footer="992" w:gutter="0"/>
          <w:cols w:space="425" w:num="1"/>
          <w:docGrid w:type="lines" w:linePitch="312" w:charSpace="0"/>
        </w:sectPr>
      </w:pPr>
    </w:p>
    <w:p>
      <w:pPr>
        <w:pStyle w:val="5"/>
        <w:outlineLvl w:val="0"/>
      </w:pPr>
      <w:bookmarkStart w:id="2" w:name="_Toc300000086"/>
      <w:r>
        <w:rPr>
          <w:rFonts w:hint="eastAsia"/>
        </w:rPr>
        <w:t>第三节</w:t>
      </w:r>
      <w:r>
        <w:t xml:space="preserve"> </w:t>
      </w:r>
      <w:r>
        <w:rPr>
          <w:rFonts w:hint="eastAsia"/>
        </w:rPr>
        <w:t>公司业务概要</w:t>
      </w:r>
      <w:bookmarkEnd w:id="2"/>
    </w:p>
    <w:p>
      <w:pPr>
        <w:pStyle w:val="10"/>
        <w:outlineLvl w:val="1"/>
      </w:pPr>
      <w:r>
        <w:rPr>
          <w:rFonts w:hint="eastAsia"/>
        </w:rPr>
        <w:t>一、报告期内公司从事的主要业务</w:t>
      </w:r>
    </w:p>
    <w:p>
      <w:pPr>
        <w:jc w:val="left"/>
      </w:pPr>
      <w:r>
        <w:rPr>
          <w:rFonts w:hint="eastAsia"/>
        </w:rPr>
        <w:t>公司是否需要遵守特殊行业的披露要求</w:t>
      </w:r>
    </w:p>
    <w:p>
      <w:pPr>
        <w:jc w:val="left"/>
      </w:pPr>
      <w:r>
        <w:rPr>
          <w:rFonts w:hint="eastAsia"/>
        </w:rPr>
        <w:t>否</w:t>
      </w:r>
    </w:p>
    <w:p>
      <w:pPr>
        <w:autoSpaceDE w:val="0"/>
        <w:autoSpaceDN w:val="0"/>
        <w:adjustRightInd w:val="0"/>
        <w:ind w:firstLine="422"/>
        <w:rPr>
          <w:rFonts w:eastAsia="Times New Roman"/>
          <w:b/>
          <w:bCs/>
          <w:kern w:val="0"/>
          <w:sz w:val="21"/>
          <w:szCs w:val="21"/>
          <w:lang w:val="zh-CN"/>
        </w:rPr>
      </w:pPr>
      <w:r>
        <w:rPr>
          <w:rFonts w:hint="eastAsia" w:ascii="宋体" w:hAnsi="宋体" w:cs="宋体"/>
          <w:b/>
          <w:bCs/>
          <w:kern w:val="0"/>
          <w:sz w:val="21"/>
          <w:szCs w:val="21"/>
          <w:lang w:val="zh-CN"/>
        </w:rPr>
        <w:t>（一）公司主要业务和产品介绍</w:t>
      </w:r>
    </w:p>
    <w:p>
      <w:pPr>
        <w:autoSpaceDE w:val="0"/>
        <w:autoSpaceDN w:val="0"/>
        <w:adjustRightInd w:val="0"/>
        <w:ind w:firstLine="420"/>
        <w:rPr>
          <w:rFonts w:eastAsia="Times New Roman"/>
          <w:kern w:val="0"/>
          <w:sz w:val="21"/>
          <w:szCs w:val="21"/>
          <w:lang w:val="zh-CN"/>
        </w:rPr>
      </w:pPr>
      <w:r>
        <w:rPr>
          <w:rFonts w:hint="eastAsia" w:ascii="宋体" w:hAnsi="宋体" w:cs="宋体"/>
          <w:kern w:val="0"/>
          <w:sz w:val="21"/>
          <w:szCs w:val="21"/>
          <w:lang w:val="zh-CN"/>
        </w:rPr>
        <w:t>公司聚焦</w:t>
      </w:r>
      <w:r>
        <w:rPr>
          <w:rFonts w:eastAsia="Times New Roman"/>
          <w:kern w:val="0"/>
          <w:sz w:val="21"/>
          <w:szCs w:val="21"/>
          <w:lang w:val="zh-CN"/>
        </w:rPr>
        <w:t>“</w:t>
      </w:r>
      <w:r>
        <w:rPr>
          <w:rFonts w:hint="eastAsia" w:ascii="宋体" w:hAnsi="宋体" w:cs="宋体"/>
          <w:kern w:val="0"/>
          <w:sz w:val="21"/>
          <w:szCs w:val="21"/>
          <w:lang w:val="zh-CN"/>
        </w:rPr>
        <w:t>海洋</w:t>
      </w:r>
      <w:r>
        <w:rPr>
          <w:rFonts w:eastAsia="Times New Roman"/>
          <w:kern w:val="0"/>
          <w:sz w:val="21"/>
          <w:szCs w:val="21"/>
          <w:lang w:val="zh-CN"/>
        </w:rPr>
        <w:t>”</w:t>
      </w:r>
      <w:r>
        <w:rPr>
          <w:rFonts w:hint="eastAsia" w:ascii="宋体" w:hAnsi="宋体" w:cs="宋体"/>
          <w:kern w:val="0"/>
          <w:sz w:val="21"/>
          <w:szCs w:val="21"/>
          <w:lang w:val="zh-CN"/>
        </w:rPr>
        <w:t>，致力于成为全球智能航海的引领者</w:t>
      </w:r>
      <w:r>
        <w:rPr>
          <w:rFonts w:eastAsia="Times New Roman"/>
          <w:kern w:val="0"/>
          <w:sz w:val="21"/>
          <w:szCs w:val="21"/>
          <w:lang w:val="zh-CN"/>
        </w:rPr>
        <w:t>,</w:t>
      </w:r>
      <w:r>
        <w:rPr>
          <w:rFonts w:hint="eastAsia" w:ascii="宋体" w:hAnsi="宋体" w:cs="宋体"/>
          <w:kern w:val="0"/>
          <w:sz w:val="21"/>
          <w:szCs w:val="21"/>
          <w:lang w:val="zh-CN"/>
        </w:rPr>
        <w:t xml:space="preserve"> 中国智慧海洋的建设者</w:t>
      </w:r>
      <w:r>
        <w:rPr>
          <w:rFonts w:eastAsia="Times New Roman"/>
          <w:kern w:val="0"/>
          <w:sz w:val="21"/>
          <w:szCs w:val="21"/>
          <w:lang w:val="zh-CN"/>
        </w:rPr>
        <w:t>,</w:t>
      </w:r>
      <w:r>
        <w:rPr>
          <w:rFonts w:hint="eastAsia" w:ascii="宋体" w:hAnsi="宋体" w:cs="宋体"/>
          <w:kern w:val="0"/>
          <w:sz w:val="21"/>
          <w:szCs w:val="21"/>
          <w:lang w:val="zh-CN"/>
        </w:rPr>
        <w:t>基于此</w:t>
      </w:r>
      <w:r>
        <w:rPr>
          <w:rFonts w:eastAsia="Times New Roman"/>
          <w:kern w:val="0"/>
          <w:sz w:val="21"/>
          <w:szCs w:val="21"/>
          <w:lang w:val="zh-CN"/>
        </w:rPr>
        <w:t>,</w:t>
      </w:r>
      <w:r>
        <w:rPr>
          <w:rFonts w:hint="eastAsia" w:ascii="宋体" w:hAnsi="宋体" w:cs="宋体"/>
          <w:kern w:val="0"/>
          <w:sz w:val="21"/>
          <w:szCs w:val="21"/>
          <w:lang w:val="zh-CN"/>
        </w:rPr>
        <w:t>公司形成了智能航海业务体系与智慧海洋业务体系。其中智能航海业务包括智慧桥</w:t>
      </w:r>
      <w:r>
        <w:rPr>
          <w:rFonts w:eastAsia="Times New Roman"/>
          <w:kern w:val="0"/>
          <w:sz w:val="21"/>
          <w:szCs w:val="21"/>
          <w:lang w:val="zh-CN"/>
        </w:rPr>
        <w:t>·</w:t>
      </w:r>
      <w:r>
        <w:rPr>
          <w:rFonts w:hint="eastAsia" w:ascii="宋体" w:hAnsi="宋体" w:cs="宋体"/>
          <w:kern w:val="0"/>
          <w:sz w:val="21"/>
          <w:szCs w:val="21"/>
          <w:lang w:val="zh-CN"/>
        </w:rPr>
        <w:t>综合导航系统（</w:t>
      </w:r>
      <w:r>
        <w:rPr>
          <w:rFonts w:eastAsia="Times New Roman"/>
          <w:kern w:val="0"/>
          <w:sz w:val="21"/>
          <w:szCs w:val="21"/>
          <w:lang w:val="zh-CN"/>
        </w:rPr>
        <w:t>INS</w:t>
      </w:r>
      <w:r>
        <w:rPr>
          <w:rFonts w:hint="eastAsia" w:ascii="宋体" w:hAnsi="宋体" w:cs="宋体"/>
          <w:kern w:val="0"/>
          <w:sz w:val="21"/>
          <w:szCs w:val="21"/>
          <w:lang w:val="zh-CN"/>
        </w:rPr>
        <w:t>）、雷达（</w:t>
      </w:r>
      <w:r>
        <w:rPr>
          <w:rFonts w:eastAsia="Times New Roman"/>
          <w:kern w:val="0"/>
          <w:sz w:val="21"/>
          <w:szCs w:val="21"/>
          <w:lang w:val="zh-CN"/>
        </w:rPr>
        <w:t>RADAR</w:t>
      </w:r>
      <w:r>
        <w:rPr>
          <w:rFonts w:hint="eastAsia" w:ascii="宋体" w:hAnsi="宋体" w:cs="宋体"/>
          <w:kern w:val="0"/>
          <w:sz w:val="21"/>
          <w:szCs w:val="21"/>
          <w:lang w:val="zh-CN"/>
        </w:rPr>
        <w:t>）、船舶操舵仪（</w:t>
      </w:r>
      <w:r>
        <w:rPr>
          <w:rFonts w:eastAsia="Times New Roman"/>
          <w:kern w:val="0"/>
          <w:sz w:val="21"/>
          <w:szCs w:val="21"/>
          <w:lang w:val="zh-CN"/>
        </w:rPr>
        <w:t>SCS</w:t>
      </w:r>
      <w:r>
        <w:rPr>
          <w:rFonts w:hint="eastAsia" w:ascii="宋体" w:hAnsi="宋体" w:cs="宋体"/>
          <w:kern w:val="0"/>
          <w:sz w:val="21"/>
          <w:szCs w:val="21"/>
          <w:lang w:val="zh-CN"/>
        </w:rPr>
        <w:t>）、电子海图显示与信息系统（</w:t>
      </w:r>
      <w:r>
        <w:rPr>
          <w:rFonts w:eastAsia="Times New Roman"/>
          <w:kern w:val="0"/>
          <w:sz w:val="21"/>
          <w:szCs w:val="21"/>
          <w:lang w:val="zh-CN"/>
        </w:rPr>
        <w:t>ECDIS</w:t>
      </w:r>
      <w:r>
        <w:rPr>
          <w:rFonts w:hint="eastAsia" w:ascii="宋体" w:hAnsi="宋体" w:cs="宋体"/>
          <w:kern w:val="0"/>
          <w:sz w:val="21"/>
          <w:szCs w:val="21"/>
          <w:lang w:val="zh-CN"/>
        </w:rPr>
        <w:t>）、罗经（</w:t>
      </w:r>
      <w:r>
        <w:rPr>
          <w:rFonts w:eastAsia="Times New Roman"/>
          <w:kern w:val="0"/>
          <w:sz w:val="21"/>
          <w:szCs w:val="21"/>
          <w:lang w:val="zh-CN"/>
        </w:rPr>
        <w:t>GYRO</w:t>
      </w:r>
      <w:r>
        <w:rPr>
          <w:rFonts w:hint="eastAsia" w:ascii="宋体" w:hAnsi="宋体" w:cs="宋体"/>
          <w:kern w:val="0"/>
          <w:sz w:val="21"/>
          <w:szCs w:val="21"/>
          <w:lang w:val="zh-CN"/>
        </w:rPr>
        <w:t>）、船载航行数据记录仪（</w:t>
      </w:r>
      <w:r>
        <w:rPr>
          <w:rFonts w:eastAsia="Times New Roman"/>
          <w:kern w:val="0"/>
          <w:sz w:val="21"/>
          <w:szCs w:val="21"/>
          <w:lang w:val="zh-CN"/>
        </w:rPr>
        <w:t>VDR</w:t>
      </w:r>
      <w:r>
        <w:rPr>
          <w:rFonts w:hint="eastAsia" w:ascii="宋体" w:hAnsi="宋体" w:cs="宋体"/>
          <w:kern w:val="0"/>
          <w:sz w:val="21"/>
          <w:szCs w:val="21"/>
          <w:lang w:val="zh-CN"/>
        </w:rPr>
        <w:t>）、船舶远程监控管理系统（</w:t>
      </w:r>
      <w:r>
        <w:rPr>
          <w:rFonts w:eastAsia="Times New Roman"/>
          <w:kern w:val="0"/>
          <w:sz w:val="21"/>
          <w:szCs w:val="21"/>
          <w:lang w:val="zh-CN"/>
        </w:rPr>
        <w:t>VMS</w:t>
      </w:r>
      <w:r>
        <w:rPr>
          <w:rFonts w:hint="eastAsia" w:ascii="宋体" w:hAnsi="宋体" w:cs="宋体"/>
          <w:kern w:val="0"/>
          <w:sz w:val="21"/>
          <w:szCs w:val="21"/>
          <w:lang w:val="zh-CN"/>
        </w:rPr>
        <w:t>）、全球海上遇险与安全系统（</w:t>
      </w:r>
      <w:r>
        <w:rPr>
          <w:rFonts w:eastAsia="Times New Roman"/>
          <w:kern w:val="0"/>
          <w:sz w:val="21"/>
          <w:szCs w:val="21"/>
          <w:lang w:val="zh-CN"/>
        </w:rPr>
        <w:t>GMDSS</w:t>
      </w:r>
      <w:r>
        <w:rPr>
          <w:rFonts w:hint="eastAsia" w:ascii="宋体" w:hAnsi="宋体" w:cs="宋体"/>
          <w:kern w:val="0"/>
          <w:sz w:val="21"/>
          <w:szCs w:val="21"/>
          <w:lang w:val="zh-CN"/>
        </w:rPr>
        <w:t>）、船舶综合机舱监控报警系统等；智慧海洋业务包括智能雷达监控系统、溢油探测雷达、海浪探测雷达、物理海洋仪器设备、海洋物探仪器设备、海洋测绘仪器设备、水下工程仪器设备、无人智能监测平台等。</w:t>
      </w:r>
    </w:p>
    <w:p>
      <w:pPr>
        <w:autoSpaceDE w:val="0"/>
        <w:autoSpaceDN w:val="0"/>
        <w:adjustRightInd w:val="0"/>
        <w:ind w:firstLine="412"/>
        <w:rPr>
          <w:rFonts w:eastAsia="Times New Roman"/>
          <w:kern w:val="0"/>
          <w:sz w:val="21"/>
          <w:szCs w:val="21"/>
          <w:lang w:val="zh-CN"/>
        </w:rPr>
      </w:pPr>
      <w:r>
        <w:rPr>
          <w:rFonts w:hint="eastAsia" w:ascii="宋体" w:hAnsi="宋体" w:cs="宋体"/>
          <w:kern w:val="0"/>
          <w:sz w:val="21"/>
          <w:szCs w:val="21"/>
          <w:lang w:val="zh-CN"/>
        </w:rPr>
        <w:t>智能航海产品系列即指海事综合导航、智能装备与系统，是以综合导航系统（</w:t>
      </w:r>
      <w:r>
        <w:rPr>
          <w:rFonts w:eastAsia="Times New Roman"/>
          <w:kern w:val="0"/>
          <w:sz w:val="21"/>
          <w:szCs w:val="21"/>
          <w:lang w:val="zh-CN"/>
        </w:rPr>
        <w:t>INS</w:t>
      </w:r>
      <w:r>
        <w:rPr>
          <w:rFonts w:hint="eastAsia" w:ascii="宋体" w:hAnsi="宋体" w:cs="宋体"/>
          <w:kern w:val="0"/>
          <w:sz w:val="21"/>
          <w:szCs w:val="21"/>
          <w:lang w:val="zh-CN"/>
        </w:rPr>
        <w:t>）为核心，为客户提供船舶智能航行驾驶系统，并在此基础上集成其他航行相关设备及多方位传感器，可实现船舶航行设备的数字化及集成化，通过智能航行及辅助决策系统，降低驾驶员劳动强度，提高航行安全目的，进而实现智能化；未来通过虚拟现实等技术手段，成为无人船的核心技术组成。同时，公司通过多年积累的船舶航行数据，打造</w:t>
      </w:r>
      <w:r>
        <w:rPr>
          <w:rFonts w:eastAsia="Times New Roman"/>
          <w:kern w:val="0"/>
          <w:sz w:val="21"/>
          <w:szCs w:val="21"/>
          <w:lang w:val="zh-CN"/>
        </w:rPr>
        <w:t>“Hi-Cloud”</w:t>
      </w:r>
      <w:r>
        <w:rPr>
          <w:rFonts w:hint="eastAsia" w:ascii="宋体" w:hAnsi="宋体" w:cs="宋体"/>
          <w:kern w:val="0"/>
          <w:sz w:val="21"/>
          <w:szCs w:val="21"/>
          <w:lang w:val="zh-CN"/>
        </w:rPr>
        <w:t>船舶远程信息服务系统，凭借海兰信</w:t>
      </w:r>
      <w:r>
        <w:rPr>
          <w:rFonts w:eastAsia="Times New Roman"/>
          <w:kern w:val="0"/>
          <w:sz w:val="21"/>
          <w:szCs w:val="21"/>
          <w:lang w:val="zh-CN"/>
        </w:rPr>
        <w:t>VDR+</w:t>
      </w:r>
      <w:r>
        <w:rPr>
          <w:rFonts w:hint="eastAsia" w:ascii="宋体" w:hAnsi="宋体" w:cs="宋体"/>
          <w:kern w:val="0"/>
          <w:sz w:val="21"/>
          <w:szCs w:val="21"/>
          <w:lang w:val="zh-CN"/>
        </w:rPr>
        <w:t>、</w:t>
      </w:r>
      <w:r>
        <w:rPr>
          <w:rFonts w:eastAsia="Times New Roman"/>
          <w:kern w:val="0"/>
          <w:sz w:val="21"/>
          <w:szCs w:val="21"/>
          <w:lang w:val="zh-CN"/>
        </w:rPr>
        <w:t>INS+</w:t>
      </w:r>
      <w:r>
        <w:rPr>
          <w:rFonts w:hint="eastAsia" w:ascii="宋体" w:hAnsi="宋体" w:cs="宋体"/>
          <w:kern w:val="0"/>
          <w:sz w:val="21"/>
          <w:szCs w:val="21"/>
          <w:lang w:val="zh-CN"/>
        </w:rPr>
        <w:t>或</w:t>
      </w:r>
      <w:r>
        <w:rPr>
          <w:rFonts w:eastAsia="Times New Roman"/>
          <w:kern w:val="0"/>
          <w:sz w:val="21"/>
          <w:szCs w:val="21"/>
          <w:lang w:val="zh-CN"/>
        </w:rPr>
        <w:t>VMS+</w:t>
      </w:r>
      <w:r>
        <w:rPr>
          <w:rFonts w:hint="eastAsia" w:ascii="宋体" w:hAnsi="宋体" w:cs="宋体"/>
          <w:kern w:val="0"/>
          <w:sz w:val="21"/>
          <w:szCs w:val="21"/>
          <w:lang w:val="zh-CN"/>
        </w:rPr>
        <w:t>采集船舶的航行、机舱、货物、视频等数据，通过卫星或</w:t>
      </w:r>
      <w:r>
        <w:rPr>
          <w:rFonts w:eastAsia="Times New Roman"/>
          <w:kern w:val="0"/>
          <w:sz w:val="21"/>
          <w:szCs w:val="21"/>
          <w:lang w:val="zh-CN"/>
        </w:rPr>
        <w:t>3G/4G</w:t>
      </w:r>
      <w:r>
        <w:rPr>
          <w:rFonts w:hint="eastAsia" w:ascii="宋体" w:hAnsi="宋体" w:cs="宋体"/>
          <w:kern w:val="0"/>
          <w:sz w:val="21"/>
          <w:szCs w:val="21"/>
          <w:lang w:val="zh-CN"/>
        </w:rPr>
        <w:t>网络传递到岸端云服务器，同时采集全球的海洋气象洋流信息，在云服务器上对各种信息进行存储、梳理分析及挖掘，进而形成一个船舶信息服务平台。该平台能够向船舶提供气象导航及航线优化、设备诊断支持、办公自动化、海图及其他数据下载更新等服务，向岸端管理及监管部门提供船舶综合状态信息和设备远程诊断维护、船舶事故数据下载回放、船舶隐患预警、办公自动化等服务，使相关部门能够及时了解船舶状况，做出合理决策，以确保船舶航行安全，节省能源、降低运维成本、提高运营效能。</w:t>
      </w:r>
    </w:p>
    <w:p>
      <w:pPr>
        <w:autoSpaceDE w:val="0"/>
        <w:autoSpaceDN w:val="0"/>
        <w:adjustRightInd w:val="0"/>
        <w:ind w:firstLine="420"/>
        <w:rPr>
          <w:rFonts w:eastAsia="Times New Roman"/>
          <w:kern w:val="0"/>
          <w:sz w:val="21"/>
          <w:szCs w:val="21"/>
          <w:lang w:val="zh-CN"/>
        </w:rPr>
      </w:pPr>
      <w:r>
        <w:rPr>
          <w:rFonts w:hint="eastAsia" w:ascii="宋体" w:hAnsi="宋体" w:cs="宋体"/>
          <w:kern w:val="0"/>
          <w:sz w:val="21"/>
          <w:szCs w:val="21"/>
          <w:lang w:val="zh-CN"/>
        </w:rPr>
        <w:t>智慧海洋产品系列包括海洋观</w:t>
      </w:r>
      <w:r>
        <w:rPr>
          <w:rFonts w:eastAsia="Times New Roman"/>
          <w:kern w:val="0"/>
          <w:sz w:val="21"/>
          <w:szCs w:val="21"/>
          <w:lang w:val="zh-CN"/>
        </w:rPr>
        <w:t>(</w:t>
      </w:r>
      <w:r>
        <w:rPr>
          <w:rFonts w:hint="eastAsia" w:ascii="宋体" w:hAnsi="宋体" w:cs="宋体"/>
          <w:kern w:val="0"/>
          <w:sz w:val="21"/>
          <w:szCs w:val="21"/>
          <w:lang w:val="zh-CN"/>
        </w:rPr>
        <w:t>监</w:t>
      </w:r>
      <w:r>
        <w:rPr>
          <w:rFonts w:eastAsia="Times New Roman"/>
          <w:kern w:val="0"/>
          <w:sz w:val="21"/>
          <w:szCs w:val="21"/>
          <w:lang w:val="zh-CN"/>
        </w:rPr>
        <w:t>)</w:t>
      </w:r>
      <w:r>
        <w:rPr>
          <w:rFonts w:hint="eastAsia" w:ascii="宋体" w:hAnsi="宋体" w:cs="宋体"/>
          <w:kern w:val="0"/>
          <w:sz w:val="21"/>
          <w:szCs w:val="21"/>
          <w:lang w:val="zh-CN"/>
        </w:rPr>
        <w:t>测系统及相应的传感器。</w:t>
      </w:r>
    </w:p>
    <w:p>
      <w:pPr>
        <w:autoSpaceDE w:val="0"/>
        <w:autoSpaceDN w:val="0"/>
        <w:adjustRightInd w:val="0"/>
        <w:ind w:firstLine="412"/>
        <w:rPr>
          <w:rFonts w:eastAsia="Times New Roman"/>
          <w:kern w:val="0"/>
          <w:sz w:val="21"/>
          <w:szCs w:val="21"/>
          <w:lang w:val="zh-CN"/>
        </w:rPr>
      </w:pPr>
      <w:r>
        <w:rPr>
          <w:rFonts w:hint="eastAsia" w:ascii="宋体" w:hAnsi="宋体" w:cs="宋体"/>
          <w:kern w:val="0"/>
          <w:sz w:val="21"/>
          <w:szCs w:val="21"/>
          <w:lang w:val="zh-CN"/>
        </w:rPr>
        <w:t>其中，海洋观（监）测系统包括基于雷达为核心的海上系统，以及基于海底网技术为核心的海底系统。公司拥有自主的雷达技术，包括：极小目标探测雷达、溢油探测雷达、海浪探测雷达以及高频地波雷达等，该系列产品可实现全自动跟踪、探测、识别海上目标，尤其对极小目标（</w:t>
      </w:r>
      <w:r>
        <w:rPr>
          <w:rFonts w:eastAsia="Times New Roman"/>
          <w:kern w:val="0"/>
          <w:sz w:val="21"/>
          <w:szCs w:val="21"/>
          <w:lang w:val="zh-CN"/>
        </w:rPr>
        <w:t>RCS≥0.1</w:t>
      </w:r>
      <w:r>
        <w:rPr>
          <w:rFonts w:ascii="Segoe UI Symbol" w:hAnsi="Segoe UI Symbol" w:cs="Segoe UI Symbol"/>
          <w:kern w:val="0"/>
          <w:sz w:val="21"/>
          <w:szCs w:val="21"/>
          <w:lang w:val="zh-CN"/>
        </w:rPr>
        <w:t>㎡</w:t>
      </w:r>
      <w:r>
        <w:rPr>
          <w:rFonts w:hint="eastAsia" w:ascii="宋体" w:hAnsi="宋体" w:cs="宋体"/>
          <w:kern w:val="0"/>
          <w:sz w:val="21"/>
          <w:szCs w:val="21"/>
          <w:lang w:val="zh-CN"/>
        </w:rPr>
        <w:t>）具有良好的探测和识别效果；雷达系统通过与光电观察设备联动功能实现对海上目标的精确识别。雷达系统成为海上执法、海洋环境治理、海洋防务、海洋渔业资源保护与开发等重要手段，也是国家推进智慧海洋建设的重要支撑。国家推行的全球立体观（监）测网中，海底观（监）测技术是重要的组成部分，公司本着国际化推动本地化的海洋发展战略，通过自主研发及国际引进等手段，整合了国际上最前沿的海底网技术及相应的运行经验，公司有能力承担长距离、深远海的综合观测项目。</w:t>
      </w:r>
    </w:p>
    <w:p>
      <w:pPr>
        <w:autoSpaceDE w:val="0"/>
        <w:autoSpaceDN w:val="0"/>
        <w:adjustRightInd w:val="0"/>
        <w:ind w:firstLine="420"/>
        <w:rPr>
          <w:rFonts w:eastAsia="Times New Roman"/>
          <w:kern w:val="0"/>
          <w:sz w:val="21"/>
          <w:szCs w:val="21"/>
          <w:lang w:val="zh-CN"/>
        </w:rPr>
      </w:pPr>
      <w:r>
        <w:rPr>
          <w:rFonts w:hint="eastAsia" w:ascii="宋体" w:hAnsi="宋体" w:cs="宋体"/>
          <w:kern w:val="0"/>
          <w:sz w:val="21"/>
          <w:szCs w:val="21"/>
          <w:lang w:val="zh-CN"/>
        </w:rPr>
        <w:t>其中，传感器系列包括物理海洋仪器设备、海洋物探仪器设备、海洋测绘仪器设备、水下工程仪器设备、无人智能监测平台等海洋监测产品，该系列产品用于海洋调查领域。物理海洋仪器设备主要探测海水的物理特性（例如温度、盐度和密度的分布）以及海流、波浪、潮汐和海水声学特性等；海洋物探仪器设备为海洋地质学家、海洋地球物理学家在叙述与测定海底地形的起源、探测沉积物及基岩成分及厚度、解释海底内部结构生成的原因的调查、研究提供了重要手段，仪器设备主要包括海洋重力仪、海洋磁力仪、海底静力触探仪和海洋地震仪等；海洋测绘仪器用以测量海洋底部的地球物理场的性质及其变化特征，绘制成不同</w:t>
      </w:r>
      <w:r>
        <w:fldChar w:fldCharType="begin"/>
      </w:r>
      <w:r>
        <w:instrText xml:space="preserve"> HYPERLINK "http://baike.baidu.com/item/%E6%AF%94%E4%BE%8B%E5%B0%BA" </w:instrText>
      </w:r>
      <w:r>
        <w:fldChar w:fldCharType="separate"/>
      </w:r>
      <w:r>
        <w:rPr>
          <w:rFonts w:hint="eastAsia" w:ascii="宋体" w:hAnsi="宋体" w:cs="宋体"/>
          <w:kern w:val="0"/>
          <w:sz w:val="21"/>
          <w:szCs w:val="21"/>
          <w:lang w:val="zh-CN"/>
        </w:rPr>
        <w:t>比例尺</w:t>
      </w:r>
      <w:r>
        <w:rPr>
          <w:rFonts w:hint="eastAsia" w:ascii="宋体" w:hAnsi="宋体" w:cs="宋体"/>
          <w:kern w:val="0"/>
          <w:sz w:val="21"/>
          <w:szCs w:val="21"/>
          <w:lang w:val="zh-CN"/>
        </w:rPr>
        <w:fldChar w:fldCharType="end"/>
      </w:r>
      <w:r>
        <w:rPr>
          <w:rFonts w:hint="eastAsia" w:ascii="宋体" w:hAnsi="宋体" w:cs="宋体"/>
          <w:kern w:val="0"/>
          <w:sz w:val="21"/>
          <w:szCs w:val="21"/>
          <w:lang w:val="zh-CN"/>
        </w:rPr>
        <w:t>的海图和专题海图；水下工程仪器设备用以水下施工，如重型</w:t>
      </w:r>
      <w:r>
        <w:rPr>
          <w:rFonts w:eastAsia="Times New Roman"/>
          <w:kern w:val="0"/>
          <w:sz w:val="21"/>
          <w:szCs w:val="21"/>
          <w:lang w:val="zh-CN"/>
        </w:rPr>
        <w:t>ROV</w:t>
      </w:r>
      <w:r>
        <w:rPr>
          <w:rFonts w:hint="eastAsia" w:ascii="宋体" w:hAnsi="宋体" w:cs="宋体"/>
          <w:kern w:val="0"/>
          <w:sz w:val="21"/>
          <w:szCs w:val="21"/>
          <w:lang w:val="zh-CN"/>
        </w:rPr>
        <w:t>、机械作业装置等；无人智能监测平台是以无人艇为核心的传感器搭载平台，可实现长航时、自主航行、可远程控制的水面水下目标监测平台系统，通过搭载不同的任务载荷，在广阔的海域进行较长时间的路径跟踪和位置保持，并通过复合无线通讯系统，将监测数据传输到船队服务管理系统，并可在不同的操作终端进行远程控制。</w:t>
      </w:r>
    </w:p>
    <w:p>
      <w:pPr>
        <w:autoSpaceDE w:val="0"/>
        <w:autoSpaceDN w:val="0"/>
        <w:adjustRightInd w:val="0"/>
        <w:ind w:firstLine="420"/>
        <w:rPr>
          <w:rFonts w:eastAsia="Times New Roman"/>
          <w:kern w:val="0"/>
          <w:sz w:val="21"/>
          <w:szCs w:val="21"/>
          <w:lang w:val="zh-CN"/>
        </w:rPr>
      </w:pPr>
      <w:r>
        <w:rPr>
          <w:rFonts w:hint="eastAsia" w:ascii="宋体" w:hAnsi="宋体" w:cs="宋体"/>
          <w:kern w:val="0"/>
          <w:sz w:val="21"/>
          <w:szCs w:val="21"/>
          <w:lang w:val="zh-CN"/>
        </w:rPr>
        <w:t>公司所有产品同时面向军、政府公务体系（警）、民领域，</w:t>
      </w:r>
      <w:r>
        <w:rPr>
          <w:rFonts w:eastAsia="Times New Roman"/>
          <w:kern w:val="0"/>
          <w:sz w:val="21"/>
          <w:szCs w:val="21"/>
          <w:lang w:val="zh-CN"/>
        </w:rPr>
        <w:t>2004</w:t>
      </w:r>
      <w:r>
        <w:rPr>
          <w:rFonts w:hint="eastAsia" w:ascii="宋体" w:hAnsi="宋体" w:cs="宋体"/>
          <w:kern w:val="0"/>
          <w:sz w:val="21"/>
          <w:szCs w:val="21"/>
          <w:lang w:val="zh-CN"/>
        </w:rPr>
        <w:t>年始公司成为海军供应商，拥有国家二级保密资格证书、军工产品质量体系认证证书、装备承制单位资格证书等齐全的军工资质。</w:t>
      </w:r>
      <w:r>
        <w:rPr>
          <w:rFonts w:eastAsia="Times New Roman"/>
          <w:kern w:val="0"/>
          <w:sz w:val="21"/>
          <w:szCs w:val="21"/>
          <w:lang w:val="zh-CN"/>
        </w:rPr>
        <w:t>2015</w:t>
      </w:r>
      <w:r>
        <w:rPr>
          <w:rFonts w:hint="eastAsia" w:ascii="宋体" w:hAnsi="宋体" w:cs="宋体"/>
          <w:kern w:val="0"/>
          <w:sz w:val="21"/>
          <w:szCs w:val="21"/>
          <w:lang w:val="zh-CN"/>
        </w:rPr>
        <w:t>年中国上市公司协会发布了中国上市公司协会军工委员会国防军工板块名单，公司是此次入选国防军工板块的</w:t>
      </w:r>
      <w:r>
        <w:rPr>
          <w:rFonts w:eastAsia="Times New Roman"/>
          <w:kern w:val="0"/>
          <w:sz w:val="21"/>
          <w:szCs w:val="21"/>
          <w:lang w:val="zh-CN"/>
        </w:rPr>
        <w:t>16</w:t>
      </w:r>
      <w:r>
        <w:rPr>
          <w:rFonts w:hint="eastAsia" w:ascii="宋体" w:hAnsi="宋体" w:cs="宋体"/>
          <w:kern w:val="0"/>
          <w:sz w:val="21"/>
          <w:szCs w:val="21"/>
          <w:lang w:val="zh-CN"/>
        </w:rPr>
        <w:t>家民营上市公司之一。公司一直是中国海警、海事、救捞、渔政、的供应商，为该类客户提供综合导航系统以及基于船端和岸基对海的监控管理系统等产品及服务。在民用领域，公司服务于远洋运输、海洋工程、海洋科学考察、海洋环境以及海洋渔业等领域，为客户提供综合导航、海洋信息、监控管理等产品及服务。</w:t>
      </w:r>
    </w:p>
    <w:p>
      <w:pPr>
        <w:autoSpaceDE w:val="0"/>
        <w:autoSpaceDN w:val="0"/>
        <w:adjustRightInd w:val="0"/>
        <w:ind w:firstLine="420"/>
        <w:rPr>
          <w:rFonts w:eastAsia="Times New Roman"/>
          <w:kern w:val="0"/>
          <w:sz w:val="21"/>
          <w:szCs w:val="21"/>
          <w:lang w:val="zh-CN"/>
        </w:rPr>
      </w:pPr>
      <w:r>
        <w:rPr>
          <w:rFonts w:hint="eastAsia" w:ascii="宋体" w:hAnsi="宋体" w:cs="宋体"/>
          <w:kern w:val="0"/>
          <w:sz w:val="21"/>
          <w:szCs w:val="21"/>
          <w:lang w:val="zh-CN"/>
        </w:rPr>
        <w:t>公司</w:t>
      </w:r>
      <w:r>
        <w:rPr>
          <w:rFonts w:eastAsia="Times New Roman"/>
          <w:kern w:val="0"/>
          <w:sz w:val="21"/>
          <w:szCs w:val="21"/>
          <w:lang w:val="zh-CN"/>
        </w:rPr>
        <w:t>“</w:t>
      </w:r>
      <w:r>
        <w:rPr>
          <w:rFonts w:hint="eastAsia" w:ascii="宋体" w:hAnsi="宋体" w:cs="宋体"/>
          <w:kern w:val="0"/>
          <w:sz w:val="21"/>
          <w:szCs w:val="21"/>
          <w:lang w:val="zh-CN"/>
        </w:rPr>
        <w:t>海事</w:t>
      </w:r>
      <w:r>
        <w:rPr>
          <w:rFonts w:eastAsia="Times New Roman"/>
          <w:kern w:val="0"/>
          <w:sz w:val="21"/>
          <w:szCs w:val="21"/>
          <w:lang w:val="zh-CN"/>
        </w:rPr>
        <w:t>+</w:t>
      </w:r>
      <w:r>
        <w:rPr>
          <w:rFonts w:hint="eastAsia" w:ascii="宋体" w:hAnsi="宋体" w:cs="宋体"/>
          <w:kern w:val="0"/>
          <w:sz w:val="21"/>
          <w:szCs w:val="21"/>
          <w:lang w:val="zh-CN"/>
        </w:rPr>
        <w:t>海洋</w:t>
      </w:r>
      <w:r>
        <w:rPr>
          <w:rFonts w:eastAsia="Times New Roman"/>
          <w:kern w:val="0"/>
          <w:sz w:val="21"/>
          <w:szCs w:val="21"/>
          <w:lang w:val="zh-CN"/>
        </w:rPr>
        <w:t>”</w:t>
      </w:r>
      <w:r>
        <w:rPr>
          <w:rFonts w:hint="eastAsia" w:ascii="宋体" w:hAnsi="宋体" w:cs="宋体"/>
          <w:kern w:val="0"/>
          <w:sz w:val="21"/>
          <w:szCs w:val="21"/>
          <w:lang w:val="zh-CN"/>
        </w:rPr>
        <w:t>的综合对海业务模式，将可以为客户提供船舶通导智能化系统解决方案、岸基监控和船载</w:t>
      </w:r>
      <w:r>
        <w:rPr>
          <w:rFonts w:eastAsia="Times New Roman"/>
          <w:kern w:val="0"/>
          <w:sz w:val="21"/>
          <w:szCs w:val="21"/>
          <w:lang w:val="zh-CN"/>
        </w:rPr>
        <w:t>/</w:t>
      </w:r>
      <w:r>
        <w:rPr>
          <w:rFonts w:hint="eastAsia" w:ascii="宋体" w:hAnsi="宋体" w:cs="宋体"/>
          <w:kern w:val="0"/>
          <w:sz w:val="21"/>
          <w:szCs w:val="21"/>
          <w:lang w:val="zh-CN"/>
        </w:rPr>
        <w:t>舰载对海监控管理服务的同时，构建起</w:t>
      </w:r>
      <w:r>
        <w:rPr>
          <w:rFonts w:eastAsia="Times New Roman"/>
          <w:kern w:val="0"/>
          <w:sz w:val="21"/>
          <w:szCs w:val="21"/>
          <w:lang w:val="zh-CN"/>
        </w:rPr>
        <w:t>“</w:t>
      </w:r>
      <w:r>
        <w:rPr>
          <w:rFonts w:hint="eastAsia" w:ascii="宋体" w:hAnsi="宋体" w:cs="宋体"/>
          <w:kern w:val="0"/>
          <w:sz w:val="21"/>
          <w:szCs w:val="21"/>
          <w:lang w:val="zh-CN"/>
        </w:rPr>
        <w:t>近岸</w:t>
      </w:r>
      <w:r>
        <w:rPr>
          <w:rFonts w:eastAsia="Times New Roman"/>
          <w:kern w:val="0"/>
          <w:sz w:val="21"/>
          <w:szCs w:val="21"/>
          <w:lang w:val="zh-CN"/>
        </w:rPr>
        <w:t>+</w:t>
      </w:r>
      <w:r>
        <w:rPr>
          <w:rFonts w:hint="eastAsia" w:ascii="宋体" w:hAnsi="宋体" w:cs="宋体"/>
          <w:kern w:val="0"/>
          <w:sz w:val="21"/>
          <w:szCs w:val="21"/>
          <w:lang w:val="zh-CN"/>
        </w:rPr>
        <w:t>近海</w:t>
      </w:r>
      <w:r>
        <w:rPr>
          <w:rFonts w:eastAsia="Times New Roman"/>
          <w:kern w:val="0"/>
          <w:sz w:val="21"/>
          <w:szCs w:val="21"/>
          <w:lang w:val="zh-CN"/>
        </w:rPr>
        <w:t>+</w:t>
      </w:r>
      <w:r>
        <w:rPr>
          <w:rFonts w:hint="eastAsia" w:ascii="宋体" w:hAnsi="宋体" w:cs="宋体"/>
          <w:kern w:val="0"/>
          <w:sz w:val="21"/>
          <w:szCs w:val="21"/>
          <w:lang w:val="zh-CN"/>
        </w:rPr>
        <w:t>中远海</w:t>
      </w:r>
      <w:r>
        <w:rPr>
          <w:rFonts w:eastAsia="Times New Roman"/>
          <w:kern w:val="0"/>
          <w:sz w:val="21"/>
          <w:szCs w:val="21"/>
          <w:lang w:val="zh-CN"/>
        </w:rPr>
        <w:t>”</w:t>
      </w:r>
      <w:r>
        <w:rPr>
          <w:rFonts w:hint="eastAsia" w:ascii="宋体" w:hAnsi="宋体" w:cs="宋体"/>
          <w:kern w:val="0"/>
          <w:sz w:val="21"/>
          <w:szCs w:val="21"/>
          <w:lang w:val="zh-CN"/>
        </w:rPr>
        <w:t>与</w:t>
      </w:r>
      <w:r>
        <w:rPr>
          <w:rFonts w:eastAsia="Times New Roman"/>
          <w:kern w:val="0"/>
          <w:sz w:val="21"/>
          <w:szCs w:val="21"/>
          <w:lang w:val="zh-CN"/>
        </w:rPr>
        <w:t>“</w:t>
      </w:r>
      <w:r>
        <w:rPr>
          <w:rFonts w:hint="eastAsia" w:ascii="宋体" w:hAnsi="宋体" w:cs="宋体"/>
          <w:kern w:val="0"/>
          <w:sz w:val="21"/>
          <w:szCs w:val="21"/>
          <w:lang w:val="zh-CN"/>
        </w:rPr>
        <w:t>水面</w:t>
      </w:r>
      <w:r>
        <w:rPr>
          <w:rFonts w:eastAsia="Times New Roman"/>
          <w:kern w:val="0"/>
          <w:sz w:val="21"/>
          <w:szCs w:val="21"/>
          <w:lang w:val="zh-CN"/>
        </w:rPr>
        <w:t>+</w:t>
      </w:r>
      <w:r>
        <w:rPr>
          <w:rFonts w:hint="eastAsia" w:ascii="宋体" w:hAnsi="宋体" w:cs="宋体"/>
          <w:kern w:val="0"/>
          <w:sz w:val="21"/>
          <w:szCs w:val="21"/>
          <w:lang w:val="zh-CN"/>
        </w:rPr>
        <w:t>水下</w:t>
      </w:r>
      <w:r>
        <w:rPr>
          <w:rFonts w:eastAsia="Times New Roman"/>
          <w:kern w:val="0"/>
          <w:sz w:val="21"/>
          <w:szCs w:val="21"/>
          <w:lang w:val="zh-CN"/>
        </w:rPr>
        <w:t>”</w:t>
      </w:r>
      <w:r>
        <w:rPr>
          <w:rFonts w:hint="eastAsia" w:ascii="宋体" w:hAnsi="宋体" w:cs="宋体"/>
          <w:kern w:val="0"/>
          <w:sz w:val="21"/>
          <w:szCs w:val="21"/>
          <w:lang w:val="zh-CN"/>
        </w:rPr>
        <w:t>相结合的</w:t>
      </w:r>
      <w:r>
        <w:rPr>
          <w:rFonts w:eastAsia="Times New Roman"/>
          <w:kern w:val="0"/>
          <w:sz w:val="21"/>
          <w:szCs w:val="21"/>
          <w:lang w:val="zh-CN"/>
        </w:rPr>
        <w:t>“</w:t>
      </w:r>
      <w:r>
        <w:rPr>
          <w:rFonts w:hint="eastAsia" w:ascii="宋体" w:hAnsi="宋体" w:cs="宋体"/>
          <w:kern w:val="0"/>
          <w:sz w:val="21"/>
          <w:szCs w:val="21"/>
          <w:lang w:val="zh-CN"/>
        </w:rPr>
        <w:t>海空天一体化</w:t>
      </w:r>
      <w:r>
        <w:rPr>
          <w:rFonts w:eastAsia="Times New Roman"/>
          <w:kern w:val="0"/>
          <w:sz w:val="21"/>
          <w:szCs w:val="21"/>
          <w:lang w:val="zh-CN"/>
        </w:rPr>
        <w:t>”</w:t>
      </w:r>
      <w:r>
        <w:rPr>
          <w:rFonts w:hint="eastAsia" w:ascii="宋体" w:hAnsi="宋体" w:cs="宋体"/>
          <w:kern w:val="0"/>
          <w:sz w:val="21"/>
          <w:szCs w:val="21"/>
          <w:lang w:val="zh-CN"/>
        </w:rPr>
        <w:t>海洋监测网和海洋信息化数据平台，为海域使用管理、海洋环境保护、海洋资源探索和利用、海洋执法监察等工作提供有效的数据决策信息。</w:t>
      </w:r>
    </w:p>
    <w:p>
      <w:pPr>
        <w:autoSpaceDE w:val="0"/>
        <w:autoSpaceDN w:val="0"/>
        <w:adjustRightInd w:val="0"/>
        <w:ind w:firstLine="420"/>
        <w:rPr>
          <w:rFonts w:eastAsia="Times New Roman"/>
          <w:kern w:val="0"/>
          <w:sz w:val="21"/>
          <w:szCs w:val="21"/>
          <w:lang w:val="zh-CN"/>
        </w:rPr>
      </w:pPr>
      <w:r>
        <w:rPr>
          <w:rFonts w:hint="eastAsia" w:ascii="宋体" w:hAnsi="宋体" w:cs="宋体"/>
          <w:kern w:val="0"/>
          <w:sz w:val="21"/>
          <w:szCs w:val="21"/>
          <w:lang w:val="zh-CN"/>
        </w:rPr>
        <w:t>报告期内公司的主营业务未发生重大变化。</w:t>
      </w:r>
    </w:p>
    <w:p>
      <w:pPr>
        <w:autoSpaceDE w:val="0"/>
        <w:autoSpaceDN w:val="0"/>
        <w:adjustRightInd w:val="0"/>
        <w:ind w:firstLine="422"/>
        <w:rPr>
          <w:rFonts w:eastAsia="Times New Roman"/>
          <w:b/>
          <w:kern w:val="0"/>
          <w:sz w:val="21"/>
          <w:szCs w:val="21"/>
          <w:lang w:val="zh-CN"/>
        </w:rPr>
      </w:pPr>
      <w:r>
        <w:rPr>
          <w:rFonts w:hint="eastAsia" w:ascii="宋体" w:hAnsi="宋体" w:cs="宋体"/>
          <w:b/>
          <w:kern w:val="0"/>
          <w:sz w:val="21"/>
          <w:szCs w:val="21"/>
          <w:lang w:val="zh-CN"/>
        </w:rPr>
        <w:t>（二）经营模式</w:t>
      </w:r>
    </w:p>
    <w:p>
      <w:pPr>
        <w:autoSpaceDE w:val="0"/>
        <w:autoSpaceDN w:val="0"/>
        <w:adjustRightInd w:val="0"/>
        <w:ind w:firstLine="420"/>
        <w:rPr>
          <w:rFonts w:eastAsia="Times New Roman"/>
          <w:kern w:val="0"/>
          <w:sz w:val="21"/>
          <w:szCs w:val="21"/>
          <w:lang w:val="zh-CN"/>
        </w:rPr>
      </w:pPr>
      <w:r>
        <w:rPr>
          <w:rFonts w:eastAsia="Times New Roman"/>
          <w:kern w:val="0"/>
          <w:sz w:val="21"/>
          <w:szCs w:val="21"/>
          <w:lang w:val="zh-CN"/>
        </w:rPr>
        <w:t>1</w:t>
      </w:r>
      <w:r>
        <w:rPr>
          <w:rFonts w:hint="eastAsia" w:ascii="宋体" w:hAnsi="宋体" w:cs="宋体"/>
          <w:kern w:val="0"/>
          <w:sz w:val="21"/>
          <w:szCs w:val="21"/>
          <w:lang w:val="zh-CN"/>
        </w:rPr>
        <w:t>、采购模式：以销定采和以销定产，在规模采购降低成本的同时控制采购规模、提高资产周转率。</w:t>
      </w:r>
    </w:p>
    <w:p>
      <w:pPr>
        <w:autoSpaceDE w:val="0"/>
        <w:autoSpaceDN w:val="0"/>
        <w:adjustRightInd w:val="0"/>
        <w:ind w:firstLine="420"/>
        <w:rPr>
          <w:rFonts w:eastAsia="Times New Roman"/>
          <w:kern w:val="0"/>
          <w:sz w:val="21"/>
          <w:szCs w:val="21"/>
          <w:lang w:val="zh-CN"/>
        </w:rPr>
      </w:pPr>
      <w:r>
        <w:rPr>
          <w:rFonts w:eastAsia="Times New Roman"/>
          <w:kern w:val="0"/>
          <w:sz w:val="21"/>
          <w:szCs w:val="21"/>
          <w:lang w:val="zh-CN"/>
        </w:rPr>
        <w:t>2</w:t>
      </w:r>
      <w:r>
        <w:rPr>
          <w:rFonts w:hint="eastAsia" w:ascii="宋体" w:hAnsi="宋体" w:cs="宋体"/>
          <w:kern w:val="0"/>
          <w:sz w:val="21"/>
          <w:szCs w:val="21"/>
          <w:lang w:val="zh-CN"/>
        </w:rPr>
        <w:t>、研发模式：采取本地团队与国际技术团队协同工作的模式，从产品定义的阶段就着眼于国际领先、行业一流的定位，用国际化标准引领产品研发流程的各个阶段。</w:t>
      </w:r>
    </w:p>
    <w:p>
      <w:pPr>
        <w:autoSpaceDE w:val="0"/>
        <w:autoSpaceDN w:val="0"/>
        <w:adjustRightInd w:val="0"/>
        <w:ind w:firstLine="420"/>
        <w:rPr>
          <w:rFonts w:eastAsia="Times New Roman"/>
          <w:kern w:val="0"/>
          <w:sz w:val="21"/>
          <w:szCs w:val="21"/>
          <w:lang w:val="zh-CN"/>
        </w:rPr>
      </w:pPr>
      <w:r>
        <w:rPr>
          <w:rFonts w:eastAsia="Times New Roman"/>
          <w:kern w:val="0"/>
          <w:sz w:val="21"/>
          <w:szCs w:val="21"/>
          <w:lang w:val="zh-CN"/>
        </w:rPr>
        <w:t>3</w:t>
      </w:r>
      <w:r>
        <w:rPr>
          <w:rFonts w:hint="eastAsia" w:ascii="宋体" w:hAnsi="宋体" w:cs="宋体"/>
          <w:kern w:val="0"/>
          <w:sz w:val="21"/>
          <w:szCs w:val="21"/>
          <w:lang w:val="zh-CN"/>
        </w:rPr>
        <w:t>、生产模式：标准化产品生产模式和项目定制化生产模式。</w:t>
      </w:r>
    </w:p>
    <w:p>
      <w:pPr>
        <w:autoSpaceDE w:val="0"/>
        <w:autoSpaceDN w:val="0"/>
        <w:adjustRightInd w:val="0"/>
        <w:ind w:firstLine="420"/>
        <w:rPr>
          <w:rFonts w:eastAsia="Times New Roman"/>
          <w:kern w:val="0"/>
          <w:sz w:val="21"/>
          <w:szCs w:val="21"/>
          <w:lang w:val="zh-CN"/>
        </w:rPr>
      </w:pPr>
      <w:r>
        <w:rPr>
          <w:rFonts w:eastAsia="Times New Roman"/>
          <w:kern w:val="0"/>
          <w:sz w:val="21"/>
          <w:szCs w:val="21"/>
          <w:lang w:val="zh-CN"/>
        </w:rPr>
        <w:t>4</w:t>
      </w:r>
      <w:r>
        <w:rPr>
          <w:rFonts w:hint="eastAsia" w:ascii="宋体" w:hAnsi="宋体" w:cs="宋体"/>
          <w:kern w:val="0"/>
          <w:sz w:val="21"/>
          <w:szCs w:val="21"/>
          <w:lang w:val="zh-CN"/>
        </w:rPr>
        <w:t>、销售模式：公司采用直销为主、分销为辅的方式，向客户提供标准化的海事产品、海洋信息化产品以及雷达系统等，并承担产品的安装、调试以及售后服务。同时，公司也根据客户需求，参与客户招标，向客户提供定制服务，该类业务主要包括船岸管理系统、岸基对海监控管理系统、海洋区域监测系统等。</w:t>
      </w:r>
    </w:p>
    <w:p>
      <w:pPr>
        <w:autoSpaceDE w:val="0"/>
        <w:autoSpaceDN w:val="0"/>
        <w:adjustRightInd w:val="0"/>
        <w:ind w:firstLine="422"/>
        <w:rPr>
          <w:rFonts w:eastAsia="Times New Roman"/>
          <w:b/>
          <w:kern w:val="0"/>
          <w:sz w:val="21"/>
          <w:szCs w:val="21"/>
          <w:lang w:val="zh-CN"/>
        </w:rPr>
      </w:pPr>
      <w:r>
        <w:rPr>
          <w:rFonts w:hint="eastAsia" w:ascii="宋体" w:hAnsi="宋体" w:cs="宋体"/>
          <w:b/>
          <w:kern w:val="0"/>
          <w:sz w:val="21"/>
          <w:szCs w:val="21"/>
          <w:lang w:val="zh-CN"/>
        </w:rPr>
        <w:t>（三）驱动收入变化的因素分析</w:t>
      </w:r>
    </w:p>
    <w:p>
      <w:pPr>
        <w:autoSpaceDE w:val="0"/>
        <w:autoSpaceDN w:val="0"/>
        <w:adjustRightInd w:val="0"/>
        <w:ind w:firstLine="420"/>
        <w:jc w:val="left"/>
        <w:rPr>
          <w:rFonts w:eastAsia="Times New Roman"/>
          <w:kern w:val="0"/>
          <w:sz w:val="21"/>
          <w:szCs w:val="21"/>
          <w:lang w:val="zh-CN"/>
        </w:rPr>
      </w:pPr>
      <w:r>
        <w:rPr>
          <w:rFonts w:eastAsia="Times New Roman"/>
          <w:kern w:val="0"/>
          <w:sz w:val="21"/>
          <w:szCs w:val="21"/>
          <w:lang w:val="zh-CN"/>
        </w:rPr>
        <w:t>2016</w:t>
      </w:r>
      <w:r>
        <w:rPr>
          <w:rFonts w:hint="eastAsia" w:ascii="宋体" w:hAnsi="宋体" w:cs="宋体"/>
          <w:kern w:val="0"/>
          <w:sz w:val="21"/>
          <w:szCs w:val="21"/>
          <w:lang w:val="zh-CN"/>
        </w:rPr>
        <w:t>年，公司继续围绕智能航海和智慧海洋领域积极推进业务开拓，公司基本面大幅改善，经营业绩稳步上涨。报告期内，</w:t>
      </w:r>
      <w:r>
        <w:rPr>
          <w:rFonts w:eastAsia="Times New Roman"/>
          <w:kern w:val="0"/>
          <w:sz w:val="21"/>
          <w:szCs w:val="21"/>
          <w:lang w:val="zh-CN"/>
        </w:rPr>
        <w:t>2016</w:t>
      </w:r>
      <w:r>
        <w:rPr>
          <w:rFonts w:hint="eastAsia" w:ascii="宋体" w:hAnsi="宋体" w:cs="宋体"/>
          <w:kern w:val="0"/>
          <w:sz w:val="21"/>
          <w:szCs w:val="21"/>
          <w:lang w:val="zh-CN"/>
        </w:rPr>
        <w:t>年度公司实现营业收入为</w:t>
      </w:r>
      <w:r>
        <w:rPr>
          <w:rFonts w:eastAsia="Times New Roman"/>
          <w:kern w:val="0"/>
          <w:sz w:val="21"/>
          <w:szCs w:val="21"/>
          <w:lang w:val="zh-CN"/>
        </w:rPr>
        <w:t>716,569,929.16</w:t>
      </w:r>
      <w:r>
        <w:rPr>
          <w:rFonts w:hint="eastAsia" w:ascii="宋体" w:hAnsi="宋体" w:cs="宋体"/>
          <w:kern w:val="0"/>
          <w:sz w:val="21"/>
          <w:szCs w:val="21"/>
          <w:lang w:val="zh-CN"/>
        </w:rPr>
        <w:t>元，比去年同期增长</w:t>
      </w:r>
      <w:r>
        <w:rPr>
          <w:rFonts w:eastAsia="Times New Roman"/>
          <w:kern w:val="0"/>
          <w:sz w:val="21"/>
          <w:szCs w:val="21"/>
          <w:lang w:val="zh-CN"/>
        </w:rPr>
        <w:t>118.59%</w:t>
      </w:r>
      <w:r>
        <w:rPr>
          <w:rFonts w:hint="eastAsia" w:ascii="宋体" w:hAnsi="宋体" w:cs="宋体"/>
          <w:kern w:val="0"/>
          <w:sz w:val="21"/>
          <w:szCs w:val="21"/>
          <w:lang w:val="zh-CN"/>
        </w:rPr>
        <w:t>；利润总额为</w:t>
      </w:r>
      <w:r>
        <w:rPr>
          <w:rFonts w:eastAsia="Times New Roman"/>
          <w:kern w:val="0"/>
          <w:sz w:val="21"/>
          <w:szCs w:val="21"/>
          <w:lang w:val="zh-CN"/>
        </w:rPr>
        <w:t>136,909,359.96</w:t>
      </w:r>
      <w:r>
        <w:rPr>
          <w:rFonts w:hint="eastAsia" w:ascii="宋体" w:hAnsi="宋体" w:cs="宋体"/>
          <w:kern w:val="0"/>
          <w:sz w:val="21"/>
          <w:szCs w:val="21"/>
          <w:lang w:val="zh-CN"/>
        </w:rPr>
        <w:t>元，比去年同期增长</w:t>
      </w:r>
      <w:r>
        <w:rPr>
          <w:rFonts w:eastAsia="Times New Roman"/>
          <w:kern w:val="0"/>
          <w:sz w:val="21"/>
          <w:szCs w:val="21"/>
          <w:lang w:val="zh-CN"/>
        </w:rPr>
        <w:t>234.47%</w:t>
      </w:r>
      <w:r>
        <w:rPr>
          <w:rFonts w:hint="eastAsia" w:ascii="宋体" w:hAnsi="宋体" w:cs="宋体"/>
          <w:kern w:val="0"/>
          <w:sz w:val="21"/>
          <w:szCs w:val="21"/>
          <w:lang w:val="zh-CN"/>
        </w:rPr>
        <w:t>；归属于上市公司股东的净利润为</w:t>
      </w:r>
      <w:r>
        <w:rPr>
          <w:rFonts w:eastAsia="Times New Roman"/>
          <w:kern w:val="0"/>
          <w:sz w:val="21"/>
          <w:szCs w:val="21"/>
          <w:lang w:val="zh-CN"/>
        </w:rPr>
        <w:t>81,983,493.18</w:t>
      </w:r>
      <w:r>
        <w:rPr>
          <w:rFonts w:hint="eastAsia" w:ascii="宋体" w:hAnsi="宋体" w:cs="宋体"/>
          <w:kern w:val="0"/>
          <w:sz w:val="21"/>
          <w:szCs w:val="21"/>
          <w:lang w:val="zh-CN"/>
        </w:rPr>
        <w:t>元，比去年同期增长</w:t>
      </w:r>
      <w:r>
        <w:rPr>
          <w:rFonts w:eastAsia="Times New Roman"/>
          <w:kern w:val="0"/>
          <w:sz w:val="21"/>
          <w:szCs w:val="21"/>
          <w:lang w:val="zh-CN"/>
        </w:rPr>
        <w:t>131.40%</w:t>
      </w:r>
      <w:r>
        <w:rPr>
          <w:rFonts w:hint="eastAsia" w:ascii="宋体" w:hAnsi="宋体" w:cs="宋体"/>
          <w:kern w:val="0"/>
          <w:sz w:val="21"/>
          <w:szCs w:val="21"/>
          <w:lang w:val="zh-CN"/>
        </w:rPr>
        <w:t>；基本每股收益为</w:t>
      </w:r>
      <w:r>
        <w:rPr>
          <w:rFonts w:eastAsia="Times New Roman"/>
          <w:kern w:val="0"/>
          <w:sz w:val="21"/>
          <w:szCs w:val="21"/>
          <w:lang w:val="zh-CN"/>
        </w:rPr>
        <w:t>0.34</w:t>
      </w:r>
      <w:r>
        <w:rPr>
          <w:rFonts w:hint="eastAsia" w:ascii="宋体" w:hAnsi="宋体" w:cs="宋体"/>
          <w:kern w:val="0"/>
          <w:sz w:val="21"/>
          <w:szCs w:val="21"/>
          <w:lang w:val="zh-CN"/>
        </w:rPr>
        <w:t>元，比去年同期增长</w:t>
      </w:r>
      <w:r>
        <w:rPr>
          <w:rFonts w:eastAsia="Times New Roman"/>
          <w:kern w:val="0"/>
          <w:sz w:val="21"/>
          <w:szCs w:val="21"/>
          <w:lang w:val="zh-CN"/>
        </w:rPr>
        <w:t>100.00%</w:t>
      </w:r>
      <w:r>
        <w:rPr>
          <w:rFonts w:hint="eastAsia" w:ascii="宋体" w:hAnsi="宋体" w:cs="宋体"/>
          <w:kern w:val="0"/>
          <w:sz w:val="21"/>
          <w:szCs w:val="21"/>
          <w:lang w:val="zh-CN"/>
        </w:rPr>
        <w:t>。</w:t>
      </w:r>
    </w:p>
    <w:p>
      <w:pPr>
        <w:autoSpaceDE w:val="0"/>
        <w:autoSpaceDN w:val="0"/>
        <w:adjustRightInd w:val="0"/>
        <w:ind w:firstLine="420"/>
        <w:jc w:val="left"/>
        <w:rPr>
          <w:rFonts w:eastAsia="Times New Roman"/>
          <w:kern w:val="0"/>
          <w:sz w:val="21"/>
          <w:szCs w:val="21"/>
          <w:lang w:val="zh-CN"/>
        </w:rPr>
      </w:pPr>
      <w:r>
        <w:rPr>
          <w:rFonts w:hint="eastAsia" w:ascii="宋体" w:hAnsi="宋体" w:cs="宋体"/>
          <w:kern w:val="0"/>
          <w:sz w:val="21"/>
          <w:szCs w:val="21"/>
          <w:lang w:val="zh-CN"/>
        </w:rPr>
        <w:t>主要的业绩增长，受益于三大方面：</w:t>
      </w:r>
      <w:r>
        <w:rPr>
          <w:rFonts w:eastAsia="Times New Roman"/>
          <w:kern w:val="0"/>
          <w:sz w:val="21"/>
          <w:szCs w:val="21"/>
          <w:lang w:val="zh-CN"/>
        </w:rPr>
        <w:t>(1)</w:t>
      </w:r>
      <w:r>
        <w:rPr>
          <w:rFonts w:hint="eastAsia" w:ascii="宋体" w:hAnsi="宋体" w:cs="宋体"/>
          <w:kern w:val="0"/>
          <w:sz w:val="21"/>
          <w:szCs w:val="21"/>
          <w:lang w:val="zh-CN"/>
        </w:rPr>
        <w:t>国家海洋事业发展需求增长；</w:t>
      </w:r>
      <w:r>
        <w:rPr>
          <w:rFonts w:eastAsia="Times New Roman"/>
          <w:kern w:val="0"/>
          <w:sz w:val="21"/>
          <w:szCs w:val="21"/>
          <w:lang w:val="zh-CN"/>
        </w:rPr>
        <w:t>(2)</w:t>
      </w:r>
      <w:r>
        <w:rPr>
          <w:rFonts w:hint="eastAsia" w:ascii="宋体" w:hAnsi="宋体" w:cs="宋体"/>
          <w:kern w:val="0"/>
          <w:sz w:val="21"/>
          <w:szCs w:val="21"/>
          <w:lang w:val="zh-CN"/>
        </w:rPr>
        <w:t>涉海企业和民众经济生活环境保障需求增长；</w:t>
      </w:r>
      <w:r>
        <w:rPr>
          <w:rFonts w:eastAsia="Times New Roman"/>
          <w:kern w:val="0"/>
          <w:sz w:val="21"/>
          <w:szCs w:val="21"/>
          <w:lang w:val="zh-CN"/>
        </w:rPr>
        <w:t>(3)</w:t>
      </w:r>
      <w:r>
        <w:rPr>
          <w:rFonts w:hint="eastAsia" w:ascii="宋体" w:hAnsi="宋体" w:cs="宋体"/>
          <w:kern w:val="0"/>
          <w:sz w:val="21"/>
          <w:szCs w:val="21"/>
          <w:lang w:val="zh-CN"/>
        </w:rPr>
        <w:t>国家海洋权益维护、海洋环境信息保障需求增长。总体上看，国内这三方面的需求都处于历史最高点，未来并将继续攀升。具体如下：</w:t>
      </w:r>
    </w:p>
    <w:p>
      <w:pPr>
        <w:autoSpaceDE w:val="0"/>
        <w:autoSpaceDN w:val="0"/>
        <w:adjustRightInd w:val="0"/>
        <w:ind w:firstLine="420"/>
        <w:jc w:val="left"/>
        <w:rPr>
          <w:rFonts w:eastAsia="Times New Roman"/>
          <w:kern w:val="0"/>
          <w:sz w:val="21"/>
          <w:szCs w:val="21"/>
          <w:lang w:val="zh-CN"/>
        </w:rPr>
      </w:pPr>
      <w:r>
        <w:rPr>
          <w:rFonts w:eastAsia="Times New Roman"/>
          <w:kern w:val="0"/>
          <w:sz w:val="21"/>
          <w:szCs w:val="21"/>
          <w:lang w:val="zh-CN"/>
        </w:rPr>
        <w:t xml:space="preserve">(1) </w:t>
      </w:r>
      <w:r>
        <w:rPr>
          <w:rFonts w:hint="eastAsia" w:ascii="宋体" w:hAnsi="宋体" w:cs="宋体"/>
          <w:kern w:val="0"/>
          <w:sz w:val="21"/>
          <w:szCs w:val="21"/>
          <w:lang w:val="zh-CN"/>
        </w:rPr>
        <w:t>智慧海洋业务领域：本年度公司新增合并子公司上海海兰劳雷海洋科技有限公司利润表，使得公司营业收入和营业利润比去年同期大幅增长；同时近海雷达监控网建设节奏加快，订单逐步落地，公司盈利水平显著提高；</w:t>
      </w:r>
    </w:p>
    <w:p>
      <w:pPr>
        <w:autoSpaceDE w:val="0"/>
        <w:autoSpaceDN w:val="0"/>
        <w:adjustRightInd w:val="0"/>
        <w:spacing w:before="0" w:after="0"/>
        <w:ind w:firstLine="420"/>
        <w:jc w:val="left"/>
        <w:rPr>
          <w:rFonts w:eastAsia="Times New Roman"/>
          <w:kern w:val="0"/>
          <w:sz w:val="21"/>
          <w:szCs w:val="21"/>
          <w:lang w:val="zh-CN"/>
        </w:rPr>
      </w:pPr>
      <w:r>
        <w:rPr>
          <w:rFonts w:eastAsia="Times New Roman"/>
          <w:kern w:val="0"/>
          <w:sz w:val="21"/>
          <w:szCs w:val="21"/>
          <w:lang w:val="zh-CN"/>
        </w:rPr>
        <w:t>(2)</w:t>
      </w:r>
      <w:r>
        <w:rPr>
          <w:rFonts w:hint="eastAsia" w:ascii="宋体" w:hAnsi="宋体" w:cs="宋体"/>
          <w:kern w:val="0"/>
          <w:sz w:val="21"/>
          <w:szCs w:val="21"/>
          <w:lang w:val="zh-CN"/>
        </w:rPr>
        <w:t>智能航海业务领域：公司结合军民品船舶市场需求变化持续创新，</w:t>
      </w:r>
      <w:r>
        <w:rPr>
          <w:rFonts w:eastAsia="Times New Roman"/>
          <w:kern w:val="0"/>
          <w:sz w:val="21"/>
          <w:szCs w:val="21"/>
          <w:lang w:val="zh-CN"/>
        </w:rPr>
        <w:t>INS</w:t>
      </w:r>
      <w:r>
        <w:rPr>
          <w:rFonts w:hint="eastAsia" w:ascii="宋体" w:hAnsi="宋体" w:cs="宋体"/>
          <w:kern w:val="0"/>
          <w:sz w:val="21"/>
          <w:szCs w:val="21"/>
          <w:lang w:val="zh-CN"/>
        </w:rPr>
        <w:t>等自主产品占有率提高，毛利率水平提升，一定程度对冲了商船市场低迷带来的不利影响；成熟海事民品向军品的转化持续推进并实现收益；</w:t>
      </w:r>
    </w:p>
    <w:p>
      <w:pPr>
        <w:autoSpaceDE w:val="0"/>
        <w:autoSpaceDN w:val="0"/>
        <w:adjustRightInd w:val="0"/>
        <w:ind w:firstLine="422"/>
        <w:rPr>
          <w:rFonts w:eastAsia="Times New Roman"/>
          <w:b/>
          <w:kern w:val="0"/>
          <w:sz w:val="21"/>
          <w:szCs w:val="21"/>
          <w:lang w:val="zh-CN"/>
        </w:rPr>
      </w:pPr>
      <w:r>
        <w:rPr>
          <w:rFonts w:hint="eastAsia" w:ascii="宋体" w:hAnsi="宋体" w:cs="宋体"/>
          <w:b/>
          <w:kern w:val="0"/>
          <w:sz w:val="21"/>
          <w:szCs w:val="21"/>
          <w:lang w:val="zh-CN"/>
        </w:rPr>
        <w:t>（四）主要业务领域的行业情况</w:t>
      </w:r>
    </w:p>
    <w:p>
      <w:pPr>
        <w:autoSpaceDE w:val="0"/>
        <w:autoSpaceDN w:val="0"/>
        <w:adjustRightInd w:val="0"/>
        <w:ind w:firstLine="420"/>
        <w:rPr>
          <w:rFonts w:eastAsia="Times New Roman"/>
          <w:kern w:val="0"/>
          <w:sz w:val="21"/>
          <w:szCs w:val="21"/>
          <w:lang w:val="zh-CN"/>
        </w:rPr>
      </w:pPr>
      <w:r>
        <w:rPr>
          <w:rFonts w:hint="eastAsia" w:ascii="宋体" w:hAnsi="宋体" w:cs="宋体"/>
          <w:b/>
          <w:kern w:val="0"/>
          <w:sz w:val="21"/>
          <w:szCs w:val="21"/>
          <w:lang w:val="zh-CN"/>
        </w:rPr>
        <w:t>在智能航海领域</w:t>
      </w:r>
      <w:r>
        <w:rPr>
          <w:rFonts w:hint="eastAsia" w:ascii="宋体" w:hAnsi="宋体" w:cs="宋体"/>
          <w:kern w:val="0"/>
          <w:sz w:val="21"/>
          <w:szCs w:val="21"/>
          <w:lang w:val="zh-CN"/>
        </w:rPr>
        <w:t>，</w:t>
      </w:r>
      <w:r>
        <w:rPr>
          <w:rFonts w:eastAsia="Times New Roman"/>
          <w:kern w:val="0"/>
          <w:sz w:val="21"/>
          <w:szCs w:val="21"/>
          <w:lang w:val="zh-CN"/>
        </w:rPr>
        <w:t>2016</w:t>
      </w:r>
      <w:r>
        <w:rPr>
          <w:rFonts w:hint="eastAsia" w:ascii="宋体" w:hAnsi="宋体" w:cs="宋体"/>
          <w:kern w:val="0"/>
          <w:sz w:val="21"/>
          <w:szCs w:val="21"/>
          <w:lang w:val="zh-CN"/>
        </w:rPr>
        <w:t>年国际船舶市场继续深度调整，全球新船成交量同比大幅下降</w:t>
      </w:r>
      <w:r>
        <w:rPr>
          <w:rFonts w:eastAsia="Times New Roman"/>
          <w:kern w:val="0"/>
          <w:sz w:val="21"/>
          <w:szCs w:val="21"/>
          <w:lang w:val="zh-CN"/>
        </w:rPr>
        <w:t>67%</w:t>
      </w:r>
      <w:r>
        <w:rPr>
          <w:rFonts w:hint="eastAsia" w:ascii="宋体" w:hAnsi="宋体" w:cs="宋体"/>
          <w:kern w:val="0"/>
          <w:sz w:val="21"/>
          <w:szCs w:val="21"/>
          <w:lang w:val="zh-CN"/>
        </w:rPr>
        <w:t>，年末全球船企手持订单较</w:t>
      </w:r>
      <w:r>
        <w:rPr>
          <w:rFonts w:eastAsia="Times New Roman"/>
          <w:kern w:val="0"/>
          <w:sz w:val="21"/>
          <w:szCs w:val="21"/>
          <w:lang w:val="zh-CN"/>
        </w:rPr>
        <w:t>2015</w:t>
      </w:r>
      <w:r>
        <w:rPr>
          <w:rFonts w:hint="eastAsia" w:ascii="宋体" w:hAnsi="宋体" w:cs="宋体"/>
          <w:kern w:val="0"/>
          <w:sz w:val="21"/>
          <w:szCs w:val="21"/>
          <w:lang w:val="zh-CN"/>
        </w:rPr>
        <w:t>年底下滑</w:t>
      </w:r>
      <w:r>
        <w:rPr>
          <w:rFonts w:eastAsia="Times New Roman"/>
          <w:kern w:val="0"/>
          <w:sz w:val="21"/>
          <w:szCs w:val="21"/>
          <w:lang w:val="zh-CN"/>
        </w:rPr>
        <w:t>25%</w:t>
      </w:r>
      <w:r>
        <w:rPr>
          <w:rFonts w:hint="eastAsia" w:ascii="宋体" w:hAnsi="宋体" w:cs="宋体"/>
          <w:kern w:val="0"/>
          <w:sz w:val="21"/>
          <w:szCs w:val="21"/>
          <w:lang w:val="zh-CN"/>
        </w:rPr>
        <w:t>。截至</w:t>
      </w:r>
      <w:r>
        <w:rPr>
          <w:rFonts w:eastAsia="Times New Roman"/>
          <w:kern w:val="0"/>
          <w:sz w:val="21"/>
          <w:szCs w:val="21"/>
          <w:lang w:val="zh-CN"/>
        </w:rPr>
        <w:t>2016</w:t>
      </w:r>
      <w:r>
        <w:rPr>
          <w:rFonts w:hint="eastAsia" w:ascii="宋体" w:hAnsi="宋体" w:cs="宋体"/>
          <w:kern w:val="0"/>
          <w:sz w:val="21"/>
          <w:szCs w:val="21"/>
          <w:lang w:val="zh-CN"/>
        </w:rPr>
        <w:t>年</w:t>
      </w:r>
      <w:r>
        <w:rPr>
          <w:rFonts w:eastAsia="Times New Roman"/>
          <w:kern w:val="0"/>
          <w:sz w:val="21"/>
          <w:szCs w:val="21"/>
          <w:lang w:val="zh-CN"/>
        </w:rPr>
        <w:t>12</w:t>
      </w:r>
      <w:r>
        <w:rPr>
          <w:rFonts w:hint="eastAsia" w:ascii="宋体" w:hAnsi="宋体" w:cs="宋体"/>
          <w:kern w:val="0"/>
          <w:sz w:val="21"/>
          <w:szCs w:val="21"/>
          <w:lang w:val="zh-CN"/>
        </w:rPr>
        <w:t>月底，我国手持船舶订单量为</w:t>
      </w:r>
      <w:r>
        <w:rPr>
          <w:rFonts w:eastAsia="Times New Roman"/>
          <w:kern w:val="0"/>
          <w:sz w:val="21"/>
          <w:szCs w:val="21"/>
          <w:lang w:val="zh-CN"/>
        </w:rPr>
        <w:t>9961</w:t>
      </w:r>
      <w:r>
        <w:rPr>
          <w:rFonts w:hint="eastAsia" w:ascii="宋体" w:hAnsi="宋体" w:cs="宋体"/>
          <w:kern w:val="0"/>
          <w:sz w:val="21"/>
          <w:szCs w:val="21"/>
          <w:lang w:val="zh-CN"/>
        </w:rPr>
        <w:t>万载重吨，同比下降</w:t>
      </w:r>
      <w:r>
        <w:rPr>
          <w:rFonts w:eastAsia="Times New Roman"/>
          <w:kern w:val="0"/>
          <w:sz w:val="21"/>
          <w:szCs w:val="21"/>
          <w:lang w:val="zh-CN"/>
        </w:rPr>
        <w:t>19%</w:t>
      </w:r>
      <w:r>
        <w:rPr>
          <w:rFonts w:hint="eastAsia" w:ascii="宋体" w:hAnsi="宋体" w:cs="宋体"/>
          <w:kern w:val="0"/>
          <w:sz w:val="21"/>
          <w:szCs w:val="21"/>
          <w:lang w:val="zh-CN"/>
        </w:rPr>
        <w:t>。本业务领域为公司成熟业务，公司为国内领先的船舶通导系统自主品牌，客户覆盖商船、公务船、科考船、渔船、舰船、海工船，覆盖民商船和军工领域。商船市场的持续低迷，迫使航运企业加强管理，探求用智能化、互联网</w:t>
      </w:r>
      <w:r>
        <w:rPr>
          <w:rFonts w:eastAsia="Times New Roman"/>
          <w:kern w:val="0"/>
          <w:sz w:val="21"/>
          <w:szCs w:val="21"/>
          <w:lang w:val="zh-CN"/>
        </w:rPr>
        <w:t>+</w:t>
      </w:r>
      <w:r>
        <w:rPr>
          <w:rFonts w:hint="eastAsia" w:ascii="宋体" w:hAnsi="宋体" w:cs="宋体"/>
          <w:kern w:val="0"/>
          <w:sz w:val="21"/>
          <w:szCs w:val="21"/>
          <w:lang w:val="zh-CN"/>
        </w:rPr>
        <w:t>等手段来提高运行效率，降低成本。在本公司的业务领域，客户从以往关注产品的价格、质量等基础上，进一步注重产品的附加功能。公司一直将智能化作为主要的差异化特征，并取得了一些典型应用，这将帮助公司在行业低迷期提升客户满意度，从而进一步提升市场占有率。同时，在航运市场低迷阶段，公司面对的军、警市场相对活跃，公司产品系列齐全、国际化技术优势明显，这将有助于公司在军、警市场进一步扩大业务量。同时，公司准确把握国内船舶信息化的发展趋势，并紧紧抓住产业政策机遇，</w:t>
      </w:r>
      <w:r>
        <w:rPr>
          <w:rFonts w:eastAsia="Times New Roman"/>
          <w:kern w:val="0"/>
          <w:sz w:val="21"/>
          <w:szCs w:val="21"/>
          <w:lang w:val="zh-CN"/>
        </w:rPr>
        <w:t>2016</w:t>
      </w:r>
      <w:r>
        <w:rPr>
          <w:rFonts w:hint="eastAsia" w:ascii="宋体" w:hAnsi="宋体" w:cs="宋体"/>
          <w:kern w:val="0"/>
          <w:sz w:val="21"/>
          <w:szCs w:val="21"/>
          <w:lang w:val="zh-CN"/>
        </w:rPr>
        <w:t>年工信部发布《船舶配套产业能力提升行动计划（</w:t>
      </w:r>
      <w:r>
        <w:rPr>
          <w:rFonts w:eastAsia="Times New Roman"/>
          <w:kern w:val="0"/>
          <w:sz w:val="21"/>
          <w:szCs w:val="21"/>
          <w:lang w:val="zh-CN"/>
        </w:rPr>
        <w:t>2016~2020</w:t>
      </w:r>
      <w:r>
        <w:rPr>
          <w:rFonts w:hint="eastAsia" w:ascii="宋体" w:hAnsi="宋体" w:cs="宋体"/>
          <w:kern w:val="0"/>
          <w:sz w:val="21"/>
          <w:szCs w:val="21"/>
          <w:lang w:val="zh-CN"/>
        </w:rPr>
        <w:t>年）》，鼓励企业提升本土船用设备配套能力和水平，公司紧随船用设备本土化政策，攻占市场，分别从产品的</w:t>
      </w:r>
      <w:r>
        <w:rPr>
          <w:rFonts w:eastAsia="Times New Roman"/>
          <w:kern w:val="0"/>
          <w:sz w:val="21"/>
          <w:szCs w:val="21"/>
          <w:lang w:val="zh-CN"/>
        </w:rPr>
        <w:t>“</w:t>
      </w:r>
      <w:r>
        <w:rPr>
          <w:rFonts w:hint="eastAsia" w:ascii="宋体" w:hAnsi="宋体" w:cs="宋体"/>
          <w:kern w:val="0"/>
          <w:sz w:val="21"/>
          <w:szCs w:val="21"/>
          <w:lang w:val="zh-CN"/>
        </w:rPr>
        <w:t>量</w:t>
      </w:r>
      <w:r>
        <w:rPr>
          <w:rFonts w:eastAsia="Times New Roman"/>
          <w:kern w:val="0"/>
          <w:sz w:val="21"/>
          <w:szCs w:val="21"/>
          <w:lang w:val="zh-CN"/>
        </w:rPr>
        <w:t>”</w:t>
      </w:r>
      <w:r>
        <w:rPr>
          <w:rFonts w:hint="eastAsia" w:ascii="宋体" w:hAnsi="宋体" w:cs="宋体"/>
          <w:kern w:val="0"/>
          <w:sz w:val="21"/>
          <w:szCs w:val="21"/>
          <w:lang w:val="zh-CN"/>
        </w:rPr>
        <w:t>和</w:t>
      </w:r>
      <w:r>
        <w:rPr>
          <w:rFonts w:eastAsia="Times New Roman"/>
          <w:kern w:val="0"/>
          <w:sz w:val="21"/>
          <w:szCs w:val="21"/>
          <w:lang w:val="zh-CN"/>
        </w:rPr>
        <w:t>“</w:t>
      </w:r>
      <w:r>
        <w:rPr>
          <w:rFonts w:hint="eastAsia" w:ascii="宋体" w:hAnsi="宋体" w:cs="宋体"/>
          <w:kern w:val="0"/>
          <w:sz w:val="21"/>
          <w:szCs w:val="21"/>
          <w:lang w:val="zh-CN"/>
        </w:rPr>
        <w:t>价</w:t>
      </w:r>
      <w:r>
        <w:rPr>
          <w:rFonts w:eastAsia="Times New Roman"/>
          <w:kern w:val="0"/>
          <w:sz w:val="21"/>
          <w:szCs w:val="21"/>
          <w:lang w:val="zh-CN"/>
        </w:rPr>
        <w:t>”</w:t>
      </w:r>
      <w:r>
        <w:rPr>
          <w:rFonts w:hint="eastAsia" w:ascii="宋体" w:hAnsi="宋体" w:cs="宋体"/>
          <w:kern w:val="0"/>
          <w:sz w:val="21"/>
          <w:szCs w:val="21"/>
          <w:lang w:val="zh-CN"/>
        </w:rPr>
        <w:t>同时着手，一方面努力提高单船价值，提高集成系统中自主研发产品的比例，另一方面大力拓展市场，产品覆盖商船、公务船、海工船、军船、特种船等全领域。公司推出的</w:t>
      </w:r>
      <w:r>
        <w:rPr>
          <w:rFonts w:eastAsia="Times New Roman"/>
          <w:kern w:val="0"/>
          <w:sz w:val="21"/>
          <w:szCs w:val="21"/>
          <w:lang w:val="zh-CN"/>
        </w:rPr>
        <w:t>“HI-Cloud”</w:t>
      </w:r>
      <w:r>
        <w:rPr>
          <w:rFonts w:hint="eastAsia" w:ascii="宋体" w:hAnsi="宋体" w:cs="宋体"/>
          <w:kern w:val="0"/>
          <w:sz w:val="21"/>
          <w:szCs w:val="21"/>
          <w:lang w:val="zh-CN"/>
        </w:rPr>
        <w:t>平台是公司产品与市场其他产品具备差异化优势的一大助力，即海兰信一贯实施的</w:t>
      </w:r>
      <w:r>
        <w:rPr>
          <w:rFonts w:eastAsia="Times New Roman"/>
          <w:kern w:val="0"/>
          <w:sz w:val="21"/>
          <w:szCs w:val="21"/>
          <w:lang w:val="zh-CN"/>
        </w:rPr>
        <w:t>“</w:t>
      </w:r>
      <w:r>
        <w:rPr>
          <w:rFonts w:hint="eastAsia" w:ascii="宋体" w:hAnsi="宋体" w:cs="宋体"/>
          <w:kern w:val="0"/>
          <w:sz w:val="21"/>
          <w:szCs w:val="21"/>
          <w:lang w:val="zh-CN"/>
        </w:rPr>
        <w:t>智能化</w:t>
      </w:r>
      <w:r>
        <w:rPr>
          <w:rFonts w:eastAsia="Times New Roman"/>
          <w:kern w:val="0"/>
          <w:sz w:val="21"/>
          <w:szCs w:val="21"/>
          <w:lang w:val="zh-CN"/>
        </w:rPr>
        <w:t>”</w:t>
      </w:r>
      <w:r>
        <w:rPr>
          <w:rFonts w:hint="eastAsia" w:ascii="宋体" w:hAnsi="宋体" w:cs="宋体"/>
          <w:kern w:val="0"/>
          <w:sz w:val="21"/>
          <w:szCs w:val="21"/>
          <w:lang w:val="zh-CN"/>
        </w:rPr>
        <w:t>策略。因此先进的智能化</w:t>
      </w:r>
      <w:r>
        <w:rPr>
          <w:rFonts w:eastAsia="Times New Roman"/>
          <w:kern w:val="0"/>
          <w:sz w:val="21"/>
          <w:szCs w:val="21"/>
          <w:lang w:val="zh-CN"/>
        </w:rPr>
        <w:t>+</w:t>
      </w:r>
      <w:r>
        <w:rPr>
          <w:rFonts w:hint="eastAsia" w:ascii="宋体" w:hAnsi="宋体" w:cs="宋体"/>
          <w:kern w:val="0"/>
          <w:sz w:val="21"/>
          <w:szCs w:val="21"/>
          <w:lang w:val="zh-CN"/>
        </w:rPr>
        <w:t>信息化技术产品化有效的助力了公司长远发展，提高了抵抗船舶海运周期性风险的能力，为公司未来业绩的持续增长提供了动力。</w:t>
      </w:r>
    </w:p>
    <w:p>
      <w:pPr>
        <w:autoSpaceDE w:val="0"/>
        <w:autoSpaceDN w:val="0"/>
        <w:adjustRightInd w:val="0"/>
        <w:spacing w:before="0" w:after="0"/>
        <w:ind w:firstLine="422"/>
        <w:jc w:val="left"/>
        <w:rPr>
          <w:rFonts w:eastAsia="Times New Roman"/>
          <w:kern w:val="0"/>
          <w:sz w:val="21"/>
          <w:szCs w:val="21"/>
          <w:lang w:val="zh-CN"/>
        </w:rPr>
      </w:pPr>
      <w:r>
        <w:rPr>
          <w:rFonts w:hint="eastAsia" w:ascii="宋体" w:hAnsi="宋体" w:cs="宋体"/>
          <w:b/>
          <w:kern w:val="0"/>
          <w:sz w:val="21"/>
          <w:szCs w:val="21"/>
          <w:lang w:val="zh-CN"/>
        </w:rPr>
        <w:t>在智慧海洋领域</w:t>
      </w:r>
      <w:r>
        <w:rPr>
          <w:rFonts w:hint="eastAsia" w:ascii="宋体" w:hAnsi="宋体" w:cs="宋体"/>
          <w:kern w:val="0"/>
          <w:sz w:val="21"/>
          <w:szCs w:val="21"/>
          <w:lang w:val="zh-CN"/>
        </w:rPr>
        <w:t>，中国大陆海岸线长</w:t>
      </w:r>
      <w:r>
        <w:rPr>
          <w:rFonts w:eastAsia="Times New Roman"/>
          <w:kern w:val="0"/>
          <w:sz w:val="21"/>
          <w:szCs w:val="21"/>
          <w:lang w:val="zh-CN"/>
        </w:rPr>
        <w:t xml:space="preserve">1.8 </w:t>
      </w:r>
      <w:r>
        <w:rPr>
          <w:rFonts w:hint="eastAsia" w:ascii="宋体" w:hAnsi="宋体" w:cs="宋体"/>
          <w:kern w:val="0"/>
          <w:sz w:val="21"/>
          <w:szCs w:val="21"/>
          <w:lang w:val="zh-CN"/>
        </w:rPr>
        <w:t>万公里，面积</w:t>
      </w:r>
      <w:r>
        <w:rPr>
          <w:rFonts w:eastAsia="Times New Roman"/>
          <w:kern w:val="0"/>
          <w:sz w:val="21"/>
          <w:szCs w:val="21"/>
          <w:lang w:val="zh-CN"/>
        </w:rPr>
        <w:t>500</w:t>
      </w:r>
      <w:r>
        <w:rPr>
          <w:rFonts w:hint="eastAsia" w:ascii="宋体" w:hAnsi="宋体" w:cs="宋体"/>
          <w:kern w:val="0"/>
          <w:sz w:val="21"/>
          <w:szCs w:val="21"/>
          <w:lang w:val="zh-CN"/>
        </w:rPr>
        <w:t>平方米以上的海岛</w:t>
      </w:r>
      <w:r>
        <w:rPr>
          <w:rFonts w:eastAsia="Times New Roman"/>
          <w:kern w:val="0"/>
          <w:sz w:val="21"/>
          <w:szCs w:val="21"/>
          <w:lang w:val="zh-CN"/>
        </w:rPr>
        <w:t xml:space="preserve">6900 </w:t>
      </w:r>
      <w:r>
        <w:rPr>
          <w:rFonts w:hint="eastAsia" w:ascii="宋体" w:hAnsi="宋体" w:cs="宋体"/>
          <w:kern w:val="0"/>
          <w:sz w:val="21"/>
          <w:szCs w:val="21"/>
          <w:lang w:val="zh-CN"/>
        </w:rPr>
        <w:t>多个，内水和领海面积</w:t>
      </w:r>
      <w:r>
        <w:rPr>
          <w:rFonts w:eastAsia="Times New Roman"/>
          <w:kern w:val="0"/>
          <w:sz w:val="21"/>
          <w:szCs w:val="21"/>
          <w:lang w:val="zh-CN"/>
        </w:rPr>
        <w:t xml:space="preserve">38 </w:t>
      </w:r>
      <w:r>
        <w:rPr>
          <w:rFonts w:hint="eastAsia" w:ascii="宋体" w:hAnsi="宋体" w:cs="宋体"/>
          <w:kern w:val="0"/>
          <w:sz w:val="21"/>
          <w:szCs w:val="21"/>
          <w:lang w:val="zh-CN"/>
        </w:rPr>
        <w:t>万平方公里，管辖的海域面积约</w:t>
      </w:r>
      <w:r>
        <w:rPr>
          <w:rFonts w:eastAsia="Times New Roman"/>
          <w:kern w:val="0"/>
          <w:sz w:val="21"/>
          <w:szCs w:val="21"/>
          <w:lang w:val="zh-CN"/>
        </w:rPr>
        <w:t xml:space="preserve">300 </w:t>
      </w:r>
      <w:r>
        <w:rPr>
          <w:rFonts w:hint="eastAsia" w:ascii="宋体" w:hAnsi="宋体" w:cs="宋体"/>
          <w:kern w:val="0"/>
          <w:sz w:val="21"/>
          <w:szCs w:val="21"/>
          <w:lang w:val="zh-CN"/>
        </w:rPr>
        <w:t>万平方公里，在海洋有着广泛的战略利益。同时，近年来海洋经济也成为新增长点，国家海洋局近日对外发布了《</w:t>
      </w:r>
      <w:r>
        <w:rPr>
          <w:rFonts w:eastAsia="Times New Roman"/>
          <w:kern w:val="0"/>
          <w:sz w:val="21"/>
          <w:szCs w:val="21"/>
          <w:lang w:val="zh-CN"/>
        </w:rPr>
        <w:t>2016</w:t>
      </w:r>
      <w:r>
        <w:rPr>
          <w:rFonts w:hint="eastAsia" w:ascii="宋体" w:hAnsi="宋体" w:cs="宋体"/>
          <w:kern w:val="0"/>
          <w:sz w:val="21"/>
          <w:szCs w:val="21"/>
          <w:lang w:val="zh-CN"/>
        </w:rPr>
        <w:t>年中国海洋经济统计公报》</w:t>
      </w:r>
      <w:r>
        <w:rPr>
          <w:rFonts w:eastAsia="Times New Roman"/>
          <w:kern w:val="0"/>
          <w:sz w:val="21"/>
          <w:szCs w:val="21"/>
          <w:lang w:val="zh-CN"/>
        </w:rPr>
        <w:t>(</w:t>
      </w:r>
      <w:r>
        <w:rPr>
          <w:rFonts w:hint="eastAsia" w:ascii="宋体" w:hAnsi="宋体" w:cs="宋体"/>
          <w:kern w:val="0"/>
          <w:sz w:val="21"/>
          <w:szCs w:val="21"/>
          <w:lang w:val="zh-CN"/>
        </w:rPr>
        <w:t>以下简称《公报》</w:t>
      </w:r>
      <w:r>
        <w:rPr>
          <w:rFonts w:eastAsia="Times New Roman"/>
          <w:kern w:val="0"/>
          <w:sz w:val="21"/>
          <w:szCs w:val="21"/>
          <w:lang w:val="zh-CN"/>
        </w:rPr>
        <w:t>)</w:t>
      </w:r>
      <w:r>
        <w:rPr>
          <w:rFonts w:hint="eastAsia" w:ascii="宋体" w:hAnsi="宋体" w:cs="宋体"/>
          <w:kern w:val="0"/>
          <w:sz w:val="21"/>
          <w:szCs w:val="21"/>
          <w:lang w:val="zh-CN"/>
        </w:rPr>
        <w:t>。《公报》显示，</w:t>
      </w:r>
      <w:r>
        <w:rPr>
          <w:rFonts w:eastAsia="Times New Roman"/>
          <w:kern w:val="0"/>
          <w:sz w:val="21"/>
          <w:szCs w:val="21"/>
          <w:lang w:val="zh-CN"/>
        </w:rPr>
        <w:t>2016</w:t>
      </w:r>
      <w:r>
        <w:rPr>
          <w:rFonts w:hint="eastAsia" w:ascii="宋体" w:hAnsi="宋体" w:cs="宋体"/>
          <w:kern w:val="0"/>
          <w:sz w:val="21"/>
          <w:szCs w:val="21"/>
          <w:lang w:val="zh-CN"/>
        </w:rPr>
        <w:t>年全国海洋生产总值</w:t>
      </w:r>
      <w:r>
        <w:rPr>
          <w:rFonts w:eastAsia="Times New Roman"/>
          <w:kern w:val="0"/>
          <w:sz w:val="21"/>
          <w:szCs w:val="21"/>
          <w:lang w:val="zh-CN"/>
        </w:rPr>
        <w:t>70507</w:t>
      </w:r>
      <w:r>
        <w:rPr>
          <w:rFonts w:hint="eastAsia" w:ascii="宋体" w:hAnsi="宋体" w:cs="宋体"/>
          <w:kern w:val="0"/>
          <w:sz w:val="21"/>
          <w:szCs w:val="21"/>
          <w:lang w:val="zh-CN"/>
        </w:rPr>
        <w:t>亿元，比上年增长</w:t>
      </w:r>
      <w:r>
        <w:rPr>
          <w:rFonts w:eastAsia="Times New Roman"/>
          <w:kern w:val="0"/>
          <w:sz w:val="21"/>
          <w:szCs w:val="21"/>
          <w:lang w:val="zh-CN"/>
        </w:rPr>
        <w:t>6.8%</w:t>
      </w:r>
      <w:r>
        <w:rPr>
          <w:rFonts w:hint="eastAsia" w:ascii="宋体" w:hAnsi="宋体" w:cs="宋体"/>
          <w:kern w:val="0"/>
          <w:sz w:val="21"/>
          <w:szCs w:val="21"/>
          <w:lang w:val="zh-CN"/>
        </w:rPr>
        <w:t>，海洋生产总值占国内生产总值的</w:t>
      </w:r>
      <w:r>
        <w:rPr>
          <w:rFonts w:eastAsia="Times New Roman"/>
          <w:kern w:val="0"/>
          <w:sz w:val="21"/>
          <w:szCs w:val="21"/>
          <w:lang w:val="zh-CN"/>
        </w:rPr>
        <w:t>9.5%</w:t>
      </w:r>
      <w:r>
        <w:rPr>
          <w:rFonts w:hint="eastAsia" w:ascii="宋体" w:hAnsi="宋体" w:cs="宋体"/>
          <w:kern w:val="0"/>
          <w:sz w:val="21"/>
          <w:szCs w:val="21"/>
          <w:lang w:val="zh-CN"/>
        </w:rPr>
        <w:t>。其中，海洋产业增加值</w:t>
      </w:r>
      <w:r>
        <w:rPr>
          <w:rFonts w:eastAsia="Times New Roman"/>
          <w:kern w:val="0"/>
          <w:sz w:val="21"/>
          <w:szCs w:val="21"/>
          <w:lang w:val="zh-CN"/>
        </w:rPr>
        <w:t>43283</w:t>
      </w:r>
      <w:r>
        <w:rPr>
          <w:rFonts w:hint="eastAsia" w:ascii="宋体" w:hAnsi="宋体" w:cs="宋体"/>
          <w:kern w:val="0"/>
          <w:sz w:val="21"/>
          <w:szCs w:val="21"/>
          <w:lang w:val="zh-CN"/>
        </w:rPr>
        <w:t>亿元，海洋相关产业增加值</w:t>
      </w:r>
      <w:r>
        <w:rPr>
          <w:rFonts w:eastAsia="Times New Roman"/>
          <w:kern w:val="0"/>
          <w:sz w:val="21"/>
          <w:szCs w:val="21"/>
          <w:lang w:val="zh-CN"/>
        </w:rPr>
        <w:t>27224</w:t>
      </w:r>
      <w:r>
        <w:rPr>
          <w:rFonts w:hint="eastAsia" w:ascii="宋体" w:hAnsi="宋体" w:cs="宋体"/>
          <w:kern w:val="0"/>
          <w:sz w:val="21"/>
          <w:szCs w:val="21"/>
          <w:lang w:val="zh-CN"/>
        </w:rPr>
        <w:t>亿元。海洋第一产业增加值</w:t>
      </w:r>
      <w:r>
        <w:rPr>
          <w:rFonts w:eastAsia="Times New Roman"/>
          <w:kern w:val="0"/>
          <w:sz w:val="21"/>
          <w:szCs w:val="21"/>
          <w:lang w:val="zh-CN"/>
        </w:rPr>
        <w:t>3566</w:t>
      </w:r>
      <w:r>
        <w:rPr>
          <w:rFonts w:hint="eastAsia" w:ascii="宋体" w:hAnsi="宋体" w:cs="宋体"/>
          <w:kern w:val="0"/>
          <w:sz w:val="21"/>
          <w:szCs w:val="21"/>
          <w:lang w:val="zh-CN"/>
        </w:rPr>
        <w:t>亿元，第二产业增加值</w:t>
      </w:r>
      <w:r>
        <w:rPr>
          <w:rFonts w:eastAsia="Times New Roman"/>
          <w:kern w:val="0"/>
          <w:sz w:val="21"/>
          <w:szCs w:val="21"/>
          <w:lang w:val="zh-CN"/>
        </w:rPr>
        <w:t>28488</w:t>
      </w:r>
      <w:r>
        <w:rPr>
          <w:rFonts w:hint="eastAsia" w:ascii="宋体" w:hAnsi="宋体" w:cs="宋体"/>
          <w:kern w:val="0"/>
          <w:sz w:val="21"/>
          <w:szCs w:val="21"/>
          <w:lang w:val="zh-CN"/>
        </w:rPr>
        <w:t>亿元，第三产业增加值</w:t>
      </w:r>
      <w:r>
        <w:rPr>
          <w:rFonts w:eastAsia="Times New Roman"/>
          <w:kern w:val="0"/>
          <w:sz w:val="21"/>
          <w:szCs w:val="21"/>
          <w:lang w:val="zh-CN"/>
        </w:rPr>
        <w:t>38453</w:t>
      </w:r>
      <w:r>
        <w:rPr>
          <w:rFonts w:hint="eastAsia" w:ascii="宋体" w:hAnsi="宋体" w:cs="宋体"/>
          <w:kern w:val="0"/>
          <w:sz w:val="21"/>
          <w:szCs w:val="21"/>
          <w:lang w:val="zh-CN"/>
        </w:rPr>
        <w:t>亿元，海洋新兴产业发展势头良好，海洋服务业比重持续提高。海洋科技与经济的发展，都得益于海洋调查、海洋监测、海洋勘探和航海技术等领域的不断进步。随着我国海洋经济的迅速发展，</w:t>
      </w:r>
      <w:r>
        <w:rPr>
          <w:rFonts w:eastAsia="Times New Roman"/>
          <w:kern w:val="0"/>
          <w:sz w:val="21"/>
          <w:szCs w:val="21"/>
          <w:lang w:val="zh-CN"/>
        </w:rPr>
        <w:t>“</w:t>
      </w:r>
      <w:r>
        <w:rPr>
          <w:rFonts w:hint="eastAsia" w:ascii="宋体" w:hAnsi="宋体" w:cs="宋体"/>
          <w:kern w:val="0"/>
          <w:sz w:val="21"/>
          <w:szCs w:val="21"/>
          <w:lang w:val="zh-CN"/>
        </w:rPr>
        <w:t>丝绸之路经济带</w:t>
      </w:r>
      <w:r>
        <w:rPr>
          <w:rFonts w:eastAsia="Times New Roman"/>
          <w:kern w:val="0"/>
          <w:sz w:val="21"/>
          <w:szCs w:val="21"/>
          <w:lang w:val="zh-CN"/>
        </w:rPr>
        <w:t>”</w:t>
      </w:r>
      <w:r>
        <w:rPr>
          <w:rFonts w:hint="eastAsia" w:ascii="宋体" w:hAnsi="宋体" w:cs="宋体"/>
          <w:kern w:val="0"/>
          <w:sz w:val="21"/>
          <w:szCs w:val="21"/>
          <w:lang w:val="zh-CN"/>
        </w:rPr>
        <w:t>和</w:t>
      </w:r>
      <w:r>
        <w:rPr>
          <w:rFonts w:eastAsia="Times New Roman"/>
          <w:kern w:val="0"/>
          <w:sz w:val="21"/>
          <w:szCs w:val="21"/>
          <w:lang w:val="zh-CN"/>
        </w:rPr>
        <w:t>“21</w:t>
      </w:r>
      <w:r>
        <w:rPr>
          <w:rFonts w:hint="eastAsia" w:ascii="宋体" w:hAnsi="宋体" w:cs="宋体"/>
          <w:kern w:val="0"/>
          <w:sz w:val="21"/>
          <w:szCs w:val="21"/>
          <w:lang w:val="zh-CN"/>
        </w:rPr>
        <w:t>世纪海上丝绸之路</w:t>
      </w:r>
      <w:r>
        <w:rPr>
          <w:rFonts w:eastAsia="Times New Roman"/>
          <w:kern w:val="0"/>
          <w:sz w:val="21"/>
          <w:szCs w:val="21"/>
          <w:lang w:val="zh-CN"/>
        </w:rPr>
        <w:t>”</w:t>
      </w:r>
      <w:r>
        <w:rPr>
          <w:rFonts w:hint="eastAsia" w:ascii="宋体" w:hAnsi="宋体" w:cs="宋体"/>
          <w:kern w:val="0"/>
          <w:sz w:val="21"/>
          <w:szCs w:val="21"/>
          <w:lang w:val="zh-CN"/>
        </w:rPr>
        <w:t>（</w:t>
      </w:r>
      <w:r>
        <w:rPr>
          <w:rFonts w:eastAsia="Times New Roman"/>
          <w:kern w:val="0"/>
          <w:sz w:val="21"/>
          <w:szCs w:val="21"/>
          <w:lang w:val="zh-CN"/>
        </w:rPr>
        <w:t>“</w:t>
      </w:r>
      <w:r>
        <w:rPr>
          <w:rFonts w:hint="eastAsia" w:ascii="宋体" w:hAnsi="宋体" w:cs="宋体"/>
          <w:kern w:val="0"/>
          <w:sz w:val="21"/>
          <w:szCs w:val="21"/>
          <w:lang w:val="zh-CN"/>
        </w:rPr>
        <w:t>一带一路</w:t>
      </w:r>
      <w:r>
        <w:rPr>
          <w:rFonts w:eastAsia="Times New Roman"/>
          <w:kern w:val="0"/>
          <w:sz w:val="21"/>
          <w:szCs w:val="21"/>
          <w:lang w:val="zh-CN"/>
        </w:rPr>
        <w:t>”</w:t>
      </w:r>
      <w:r>
        <w:rPr>
          <w:rFonts w:hint="eastAsia" w:ascii="宋体" w:hAnsi="宋体" w:cs="宋体"/>
          <w:kern w:val="0"/>
          <w:sz w:val="21"/>
          <w:szCs w:val="21"/>
          <w:lang w:val="zh-CN"/>
        </w:rPr>
        <w:t>）建设、亚太互联互通、长江经济带发展等国家重大战略举措布局实施，对高端海洋技术服务的需求也将飞速增长。目前，公司智慧海洋业务主要包括海洋观（监）测与海洋调查：</w:t>
      </w:r>
    </w:p>
    <w:p>
      <w:pPr>
        <w:autoSpaceDE w:val="0"/>
        <w:autoSpaceDN w:val="0"/>
        <w:adjustRightInd w:val="0"/>
        <w:spacing w:before="0" w:after="0"/>
        <w:ind w:firstLine="420"/>
        <w:rPr>
          <w:rFonts w:eastAsia="Times New Roman"/>
          <w:kern w:val="0"/>
          <w:sz w:val="21"/>
          <w:szCs w:val="21"/>
          <w:lang w:val="zh-CN"/>
        </w:rPr>
      </w:pPr>
      <w:r>
        <w:rPr>
          <w:rFonts w:eastAsia="Times New Roman"/>
          <w:kern w:val="0"/>
          <w:sz w:val="21"/>
          <w:szCs w:val="21"/>
          <w:lang w:val="zh-CN"/>
        </w:rPr>
        <w:t>1</w:t>
      </w:r>
      <w:r>
        <w:rPr>
          <w:rFonts w:hint="eastAsia" w:ascii="宋体" w:hAnsi="宋体" w:cs="宋体"/>
          <w:kern w:val="0"/>
          <w:sz w:val="21"/>
          <w:szCs w:val="21"/>
          <w:lang w:val="zh-CN"/>
        </w:rPr>
        <w:t>）</w:t>
      </w:r>
      <w:r>
        <w:rPr>
          <w:rFonts w:hint="eastAsia" w:ascii="宋体" w:hAnsi="宋体" w:cs="宋体"/>
          <w:b/>
          <w:kern w:val="0"/>
          <w:sz w:val="21"/>
          <w:szCs w:val="21"/>
          <w:lang w:val="zh-CN"/>
        </w:rPr>
        <w:t>海洋观（监）测</w:t>
      </w:r>
      <w:r>
        <w:rPr>
          <w:rFonts w:hint="eastAsia" w:ascii="宋体" w:hAnsi="宋体" w:cs="宋体"/>
          <w:kern w:val="0"/>
          <w:sz w:val="21"/>
          <w:szCs w:val="21"/>
          <w:lang w:val="zh-CN"/>
        </w:rPr>
        <w:t>业务为市场拓展期，主要依托以极小目标探测雷达技术为核心的智能雷达监控系统及溢油探测、海浪探测雷达等产品，为客户提供溢油监测、海浪监测、浮冰监测等海洋信息服务，还可应用于岸基和船载</w:t>
      </w:r>
      <w:r>
        <w:rPr>
          <w:rFonts w:eastAsia="Times New Roman"/>
          <w:kern w:val="0"/>
          <w:sz w:val="21"/>
          <w:szCs w:val="21"/>
          <w:lang w:val="zh-CN"/>
        </w:rPr>
        <w:t>/</w:t>
      </w:r>
      <w:r>
        <w:rPr>
          <w:rFonts w:hint="eastAsia" w:ascii="宋体" w:hAnsi="宋体" w:cs="宋体"/>
          <w:kern w:val="0"/>
          <w:sz w:val="21"/>
          <w:szCs w:val="21"/>
          <w:lang w:val="zh-CN"/>
        </w:rPr>
        <w:t>舰载对海监控领域，为监控海域的行动部署提供高度融合的实时信息，实现港口监控、海域监控、岛礁监控、海上平台监控、海上搜救执法等综合管理功能。未来随着国家海域海岛维权、维稳需要，以及国家</w:t>
      </w:r>
      <w:r>
        <w:rPr>
          <w:rFonts w:eastAsia="Times New Roman"/>
          <w:kern w:val="0"/>
          <w:sz w:val="21"/>
          <w:szCs w:val="21"/>
          <w:lang w:val="zh-CN"/>
        </w:rPr>
        <w:t>“</w:t>
      </w:r>
      <w:r>
        <w:rPr>
          <w:rFonts w:hint="eastAsia" w:ascii="宋体" w:hAnsi="宋体" w:cs="宋体"/>
          <w:kern w:val="0"/>
          <w:sz w:val="21"/>
          <w:szCs w:val="21"/>
          <w:lang w:val="zh-CN"/>
        </w:rPr>
        <w:t>一带一路</w:t>
      </w:r>
      <w:r>
        <w:rPr>
          <w:rFonts w:eastAsia="Times New Roman"/>
          <w:kern w:val="0"/>
          <w:sz w:val="21"/>
          <w:szCs w:val="21"/>
          <w:lang w:val="zh-CN"/>
        </w:rPr>
        <w:t>”</w:t>
      </w:r>
      <w:r>
        <w:rPr>
          <w:rFonts w:hint="eastAsia" w:ascii="宋体" w:hAnsi="宋体" w:cs="宋体"/>
          <w:kern w:val="0"/>
          <w:sz w:val="21"/>
          <w:szCs w:val="21"/>
          <w:lang w:val="zh-CN"/>
        </w:rPr>
        <w:t>战略实施发展港口及海岸要塞监控业务的需求快速提升，市场规模可期。</w:t>
      </w:r>
    </w:p>
    <w:p>
      <w:pPr>
        <w:autoSpaceDE w:val="0"/>
        <w:autoSpaceDN w:val="0"/>
        <w:adjustRightInd w:val="0"/>
        <w:spacing w:before="0" w:after="0"/>
        <w:ind w:firstLine="420"/>
        <w:rPr>
          <w:rFonts w:eastAsia="Times New Roman"/>
          <w:kern w:val="0"/>
          <w:sz w:val="21"/>
          <w:szCs w:val="21"/>
          <w:lang w:val="zh-CN"/>
        </w:rPr>
      </w:pPr>
      <w:r>
        <w:rPr>
          <w:rFonts w:eastAsia="Times New Roman"/>
          <w:kern w:val="0"/>
          <w:sz w:val="21"/>
          <w:szCs w:val="21"/>
          <w:lang w:val="zh-CN"/>
        </w:rPr>
        <w:t>2</w:t>
      </w:r>
      <w:r>
        <w:rPr>
          <w:rFonts w:hint="eastAsia" w:ascii="宋体" w:hAnsi="宋体" w:cs="宋体"/>
          <w:kern w:val="0"/>
          <w:sz w:val="21"/>
          <w:szCs w:val="21"/>
          <w:lang w:val="zh-CN"/>
        </w:rPr>
        <w:t>）</w:t>
      </w:r>
      <w:r>
        <w:rPr>
          <w:rFonts w:hint="eastAsia" w:ascii="宋体" w:hAnsi="宋体" w:cs="宋体"/>
          <w:b/>
          <w:kern w:val="0"/>
          <w:sz w:val="21"/>
          <w:szCs w:val="21"/>
          <w:lang w:val="zh-CN"/>
        </w:rPr>
        <w:t>海洋调查</w:t>
      </w:r>
      <w:r>
        <w:rPr>
          <w:rFonts w:hint="eastAsia" w:ascii="宋体" w:hAnsi="宋体" w:cs="宋体"/>
          <w:kern w:val="0"/>
          <w:sz w:val="21"/>
          <w:szCs w:val="21"/>
          <w:lang w:val="zh-CN"/>
        </w:rPr>
        <w:t>业务稳定且潜力巨大，公司海洋调查业务的主体为劳雷产业，该公司是国内最大的海洋调查仪器应用与系统集成服务公司，在细分领域深耕多年，能够联合世界上的知名仪器生产厂家及科研院所，提供一流的海洋调查仪器和系统解决方案，帮助大量客户完成了数个重大国家科学项目和工程项目，客户覆盖了国家海洋局、水利部、测绘研究所等在内的全国大部分海洋调查领域客户群。</w:t>
      </w:r>
    </w:p>
    <w:p>
      <w:pPr>
        <w:autoSpaceDE w:val="0"/>
        <w:autoSpaceDN w:val="0"/>
        <w:adjustRightInd w:val="0"/>
        <w:spacing w:before="0" w:after="0"/>
        <w:ind w:firstLine="420"/>
        <w:jc w:val="left"/>
        <w:rPr>
          <w:rFonts w:eastAsia="Times New Roman"/>
          <w:kern w:val="0"/>
          <w:sz w:val="21"/>
          <w:szCs w:val="21"/>
          <w:lang w:val="zh-CN"/>
        </w:rPr>
      </w:pPr>
      <w:r>
        <w:rPr>
          <w:rFonts w:hint="eastAsia" w:ascii="宋体" w:hAnsi="宋体" w:cs="宋体"/>
          <w:b/>
          <w:kern w:val="0"/>
          <w:sz w:val="21"/>
          <w:szCs w:val="21"/>
          <w:lang w:val="zh-CN"/>
        </w:rPr>
        <w:t>在军（警）业务领域</w:t>
      </w:r>
      <w:r>
        <w:rPr>
          <w:rFonts w:hint="eastAsia" w:ascii="宋体" w:hAnsi="宋体" w:cs="宋体"/>
          <w:kern w:val="0"/>
          <w:sz w:val="21"/>
          <w:szCs w:val="21"/>
          <w:lang w:val="zh-CN"/>
        </w:rPr>
        <w:t>，在国家政策、发展规划、军民融合、国防作战力量建设等方面，公司发展将迎来重大发展机遇期。《中华人民共和国国民经济和社会发展第十三个五年规划纲要》指出，要</w:t>
      </w:r>
      <w:r>
        <w:rPr>
          <w:rFonts w:eastAsia="Times New Roman"/>
          <w:kern w:val="0"/>
          <w:sz w:val="21"/>
          <w:szCs w:val="21"/>
          <w:lang w:val="zh-CN"/>
        </w:rPr>
        <w:t>“</w:t>
      </w:r>
      <w:r>
        <w:rPr>
          <w:rFonts w:hint="eastAsia" w:ascii="宋体" w:hAnsi="宋体" w:cs="宋体"/>
          <w:kern w:val="0"/>
          <w:sz w:val="21"/>
          <w:szCs w:val="21"/>
          <w:lang w:val="zh-CN"/>
        </w:rPr>
        <w:t>改革国防科研生产和武器装备采购体制机制，加快军工体系开放竞争和科技成果转化，引导优势民营企业进入军品科研生产和维修领域</w:t>
      </w:r>
      <w:r>
        <w:rPr>
          <w:rFonts w:eastAsia="Times New Roman"/>
          <w:kern w:val="0"/>
          <w:sz w:val="21"/>
          <w:szCs w:val="21"/>
          <w:lang w:val="zh-CN"/>
        </w:rPr>
        <w:t>”</w:t>
      </w:r>
      <w:r>
        <w:rPr>
          <w:rFonts w:hint="eastAsia" w:ascii="宋体" w:hAnsi="宋体" w:cs="宋体"/>
          <w:kern w:val="0"/>
          <w:sz w:val="21"/>
          <w:szCs w:val="21"/>
          <w:lang w:val="zh-CN"/>
        </w:rPr>
        <w:t>，</w:t>
      </w:r>
      <w:r>
        <w:rPr>
          <w:rFonts w:eastAsia="Times New Roman"/>
          <w:kern w:val="0"/>
          <w:sz w:val="21"/>
          <w:szCs w:val="21"/>
          <w:lang w:val="zh-CN"/>
        </w:rPr>
        <w:t>“</w:t>
      </w:r>
      <w:r>
        <w:rPr>
          <w:rFonts w:hint="eastAsia" w:ascii="宋体" w:hAnsi="宋体" w:cs="宋体"/>
          <w:kern w:val="0"/>
          <w:sz w:val="21"/>
          <w:szCs w:val="21"/>
          <w:lang w:val="zh-CN"/>
        </w:rPr>
        <w:t>在海洋、太空、网络空间等领域推出一批重大项目和举措</w:t>
      </w:r>
      <w:r>
        <w:rPr>
          <w:rFonts w:eastAsia="Times New Roman"/>
          <w:kern w:val="0"/>
          <w:sz w:val="21"/>
          <w:szCs w:val="21"/>
          <w:lang w:val="zh-CN"/>
        </w:rPr>
        <w:t>”</w:t>
      </w:r>
      <w:r>
        <w:rPr>
          <w:rFonts w:hint="eastAsia" w:ascii="宋体" w:hAnsi="宋体" w:cs="宋体"/>
          <w:kern w:val="0"/>
          <w:sz w:val="21"/>
          <w:szCs w:val="21"/>
          <w:lang w:val="zh-CN"/>
        </w:rPr>
        <w:t>，</w:t>
      </w:r>
      <w:r>
        <w:rPr>
          <w:rFonts w:eastAsia="Times New Roman"/>
          <w:kern w:val="0"/>
          <w:sz w:val="21"/>
          <w:szCs w:val="21"/>
          <w:lang w:val="zh-CN"/>
        </w:rPr>
        <w:t>“</w:t>
      </w:r>
      <w:r>
        <w:rPr>
          <w:rFonts w:hint="eastAsia" w:ascii="宋体" w:hAnsi="宋体" w:cs="宋体"/>
          <w:kern w:val="0"/>
          <w:sz w:val="21"/>
          <w:szCs w:val="21"/>
          <w:lang w:val="zh-CN"/>
        </w:rPr>
        <w:t>加强国防边海防基础设施建设</w:t>
      </w:r>
      <w:r>
        <w:rPr>
          <w:rFonts w:eastAsia="Times New Roman"/>
          <w:kern w:val="0"/>
          <w:sz w:val="21"/>
          <w:szCs w:val="21"/>
          <w:lang w:val="zh-CN"/>
        </w:rPr>
        <w:t>”</w:t>
      </w:r>
      <w:r>
        <w:rPr>
          <w:rFonts w:hint="eastAsia" w:ascii="宋体" w:hAnsi="宋体" w:cs="宋体"/>
          <w:kern w:val="0"/>
          <w:sz w:val="21"/>
          <w:szCs w:val="21"/>
          <w:lang w:val="zh-CN"/>
        </w:rPr>
        <w:t>。</w:t>
      </w:r>
      <w:r>
        <w:rPr>
          <w:rFonts w:eastAsia="Times New Roman"/>
          <w:kern w:val="0"/>
          <w:sz w:val="21"/>
          <w:szCs w:val="21"/>
          <w:lang w:val="zh-CN"/>
        </w:rPr>
        <w:t>2016</w:t>
      </w:r>
      <w:r>
        <w:rPr>
          <w:rFonts w:hint="eastAsia" w:ascii="宋体" w:hAnsi="宋体" w:cs="宋体"/>
          <w:kern w:val="0"/>
          <w:sz w:val="21"/>
          <w:szCs w:val="21"/>
          <w:lang w:val="zh-CN"/>
        </w:rPr>
        <w:t>年</w:t>
      </w:r>
      <w:r>
        <w:rPr>
          <w:rFonts w:eastAsia="Times New Roman"/>
          <w:kern w:val="0"/>
          <w:sz w:val="21"/>
          <w:szCs w:val="21"/>
          <w:lang w:val="zh-CN"/>
        </w:rPr>
        <w:t>2</w:t>
      </w:r>
      <w:r>
        <w:rPr>
          <w:rFonts w:hint="eastAsia" w:ascii="宋体" w:hAnsi="宋体" w:cs="宋体"/>
          <w:kern w:val="0"/>
          <w:sz w:val="21"/>
          <w:szCs w:val="21"/>
          <w:lang w:val="zh-CN"/>
        </w:rPr>
        <w:t>月</w:t>
      </w:r>
      <w:r>
        <w:rPr>
          <w:rFonts w:eastAsia="Times New Roman"/>
          <w:kern w:val="0"/>
          <w:sz w:val="21"/>
          <w:szCs w:val="21"/>
          <w:lang w:val="zh-CN"/>
        </w:rPr>
        <w:t>28</w:t>
      </w:r>
      <w:r>
        <w:rPr>
          <w:rFonts w:hint="eastAsia" w:ascii="宋体" w:hAnsi="宋体" w:cs="宋体"/>
          <w:kern w:val="0"/>
          <w:sz w:val="21"/>
          <w:szCs w:val="21"/>
          <w:lang w:val="zh-CN"/>
        </w:rPr>
        <w:t>日，国防科工局颁布的《</w:t>
      </w:r>
      <w:r>
        <w:rPr>
          <w:rFonts w:eastAsia="Times New Roman"/>
          <w:kern w:val="0"/>
          <w:sz w:val="21"/>
          <w:szCs w:val="21"/>
          <w:lang w:val="zh-CN"/>
        </w:rPr>
        <w:t>2016</w:t>
      </w:r>
      <w:r>
        <w:rPr>
          <w:rFonts w:hint="eastAsia" w:ascii="宋体" w:hAnsi="宋体" w:cs="宋体"/>
          <w:kern w:val="0"/>
          <w:sz w:val="21"/>
          <w:szCs w:val="21"/>
          <w:lang w:val="zh-CN"/>
        </w:rPr>
        <w:t>年国防科工局军民融合专项行动计划》指出，要</w:t>
      </w:r>
      <w:r>
        <w:rPr>
          <w:rFonts w:eastAsia="Times New Roman"/>
          <w:kern w:val="0"/>
          <w:sz w:val="21"/>
          <w:szCs w:val="21"/>
          <w:lang w:val="zh-CN"/>
        </w:rPr>
        <w:t>“</w:t>
      </w:r>
      <w:r>
        <w:rPr>
          <w:rFonts w:hint="eastAsia" w:ascii="宋体" w:hAnsi="宋体" w:cs="宋体"/>
          <w:kern w:val="0"/>
          <w:sz w:val="21"/>
          <w:szCs w:val="21"/>
          <w:lang w:val="zh-CN"/>
        </w:rPr>
        <w:t>优化军工结构，深化</w:t>
      </w:r>
      <w:r>
        <w:rPr>
          <w:rFonts w:eastAsia="Times New Roman"/>
          <w:kern w:val="0"/>
          <w:sz w:val="21"/>
          <w:szCs w:val="21"/>
          <w:lang w:val="zh-CN"/>
        </w:rPr>
        <w:t>‘</w:t>
      </w:r>
      <w:r>
        <w:rPr>
          <w:rFonts w:hint="eastAsia" w:ascii="宋体" w:hAnsi="宋体" w:cs="宋体"/>
          <w:kern w:val="0"/>
          <w:sz w:val="21"/>
          <w:szCs w:val="21"/>
          <w:lang w:val="zh-CN"/>
        </w:rPr>
        <w:t>民参军</w:t>
      </w:r>
      <w:r>
        <w:rPr>
          <w:rFonts w:eastAsia="Times New Roman"/>
          <w:kern w:val="0"/>
          <w:sz w:val="21"/>
          <w:szCs w:val="21"/>
          <w:lang w:val="zh-CN"/>
        </w:rPr>
        <w:t>’”</w:t>
      </w:r>
      <w:r>
        <w:rPr>
          <w:rFonts w:hint="eastAsia" w:ascii="宋体" w:hAnsi="宋体" w:cs="宋体"/>
          <w:kern w:val="0"/>
          <w:sz w:val="21"/>
          <w:szCs w:val="21"/>
          <w:lang w:val="zh-CN"/>
        </w:rPr>
        <w:t>，</w:t>
      </w:r>
      <w:r>
        <w:rPr>
          <w:rFonts w:eastAsia="Times New Roman"/>
          <w:kern w:val="0"/>
          <w:sz w:val="21"/>
          <w:szCs w:val="21"/>
          <w:lang w:val="zh-CN"/>
        </w:rPr>
        <w:t>“</w:t>
      </w:r>
      <w:r>
        <w:rPr>
          <w:rFonts w:hint="eastAsia" w:ascii="宋体" w:hAnsi="宋体" w:cs="宋体"/>
          <w:kern w:val="0"/>
          <w:sz w:val="21"/>
          <w:szCs w:val="21"/>
          <w:lang w:val="zh-CN"/>
        </w:rPr>
        <w:t>推动扩大军工外部协作。探索将军工外部配套率、民口配套率和民营配套率相关数据纳入国防科技工业经济运行统计</w:t>
      </w:r>
      <w:r>
        <w:rPr>
          <w:rFonts w:eastAsia="Times New Roman"/>
          <w:kern w:val="0"/>
          <w:sz w:val="21"/>
          <w:szCs w:val="21"/>
          <w:lang w:val="zh-CN"/>
        </w:rPr>
        <w:t>”</w:t>
      </w:r>
      <w:r>
        <w:rPr>
          <w:rFonts w:hint="eastAsia" w:ascii="宋体" w:hAnsi="宋体" w:cs="宋体"/>
          <w:kern w:val="0"/>
          <w:sz w:val="21"/>
          <w:szCs w:val="21"/>
          <w:lang w:val="zh-CN"/>
        </w:rPr>
        <w:t>。</w:t>
      </w:r>
      <w:r>
        <w:rPr>
          <w:rFonts w:eastAsia="Times New Roman"/>
          <w:kern w:val="0"/>
          <w:sz w:val="21"/>
          <w:szCs w:val="21"/>
          <w:lang w:val="zh-CN"/>
        </w:rPr>
        <w:t>2015</w:t>
      </w:r>
      <w:r>
        <w:rPr>
          <w:rFonts w:hint="eastAsia" w:ascii="宋体" w:hAnsi="宋体" w:cs="宋体"/>
          <w:kern w:val="0"/>
          <w:sz w:val="21"/>
          <w:szCs w:val="21"/>
          <w:lang w:val="zh-CN"/>
        </w:rPr>
        <w:t>年</w:t>
      </w:r>
      <w:r>
        <w:rPr>
          <w:rFonts w:eastAsia="Times New Roman"/>
          <w:kern w:val="0"/>
          <w:sz w:val="21"/>
          <w:szCs w:val="21"/>
          <w:lang w:val="zh-CN"/>
        </w:rPr>
        <w:t>5</w:t>
      </w:r>
      <w:r>
        <w:rPr>
          <w:rFonts w:hint="eastAsia" w:ascii="宋体" w:hAnsi="宋体" w:cs="宋体"/>
          <w:kern w:val="0"/>
          <w:sz w:val="21"/>
          <w:szCs w:val="21"/>
          <w:lang w:val="zh-CN"/>
        </w:rPr>
        <w:t>月</w:t>
      </w:r>
      <w:r>
        <w:rPr>
          <w:rFonts w:eastAsia="Times New Roman"/>
          <w:kern w:val="0"/>
          <w:sz w:val="21"/>
          <w:szCs w:val="21"/>
          <w:lang w:val="zh-CN"/>
        </w:rPr>
        <w:t>26</w:t>
      </w:r>
      <w:r>
        <w:rPr>
          <w:rFonts w:hint="eastAsia" w:ascii="宋体" w:hAnsi="宋体" w:cs="宋体"/>
          <w:kern w:val="0"/>
          <w:sz w:val="21"/>
          <w:szCs w:val="21"/>
          <w:lang w:val="zh-CN"/>
        </w:rPr>
        <w:t>日，中国政府发表《中国的军事战略》白皮书，海军将</w:t>
      </w:r>
      <w:r>
        <w:rPr>
          <w:rFonts w:eastAsia="Times New Roman"/>
          <w:kern w:val="0"/>
          <w:sz w:val="21"/>
          <w:szCs w:val="21"/>
          <w:lang w:val="zh-CN"/>
        </w:rPr>
        <w:t>“</w:t>
      </w:r>
      <w:r>
        <w:rPr>
          <w:rFonts w:hint="eastAsia" w:ascii="宋体" w:hAnsi="宋体" w:cs="宋体"/>
          <w:kern w:val="0"/>
          <w:sz w:val="21"/>
          <w:szCs w:val="21"/>
          <w:lang w:val="zh-CN"/>
        </w:rPr>
        <w:t>按照近海防御、远海护卫的战略要求，逐步实现近海防御型向近海防御与远海护卫型结合转变，构建合成、多能、高效的海上作战力量体系，提高战略威慑与反击、海上机动作战、海上联合作战、综合防御作战和综合保障能力</w:t>
      </w:r>
      <w:r>
        <w:rPr>
          <w:rFonts w:eastAsia="Times New Roman"/>
          <w:kern w:val="0"/>
          <w:sz w:val="21"/>
          <w:szCs w:val="21"/>
          <w:lang w:val="zh-CN"/>
        </w:rPr>
        <w:t>”</w:t>
      </w:r>
      <w:r>
        <w:rPr>
          <w:rFonts w:hint="eastAsia" w:ascii="宋体" w:hAnsi="宋体" w:cs="宋体"/>
          <w:kern w:val="0"/>
          <w:sz w:val="21"/>
          <w:szCs w:val="21"/>
          <w:lang w:val="zh-CN"/>
        </w:rPr>
        <w:t>。同时，深刻指出</w:t>
      </w:r>
      <w:r>
        <w:rPr>
          <w:rFonts w:eastAsia="Times New Roman"/>
          <w:kern w:val="0"/>
          <w:sz w:val="21"/>
          <w:szCs w:val="21"/>
          <w:lang w:val="zh-CN"/>
        </w:rPr>
        <w:t>“</w:t>
      </w:r>
      <w:r>
        <w:rPr>
          <w:rFonts w:hint="eastAsia" w:ascii="宋体" w:hAnsi="宋体" w:cs="宋体"/>
          <w:kern w:val="0"/>
          <w:sz w:val="21"/>
          <w:szCs w:val="21"/>
          <w:lang w:val="zh-CN"/>
        </w:rPr>
        <w:t>必须突破重陆轻海的传统思维，高度重视经略海洋、维护海权。建设与国家安全和发展利益相适应的现代海上军事力量体系，维护国家主权和海洋权益，维护战略通道和海外利益安全，参与海洋国际合作，为建设海洋强国提供战略支撑</w:t>
      </w:r>
      <w:r>
        <w:rPr>
          <w:rFonts w:eastAsia="Times New Roman"/>
          <w:kern w:val="0"/>
          <w:sz w:val="21"/>
          <w:szCs w:val="21"/>
          <w:lang w:val="zh-CN"/>
        </w:rPr>
        <w:t>”</w:t>
      </w:r>
      <w:r>
        <w:rPr>
          <w:rFonts w:hint="eastAsia" w:ascii="宋体" w:hAnsi="宋体" w:cs="宋体"/>
          <w:kern w:val="0"/>
          <w:sz w:val="21"/>
          <w:szCs w:val="21"/>
          <w:lang w:val="zh-CN"/>
        </w:rPr>
        <w:t>。本业务领域为公司成熟业务，公司作为中国海军指定的供应商，产品已应用到包括中国首艘航母</w:t>
      </w:r>
      <w:r>
        <w:rPr>
          <w:rFonts w:eastAsia="Times New Roman"/>
          <w:kern w:val="0"/>
          <w:sz w:val="21"/>
          <w:szCs w:val="21"/>
          <w:lang w:val="zh-CN"/>
        </w:rPr>
        <w:t>“</w:t>
      </w:r>
      <w:r>
        <w:rPr>
          <w:rFonts w:hint="eastAsia" w:ascii="宋体" w:hAnsi="宋体" w:cs="宋体"/>
          <w:kern w:val="0"/>
          <w:sz w:val="21"/>
          <w:szCs w:val="21"/>
          <w:lang w:val="zh-CN"/>
        </w:rPr>
        <w:t>辽宁舰</w:t>
      </w:r>
      <w:r>
        <w:rPr>
          <w:rFonts w:eastAsia="Times New Roman"/>
          <w:kern w:val="0"/>
          <w:sz w:val="21"/>
          <w:szCs w:val="21"/>
          <w:lang w:val="zh-CN"/>
        </w:rPr>
        <w:t>”</w:t>
      </w:r>
      <w:r>
        <w:rPr>
          <w:rFonts w:hint="eastAsia" w:ascii="宋体" w:hAnsi="宋体" w:cs="宋体"/>
          <w:kern w:val="0"/>
          <w:sz w:val="21"/>
          <w:szCs w:val="21"/>
          <w:lang w:val="zh-CN"/>
        </w:rPr>
        <w:t>在内的各类舰船上，并实现了从单一产品供应向系统解决方案的转变；通过产品创新积极由船（舰）载领域向岸基对海监控领域拓展业务，公司智能雷达监控系统可应用于岸基和船载</w:t>
      </w:r>
      <w:r>
        <w:rPr>
          <w:rFonts w:eastAsia="Times New Roman"/>
          <w:kern w:val="0"/>
          <w:sz w:val="21"/>
          <w:szCs w:val="21"/>
          <w:lang w:val="zh-CN"/>
        </w:rPr>
        <w:t>/</w:t>
      </w:r>
      <w:r>
        <w:rPr>
          <w:rFonts w:hint="eastAsia" w:ascii="宋体" w:hAnsi="宋体" w:cs="宋体"/>
          <w:kern w:val="0"/>
          <w:sz w:val="21"/>
          <w:szCs w:val="21"/>
          <w:lang w:val="zh-CN"/>
        </w:rPr>
        <w:t>舰载对海监控领域，为监控海域的行动部署提供高度融合的实时信息，实现港口监控、海域监控、岛礁监控、海上平台监控、海上搜救执法等综合管理功能；另外，在国家</w:t>
      </w:r>
      <w:r>
        <w:rPr>
          <w:rFonts w:eastAsia="Times New Roman"/>
          <w:kern w:val="0"/>
          <w:sz w:val="21"/>
          <w:szCs w:val="21"/>
          <w:lang w:val="zh-CN"/>
        </w:rPr>
        <w:t>“</w:t>
      </w:r>
      <w:r>
        <w:rPr>
          <w:rFonts w:hint="eastAsia" w:ascii="宋体" w:hAnsi="宋体" w:cs="宋体"/>
          <w:kern w:val="0"/>
          <w:sz w:val="21"/>
          <w:szCs w:val="21"/>
          <w:lang w:val="zh-CN"/>
        </w:rPr>
        <w:t>海洋强国战略</w:t>
      </w:r>
      <w:r>
        <w:rPr>
          <w:rFonts w:eastAsia="Times New Roman"/>
          <w:kern w:val="0"/>
          <w:sz w:val="21"/>
          <w:szCs w:val="21"/>
          <w:lang w:val="zh-CN"/>
        </w:rPr>
        <w:t>”</w:t>
      </w:r>
      <w:r>
        <w:rPr>
          <w:rFonts w:hint="eastAsia" w:ascii="宋体" w:hAnsi="宋体" w:cs="宋体"/>
          <w:kern w:val="0"/>
          <w:sz w:val="21"/>
          <w:szCs w:val="21"/>
          <w:lang w:val="zh-CN"/>
        </w:rPr>
        <w:t>的背景下，海底监测</w:t>
      </w:r>
      <w:r>
        <w:rPr>
          <w:rFonts w:eastAsia="Times New Roman"/>
          <w:kern w:val="0"/>
          <w:sz w:val="21"/>
          <w:szCs w:val="21"/>
          <w:lang w:val="zh-CN"/>
        </w:rPr>
        <w:t>/</w:t>
      </w:r>
      <w:r>
        <w:rPr>
          <w:rFonts w:hint="eastAsia" w:ascii="宋体" w:hAnsi="宋体" w:cs="宋体"/>
          <w:kern w:val="0"/>
          <w:sz w:val="21"/>
          <w:szCs w:val="21"/>
          <w:lang w:val="zh-CN"/>
        </w:rPr>
        <w:t>观测领域投入也将大幅增长，公司在海洋领域丰富的产品线，海洋传感器和信号处理等设备是关键的辅助装置，也将面临历史性机遇。</w:t>
      </w:r>
    </w:p>
    <w:p>
      <w:pPr>
        <w:pStyle w:val="10"/>
        <w:outlineLvl w:val="1"/>
        <w:rPr>
          <w:bCs w:val="0"/>
        </w:rPr>
      </w:pPr>
      <w:r>
        <w:rPr>
          <w:rFonts w:hint="eastAsia"/>
          <w:bCs w:val="0"/>
        </w:rPr>
        <w:t>二、主要资产重大变化情况</w:t>
      </w:r>
    </w:p>
    <w:p>
      <w:pPr>
        <w:pStyle w:val="11"/>
        <w:outlineLvl w:val="2"/>
        <w:rPr>
          <w:bCs w:val="0"/>
          <w:szCs w:val="24"/>
        </w:rPr>
      </w:pPr>
      <w:r>
        <w:rPr>
          <w:bCs w:val="0"/>
          <w:szCs w:val="24"/>
        </w:rPr>
        <w:t>1</w:t>
      </w:r>
      <w:r>
        <w:rPr>
          <w:rFonts w:hint="eastAsia"/>
          <w:bCs w:val="0"/>
          <w:szCs w:val="24"/>
        </w:rPr>
        <w:t>、主要资产重大变化情况</w:t>
      </w:r>
    </w:p>
    <w:tbl>
      <w:tblPr>
        <w:tblStyle w:val="8"/>
        <w:tblW w:w="9568" w:type="dxa"/>
        <w:tblInd w:w="28" w:type="dxa"/>
        <w:tblLayout w:type="fixed"/>
        <w:tblCellMar>
          <w:top w:w="0" w:type="dxa"/>
          <w:left w:w="28" w:type="dxa"/>
          <w:bottom w:w="0" w:type="dxa"/>
          <w:right w:w="28" w:type="dxa"/>
        </w:tblCellMar>
      </w:tblPr>
      <w:tblGrid>
        <w:gridCol w:w="3051"/>
        <w:gridCol w:w="6517"/>
      </w:tblGrid>
      <w:tr>
        <w:tblPrEx>
          <w:tblLayout w:type="fixed"/>
          <w:tblCellMar>
            <w:top w:w="0" w:type="dxa"/>
            <w:left w:w="28" w:type="dxa"/>
            <w:bottom w:w="0" w:type="dxa"/>
            <w:right w:w="28" w:type="dxa"/>
          </w:tblCellMar>
        </w:tblPrEx>
        <w:trPr>
          <w:trHeight w:val="352" w:hRule="atLeast"/>
        </w:trPr>
        <w:tc>
          <w:tcPr>
            <w:tcW w:w="3051"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主要资产</w:t>
            </w:r>
          </w:p>
        </w:tc>
        <w:tc>
          <w:tcPr>
            <w:tcW w:w="6517"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重大变化说明</w:t>
            </w:r>
          </w:p>
        </w:tc>
      </w:tr>
      <w:tr>
        <w:tblPrEx>
          <w:tblLayout w:type="fixed"/>
          <w:tblCellMar>
            <w:top w:w="0" w:type="dxa"/>
            <w:left w:w="28" w:type="dxa"/>
            <w:bottom w:w="0" w:type="dxa"/>
            <w:right w:w="28" w:type="dxa"/>
          </w:tblCellMar>
        </w:tblPrEx>
        <w:trPr>
          <w:trHeight w:val="392" w:hRule="atLeast"/>
        </w:trPr>
        <w:tc>
          <w:tcPr>
            <w:tcW w:w="3051" w:type="dxa"/>
            <w:vMerge w:val="continue"/>
            <w:tcBorders>
              <w:top w:val="single" w:color="auto" w:sz="4" w:space="0"/>
              <w:left w:val="single" w:color="auto" w:sz="4" w:space="0"/>
              <w:bottom w:val="single" w:color="auto" w:sz="4" w:space="0"/>
              <w:right w:val="single" w:color="auto" w:sz="4" w:space="0"/>
            </w:tcBorders>
            <w:vAlign w:val="center"/>
          </w:tcPr>
          <w:p>
            <w:pPr>
              <w:rPr>
                <w:szCs w:val="24"/>
              </w:rPr>
            </w:pPr>
          </w:p>
        </w:tc>
        <w:tc>
          <w:tcPr>
            <w:tcW w:w="6517" w:type="dxa"/>
            <w:vMerge w:val="continue"/>
            <w:tcBorders>
              <w:top w:val="single" w:color="auto" w:sz="4" w:space="0"/>
              <w:left w:val="single" w:color="auto" w:sz="4" w:space="0"/>
              <w:bottom w:val="single" w:color="auto" w:sz="4" w:space="0"/>
              <w:right w:val="single" w:color="auto" w:sz="4" w:space="0"/>
            </w:tcBorders>
            <w:vAlign w:val="center"/>
          </w:tcPr>
          <w:p>
            <w:pPr>
              <w:rPr>
                <w:szCs w:val="24"/>
              </w:rPr>
            </w:pPr>
          </w:p>
        </w:tc>
      </w:tr>
      <w:tr>
        <w:tblPrEx>
          <w:tblLayout w:type="fixed"/>
          <w:tblCellMar>
            <w:top w:w="0" w:type="dxa"/>
            <w:left w:w="28" w:type="dxa"/>
            <w:bottom w:w="0" w:type="dxa"/>
            <w:right w:w="28" w:type="dxa"/>
          </w:tblCellMar>
        </w:tblPrEx>
        <w:tc>
          <w:tcPr>
            <w:tcW w:w="3051"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股权资产</w:t>
            </w:r>
          </w:p>
        </w:tc>
        <w:tc>
          <w:tcPr>
            <w:tcW w:w="651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报告期末长期股权投资</w:t>
            </w:r>
            <w:r>
              <w:rPr>
                <w:szCs w:val="24"/>
              </w:rPr>
              <w:t xml:space="preserve"> 7,608.58 </w:t>
            </w:r>
            <w:r>
              <w:rPr>
                <w:rFonts w:hint="eastAsia"/>
                <w:szCs w:val="24"/>
              </w:rPr>
              <w:t>万元，较期初增长</w:t>
            </w:r>
            <w:r>
              <w:rPr>
                <w:szCs w:val="24"/>
              </w:rPr>
              <w:t xml:space="preserve"> 34.18%</w:t>
            </w:r>
            <w:r>
              <w:rPr>
                <w:rFonts w:hint="eastAsia"/>
                <w:szCs w:val="24"/>
              </w:rPr>
              <w:t>，主要系报告期公司出资成立浙江海兰信海洋信息科技有限公司，持有</w:t>
            </w:r>
            <w:r>
              <w:rPr>
                <w:szCs w:val="24"/>
              </w:rPr>
              <w:t>40%</w:t>
            </w:r>
            <w:r>
              <w:rPr>
                <w:rFonts w:hint="eastAsia"/>
                <w:szCs w:val="24"/>
              </w:rPr>
              <w:t>股份</w:t>
            </w:r>
          </w:p>
        </w:tc>
      </w:tr>
      <w:tr>
        <w:tblPrEx>
          <w:tblLayout w:type="fixed"/>
          <w:tblCellMar>
            <w:top w:w="0" w:type="dxa"/>
            <w:left w:w="28" w:type="dxa"/>
            <w:bottom w:w="0" w:type="dxa"/>
            <w:right w:w="28" w:type="dxa"/>
          </w:tblCellMar>
        </w:tblPrEx>
        <w:tc>
          <w:tcPr>
            <w:tcW w:w="3051"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固定资产</w:t>
            </w:r>
          </w:p>
        </w:tc>
        <w:tc>
          <w:tcPr>
            <w:tcW w:w="651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报告期末固定资产</w:t>
            </w:r>
            <w:r>
              <w:rPr>
                <w:szCs w:val="24"/>
              </w:rPr>
              <w:t>7,573.65</w:t>
            </w:r>
            <w:r>
              <w:rPr>
                <w:rFonts w:hint="eastAsia"/>
                <w:szCs w:val="24"/>
              </w:rPr>
              <w:t>万元，较期初降低</w:t>
            </w:r>
            <w:r>
              <w:rPr>
                <w:szCs w:val="24"/>
              </w:rPr>
              <w:t xml:space="preserve"> 11.28%</w:t>
            </w:r>
            <w:r>
              <w:rPr>
                <w:rFonts w:hint="eastAsia"/>
                <w:szCs w:val="24"/>
              </w:rPr>
              <w:t>，主要系本报告期计提折旧所致</w:t>
            </w:r>
          </w:p>
        </w:tc>
      </w:tr>
      <w:tr>
        <w:tblPrEx>
          <w:tblLayout w:type="fixed"/>
          <w:tblCellMar>
            <w:top w:w="0" w:type="dxa"/>
            <w:left w:w="28" w:type="dxa"/>
            <w:bottom w:w="0" w:type="dxa"/>
            <w:right w:w="28" w:type="dxa"/>
          </w:tblCellMar>
        </w:tblPrEx>
        <w:tc>
          <w:tcPr>
            <w:tcW w:w="3051"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无形资产</w:t>
            </w:r>
          </w:p>
        </w:tc>
        <w:tc>
          <w:tcPr>
            <w:tcW w:w="651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报告期末无形资产</w:t>
            </w:r>
            <w:r>
              <w:rPr>
                <w:szCs w:val="24"/>
              </w:rPr>
              <w:t xml:space="preserve">18,211.79 </w:t>
            </w:r>
            <w:r>
              <w:rPr>
                <w:rFonts w:hint="eastAsia"/>
                <w:szCs w:val="24"/>
              </w:rPr>
              <w:t>万元，较期初增长</w:t>
            </w:r>
            <w:r>
              <w:rPr>
                <w:szCs w:val="24"/>
              </w:rPr>
              <w:t xml:space="preserve"> 11.66%</w:t>
            </w:r>
            <w:r>
              <w:rPr>
                <w:rFonts w:hint="eastAsia"/>
                <w:szCs w:val="24"/>
              </w:rPr>
              <w:t>，主要系报告期公司内部自主研发和委托外部研发形成的无形资产增加</w:t>
            </w:r>
          </w:p>
        </w:tc>
      </w:tr>
      <w:tr>
        <w:tblPrEx>
          <w:tblLayout w:type="fixed"/>
          <w:tblCellMar>
            <w:top w:w="0" w:type="dxa"/>
            <w:left w:w="28" w:type="dxa"/>
            <w:bottom w:w="0" w:type="dxa"/>
            <w:right w:w="28" w:type="dxa"/>
          </w:tblCellMar>
        </w:tblPrEx>
        <w:tc>
          <w:tcPr>
            <w:tcW w:w="3051"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在建工程</w:t>
            </w:r>
          </w:p>
        </w:tc>
        <w:tc>
          <w:tcPr>
            <w:tcW w:w="651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报告期末在建工程</w:t>
            </w:r>
            <w:r>
              <w:rPr>
                <w:szCs w:val="24"/>
              </w:rPr>
              <w:t xml:space="preserve">12.99 </w:t>
            </w:r>
            <w:r>
              <w:rPr>
                <w:rFonts w:hint="eastAsia"/>
                <w:szCs w:val="24"/>
              </w:rPr>
              <w:t>万元，较期初增长</w:t>
            </w:r>
            <w:r>
              <w:rPr>
                <w:szCs w:val="24"/>
              </w:rPr>
              <w:t xml:space="preserve"> 158.83%</w:t>
            </w:r>
            <w:r>
              <w:rPr>
                <w:rFonts w:hint="eastAsia"/>
                <w:szCs w:val="24"/>
              </w:rPr>
              <w:t>，主要系报告期支付设计费所致</w:t>
            </w:r>
          </w:p>
        </w:tc>
      </w:tr>
      <w:tr>
        <w:tblPrEx>
          <w:tblLayout w:type="fixed"/>
          <w:tblCellMar>
            <w:top w:w="0" w:type="dxa"/>
            <w:left w:w="28" w:type="dxa"/>
            <w:bottom w:w="0" w:type="dxa"/>
            <w:right w:w="28" w:type="dxa"/>
          </w:tblCellMar>
        </w:tblPrEx>
        <w:tc>
          <w:tcPr>
            <w:tcW w:w="305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商誉</w:t>
            </w:r>
          </w:p>
        </w:tc>
        <w:tc>
          <w:tcPr>
            <w:tcW w:w="651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报告期末商誉</w:t>
            </w:r>
            <w:r>
              <w:rPr>
                <w:szCs w:val="24"/>
              </w:rPr>
              <w:t>30,190.69</w:t>
            </w:r>
            <w:r>
              <w:rPr>
                <w:rFonts w:hint="eastAsia"/>
                <w:szCs w:val="24"/>
              </w:rPr>
              <w:t>万元，较期初增长</w:t>
            </w:r>
            <w:r>
              <w:rPr>
                <w:szCs w:val="24"/>
              </w:rPr>
              <w:t xml:space="preserve"> 31.28%</w:t>
            </w:r>
            <w:r>
              <w:rPr>
                <w:rFonts w:hint="eastAsia"/>
                <w:szCs w:val="24"/>
              </w:rPr>
              <w:t>，主要系报告期收购广东蓝图和德国</w:t>
            </w:r>
            <w:r>
              <w:rPr>
                <w:szCs w:val="24"/>
              </w:rPr>
              <w:t>Rockson</w:t>
            </w:r>
            <w:r>
              <w:rPr>
                <w:rFonts w:hint="eastAsia"/>
                <w:szCs w:val="24"/>
              </w:rPr>
              <w:t>公司所致</w:t>
            </w:r>
          </w:p>
        </w:tc>
      </w:tr>
    </w:tbl>
    <w:p>
      <w:pPr>
        <w:pStyle w:val="11"/>
        <w:outlineLvl w:val="2"/>
        <w:rPr>
          <w:bCs w:val="0"/>
          <w:szCs w:val="24"/>
        </w:rPr>
      </w:pPr>
      <w:r>
        <w:rPr>
          <w:bCs w:val="0"/>
          <w:szCs w:val="24"/>
        </w:rPr>
        <w:t>2</w:t>
      </w:r>
      <w:r>
        <w:rPr>
          <w:rFonts w:hint="eastAsia"/>
          <w:bCs w:val="0"/>
          <w:szCs w:val="24"/>
        </w:rPr>
        <w:t>、主要境外资产情况</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tbl>
      <w:tblPr>
        <w:tblStyle w:val="8"/>
        <w:tblW w:w="9569" w:type="dxa"/>
        <w:tblInd w:w="28" w:type="dxa"/>
        <w:tblLayout w:type="fixed"/>
        <w:tblCellMar>
          <w:top w:w="0" w:type="dxa"/>
          <w:left w:w="28" w:type="dxa"/>
          <w:bottom w:w="0" w:type="dxa"/>
          <w:right w:w="28" w:type="dxa"/>
        </w:tblCellMar>
      </w:tblPr>
      <w:tblGrid>
        <w:gridCol w:w="1066"/>
        <w:gridCol w:w="1062"/>
        <w:gridCol w:w="1062"/>
        <w:gridCol w:w="1064"/>
        <w:gridCol w:w="1064"/>
        <w:gridCol w:w="1064"/>
        <w:gridCol w:w="1064"/>
        <w:gridCol w:w="1064"/>
        <w:gridCol w:w="1059"/>
      </w:tblGrid>
      <w:tr>
        <w:tblPrEx>
          <w:tblLayout w:type="fixed"/>
        </w:tblPrEx>
        <w:tc>
          <w:tcPr>
            <w:tcW w:w="106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资产的具体内容</w:t>
            </w:r>
          </w:p>
        </w:tc>
        <w:tc>
          <w:tcPr>
            <w:tcW w:w="106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形成原因</w:t>
            </w:r>
          </w:p>
        </w:tc>
        <w:tc>
          <w:tcPr>
            <w:tcW w:w="106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资产规模</w:t>
            </w:r>
          </w:p>
        </w:tc>
        <w:tc>
          <w:tcPr>
            <w:tcW w:w="106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所在地</w:t>
            </w:r>
          </w:p>
        </w:tc>
        <w:tc>
          <w:tcPr>
            <w:tcW w:w="106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运营模式</w:t>
            </w:r>
          </w:p>
        </w:tc>
        <w:tc>
          <w:tcPr>
            <w:tcW w:w="106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保障资产安全性的控制措施</w:t>
            </w:r>
          </w:p>
        </w:tc>
        <w:tc>
          <w:tcPr>
            <w:tcW w:w="106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收益状况</w:t>
            </w:r>
          </w:p>
        </w:tc>
        <w:tc>
          <w:tcPr>
            <w:tcW w:w="106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境外资产占公司净资产的比重</w:t>
            </w:r>
          </w:p>
        </w:tc>
        <w:tc>
          <w:tcPr>
            <w:tcW w:w="105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是否存在重大减值风险</w:t>
            </w:r>
          </w:p>
        </w:tc>
      </w:tr>
      <w:tr>
        <w:tblPrEx>
          <w:tblLayout w:type="fixed"/>
          <w:tblCellMar>
            <w:top w:w="0" w:type="dxa"/>
            <w:left w:w="28" w:type="dxa"/>
            <w:bottom w:w="0" w:type="dxa"/>
            <w:right w:w="28" w:type="dxa"/>
          </w:tblCellMar>
        </w:tblPrEx>
        <w:tc>
          <w:tcPr>
            <w:tcW w:w="106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劳雷海洋系统有限公司</w:t>
            </w:r>
          </w:p>
        </w:tc>
        <w:tc>
          <w:tcPr>
            <w:tcW w:w="106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投资并购</w:t>
            </w:r>
          </w:p>
        </w:tc>
        <w:tc>
          <w:tcPr>
            <w:tcW w:w="106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 xml:space="preserve"> 260,903,326.35 </w:t>
            </w:r>
          </w:p>
        </w:tc>
        <w:tc>
          <w:tcPr>
            <w:tcW w:w="106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香港</w:t>
            </w:r>
          </w:p>
        </w:tc>
        <w:tc>
          <w:tcPr>
            <w:tcW w:w="106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海洋仪器销售</w:t>
            </w:r>
          </w:p>
        </w:tc>
        <w:tc>
          <w:tcPr>
            <w:tcW w:w="106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加强应收款的</w:t>
            </w:r>
            <w:r>
              <w:rPr>
                <w:szCs w:val="24"/>
              </w:rPr>
              <w:t xml:space="preserve"> </w:t>
            </w:r>
            <w:r>
              <w:rPr>
                <w:rFonts w:hint="eastAsia"/>
                <w:szCs w:val="24"/>
              </w:rPr>
              <w:t>回款力度，加强</w:t>
            </w:r>
            <w:r>
              <w:rPr>
                <w:szCs w:val="24"/>
              </w:rPr>
              <w:t xml:space="preserve"> </w:t>
            </w:r>
            <w:r>
              <w:rPr>
                <w:rFonts w:hint="eastAsia"/>
                <w:szCs w:val="24"/>
              </w:rPr>
              <w:t>存货的管理</w:t>
            </w:r>
          </w:p>
        </w:tc>
        <w:tc>
          <w:tcPr>
            <w:tcW w:w="106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50,257,288.38</w:t>
            </w:r>
          </w:p>
        </w:tc>
        <w:tc>
          <w:tcPr>
            <w:tcW w:w="10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10.51%</w:t>
            </w:r>
          </w:p>
        </w:tc>
        <w:tc>
          <w:tcPr>
            <w:tcW w:w="105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bl>
    <w:p>
      <w:pPr>
        <w:pStyle w:val="10"/>
        <w:outlineLvl w:val="1"/>
        <w:rPr>
          <w:bCs w:val="0"/>
        </w:rPr>
      </w:pPr>
      <w:r>
        <w:rPr>
          <w:rFonts w:hint="eastAsia"/>
          <w:bCs w:val="0"/>
        </w:rPr>
        <w:t>三、核心竞争力分析</w:t>
      </w:r>
    </w:p>
    <w:p>
      <w:pPr>
        <w:autoSpaceDE w:val="0"/>
        <w:autoSpaceDN w:val="0"/>
        <w:adjustRightInd w:val="0"/>
        <w:ind w:firstLine="422"/>
        <w:rPr>
          <w:rFonts w:eastAsia="Times New Roman"/>
          <w:b/>
          <w:kern w:val="0"/>
          <w:sz w:val="21"/>
          <w:szCs w:val="24"/>
          <w:lang w:val="zh-CN"/>
        </w:rPr>
      </w:pPr>
      <w:r>
        <w:rPr>
          <w:rFonts w:eastAsia="Times New Roman"/>
          <w:b/>
          <w:kern w:val="0"/>
          <w:sz w:val="21"/>
          <w:szCs w:val="24"/>
          <w:lang w:val="zh-CN"/>
        </w:rPr>
        <w:t>1</w:t>
      </w:r>
      <w:r>
        <w:rPr>
          <w:rFonts w:hint="eastAsia" w:ascii="宋体" w:hAnsi="宋体" w:cs="宋体"/>
          <w:b/>
          <w:kern w:val="0"/>
          <w:sz w:val="21"/>
          <w:szCs w:val="24"/>
          <w:lang w:val="zh-CN"/>
        </w:rPr>
        <w:t>、国际化视野，立足行业前沿</w:t>
      </w:r>
    </w:p>
    <w:p>
      <w:pPr>
        <w:autoSpaceDE w:val="0"/>
        <w:autoSpaceDN w:val="0"/>
        <w:adjustRightInd w:val="0"/>
        <w:ind w:firstLine="420"/>
        <w:rPr>
          <w:rFonts w:eastAsia="Times New Roman"/>
          <w:kern w:val="0"/>
          <w:sz w:val="21"/>
          <w:szCs w:val="24"/>
          <w:lang w:val="zh-CN"/>
        </w:rPr>
      </w:pPr>
      <w:r>
        <w:rPr>
          <w:rFonts w:hint="eastAsia" w:ascii="宋体" w:hAnsi="宋体" w:cs="宋体"/>
          <w:kern w:val="0"/>
          <w:sz w:val="21"/>
          <w:szCs w:val="24"/>
          <w:lang w:val="zh-CN"/>
        </w:rPr>
        <w:t>公司遵循</w:t>
      </w:r>
      <w:r>
        <w:rPr>
          <w:rFonts w:eastAsia="Times New Roman"/>
          <w:kern w:val="0"/>
          <w:sz w:val="21"/>
          <w:szCs w:val="24"/>
          <w:lang w:val="zh-CN"/>
        </w:rPr>
        <w:t>“</w:t>
      </w:r>
      <w:r>
        <w:rPr>
          <w:rFonts w:hint="eastAsia" w:ascii="宋体" w:hAnsi="宋体" w:cs="宋体"/>
          <w:kern w:val="0"/>
          <w:sz w:val="21"/>
          <w:szCs w:val="24"/>
          <w:lang w:val="zh-CN"/>
        </w:rPr>
        <w:t>自主研发为基础、国际合作创一流</w:t>
      </w:r>
      <w:r>
        <w:rPr>
          <w:rFonts w:eastAsia="Times New Roman"/>
          <w:kern w:val="0"/>
          <w:sz w:val="21"/>
          <w:szCs w:val="24"/>
          <w:lang w:val="zh-CN"/>
        </w:rPr>
        <w:t>”</w:t>
      </w:r>
      <w:r>
        <w:rPr>
          <w:rFonts w:hint="eastAsia" w:ascii="宋体" w:hAnsi="宋体" w:cs="宋体"/>
          <w:kern w:val="0"/>
          <w:sz w:val="21"/>
          <w:szCs w:val="24"/>
          <w:lang w:val="zh-CN"/>
        </w:rPr>
        <w:t>的研发理念，汇集了近</w:t>
      </w:r>
      <w:r>
        <w:rPr>
          <w:rFonts w:eastAsia="Times New Roman"/>
          <w:kern w:val="0"/>
          <w:sz w:val="21"/>
          <w:szCs w:val="24"/>
          <w:lang w:val="zh-CN"/>
        </w:rPr>
        <w:t>213</w:t>
      </w:r>
      <w:r>
        <w:rPr>
          <w:rFonts w:hint="eastAsia" w:ascii="宋体" w:hAnsi="宋体" w:cs="宋体"/>
          <w:kern w:val="0"/>
          <w:sz w:val="21"/>
          <w:szCs w:val="24"/>
          <w:lang w:val="zh-CN"/>
        </w:rPr>
        <w:t>人的国内、国际（意大利、德国、俄罗斯等）研发团队，核心研发人员主要毕业于清华、北航等国内著名理工院校；公司积极开展国际合作，引进先进技术，提升研发水平及实力，持续保持技术的创新性和前瞻性，</w:t>
      </w:r>
      <w:r>
        <w:rPr>
          <w:rFonts w:eastAsia="Times New Roman"/>
          <w:kern w:val="0"/>
          <w:sz w:val="21"/>
          <w:szCs w:val="24"/>
          <w:lang w:val="zh-CN"/>
        </w:rPr>
        <w:t>2016</w:t>
      </w:r>
      <w:r>
        <w:rPr>
          <w:rFonts w:hint="eastAsia" w:ascii="宋体" w:hAnsi="宋体" w:cs="宋体"/>
          <w:kern w:val="0"/>
          <w:sz w:val="21"/>
          <w:szCs w:val="24"/>
          <w:lang w:val="zh-CN"/>
        </w:rPr>
        <w:t>年研发投入</w:t>
      </w:r>
      <w:r>
        <w:rPr>
          <w:rFonts w:eastAsia="Times New Roman"/>
          <w:kern w:val="0"/>
          <w:sz w:val="21"/>
          <w:szCs w:val="24"/>
          <w:lang w:val="zh-CN"/>
        </w:rPr>
        <w:t>4528.20</w:t>
      </w:r>
      <w:r>
        <w:rPr>
          <w:rFonts w:hint="eastAsia" w:ascii="宋体" w:hAnsi="宋体" w:cs="宋体"/>
          <w:kern w:val="0"/>
          <w:sz w:val="21"/>
          <w:szCs w:val="24"/>
          <w:lang w:val="zh-CN"/>
        </w:rPr>
        <w:t>万元，较上年增长</w:t>
      </w:r>
      <w:r>
        <w:rPr>
          <w:rFonts w:eastAsia="Times New Roman"/>
          <w:kern w:val="0"/>
          <w:sz w:val="21"/>
          <w:szCs w:val="24"/>
          <w:lang w:val="zh-CN"/>
        </w:rPr>
        <w:t>15.81%</w:t>
      </w:r>
      <w:r>
        <w:rPr>
          <w:rFonts w:hint="eastAsia" w:ascii="宋体" w:hAnsi="宋体" w:cs="宋体"/>
          <w:kern w:val="0"/>
          <w:sz w:val="21"/>
          <w:szCs w:val="24"/>
          <w:lang w:val="zh-CN"/>
        </w:rPr>
        <w:t>。公司也获得了国家高新技术企业、船舶导航信息技术工程实验室、北京市企业技术中心、北京市国际科技合作基地等荣誉资质。</w:t>
      </w:r>
    </w:p>
    <w:p>
      <w:pPr>
        <w:autoSpaceDE w:val="0"/>
        <w:autoSpaceDN w:val="0"/>
        <w:adjustRightInd w:val="0"/>
        <w:ind w:firstLine="420"/>
        <w:rPr>
          <w:rFonts w:eastAsia="Times New Roman"/>
          <w:kern w:val="0"/>
          <w:sz w:val="21"/>
          <w:szCs w:val="24"/>
          <w:lang w:val="zh-CN"/>
        </w:rPr>
      </w:pPr>
      <w:r>
        <w:rPr>
          <w:rFonts w:hint="eastAsia" w:ascii="宋体" w:hAnsi="宋体" w:cs="宋体"/>
          <w:kern w:val="0"/>
          <w:sz w:val="21"/>
          <w:szCs w:val="24"/>
          <w:lang w:val="zh-CN"/>
        </w:rPr>
        <w:t>在全球服务网建设方面，公司在美国、法国、俄罗斯、比利时、西班牙、加拿大、巴西、印度、韩国、新加坡等</w:t>
      </w:r>
      <w:r>
        <w:rPr>
          <w:rFonts w:eastAsia="Times New Roman"/>
          <w:kern w:val="0"/>
          <w:sz w:val="21"/>
          <w:szCs w:val="24"/>
          <w:lang w:val="zh-CN"/>
        </w:rPr>
        <w:t>30</w:t>
      </w:r>
      <w:r>
        <w:rPr>
          <w:rFonts w:hint="eastAsia" w:ascii="宋体" w:hAnsi="宋体" w:cs="宋体"/>
          <w:kern w:val="0"/>
          <w:sz w:val="21"/>
          <w:szCs w:val="24"/>
          <w:lang w:val="zh-CN"/>
        </w:rPr>
        <w:t>多个国家和地区建立了</w:t>
      </w:r>
      <w:r>
        <w:rPr>
          <w:rFonts w:eastAsia="Times New Roman"/>
          <w:kern w:val="0"/>
          <w:sz w:val="21"/>
          <w:szCs w:val="24"/>
          <w:lang w:val="zh-CN"/>
        </w:rPr>
        <w:t>80</w:t>
      </w:r>
      <w:r>
        <w:rPr>
          <w:rFonts w:hint="eastAsia" w:ascii="宋体" w:hAnsi="宋体" w:cs="宋体"/>
          <w:kern w:val="0"/>
          <w:sz w:val="21"/>
          <w:szCs w:val="24"/>
          <w:lang w:val="zh-CN"/>
        </w:rPr>
        <w:t>多个服务网点，拥有一支专业高效的服务团队和可提供及时响应的全球服务网络；在市场网建设方面，公司在国内沿海城市均设有办事处，并在新加坡、越南、香港、台湾、意大利、俄罗斯、德国等建立了销售网点，稳步提升在国际市场的影响力和口碑。</w:t>
      </w:r>
    </w:p>
    <w:p>
      <w:pPr>
        <w:autoSpaceDE w:val="0"/>
        <w:autoSpaceDN w:val="0"/>
        <w:adjustRightInd w:val="0"/>
        <w:ind w:firstLine="420"/>
        <w:rPr>
          <w:rFonts w:eastAsia="Times New Roman"/>
          <w:kern w:val="0"/>
          <w:sz w:val="21"/>
          <w:szCs w:val="24"/>
          <w:lang w:val="zh-CN"/>
        </w:rPr>
      </w:pPr>
      <w:r>
        <w:rPr>
          <w:rFonts w:hint="eastAsia" w:ascii="宋体" w:hAnsi="宋体" w:cs="宋体"/>
          <w:kern w:val="0"/>
          <w:sz w:val="21"/>
          <w:szCs w:val="24"/>
          <w:lang w:val="zh-CN"/>
        </w:rPr>
        <w:t>在国际并购方面，公司与海外知名投行建立长期合作关系，打造海兰信特色国际并购团队，以智能航海与智慧海洋为主线，面向欧洲、北美寻找符合海兰信战略发展方向的目标公司，以实现资本助力主业经营，面向全球整合国际知名品牌，推动公司快速扩展产品线。尤其在智慧海洋领域，海兰信控股子公司劳雷产业是国内领先的海洋调查仪器应用与系统集成服务公司，在全球海洋调查领域具有较高知名度和影响力，并与全球领先的仪器厂商建立了广泛的合作关系，其超前的国际化视野及优秀的技术基础，为海兰信深入推进智慧海洋战略提供了丰富和核心的技术储备和产品来源，将加速公司完善智慧海洋领域的业务布局。</w:t>
      </w:r>
    </w:p>
    <w:p>
      <w:pPr>
        <w:autoSpaceDE w:val="0"/>
        <w:autoSpaceDN w:val="0"/>
        <w:adjustRightInd w:val="0"/>
        <w:ind w:firstLine="422"/>
        <w:rPr>
          <w:rFonts w:eastAsia="Times New Roman"/>
          <w:b/>
          <w:kern w:val="0"/>
          <w:sz w:val="21"/>
          <w:szCs w:val="24"/>
          <w:lang w:val="zh-CN"/>
        </w:rPr>
      </w:pPr>
    </w:p>
    <w:p>
      <w:pPr>
        <w:autoSpaceDE w:val="0"/>
        <w:autoSpaceDN w:val="0"/>
        <w:adjustRightInd w:val="0"/>
        <w:ind w:firstLine="422"/>
        <w:rPr>
          <w:rFonts w:eastAsia="Times New Roman"/>
          <w:b/>
          <w:kern w:val="0"/>
          <w:sz w:val="21"/>
          <w:szCs w:val="24"/>
          <w:lang w:val="zh-CN"/>
        </w:rPr>
      </w:pPr>
      <w:r>
        <w:rPr>
          <w:rFonts w:eastAsia="Times New Roman"/>
          <w:b/>
          <w:kern w:val="0"/>
          <w:sz w:val="21"/>
          <w:szCs w:val="24"/>
          <w:lang w:val="zh-CN"/>
        </w:rPr>
        <w:t>2</w:t>
      </w:r>
      <w:r>
        <w:rPr>
          <w:rFonts w:hint="eastAsia" w:ascii="宋体" w:hAnsi="宋体" w:cs="宋体"/>
          <w:b/>
          <w:kern w:val="0"/>
          <w:sz w:val="21"/>
          <w:szCs w:val="24"/>
          <w:lang w:val="zh-CN"/>
        </w:rPr>
        <w:t>、军民产业协同发展，相互促进</w:t>
      </w:r>
    </w:p>
    <w:p>
      <w:pPr>
        <w:autoSpaceDE w:val="0"/>
        <w:autoSpaceDN w:val="0"/>
        <w:adjustRightInd w:val="0"/>
        <w:ind w:firstLine="420"/>
        <w:rPr>
          <w:rFonts w:eastAsia="Times New Roman"/>
          <w:kern w:val="0"/>
          <w:sz w:val="21"/>
          <w:szCs w:val="24"/>
          <w:lang w:val="zh-CN"/>
        </w:rPr>
      </w:pPr>
      <w:r>
        <w:rPr>
          <w:rFonts w:hint="eastAsia" w:ascii="宋体" w:hAnsi="宋体" w:cs="宋体"/>
          <w:kern w:val="0"/>
          <w:sz w:val="21"/>
          <w:szCs w:val="24"/>
          <w:lang w:val="zh-CN"/>
        </w:rPr>
        <w:t>公司拥有国家二级保密资格证书、军工产品质量体系认证证书、装备承制单位资格证书等齐全的军工资质。公司作为中国海军指定的供应商，产品已应用到包括中国首艘航母</w:t>
      </w:r>
      <w:r>
        <w:rPr>
          <w:rFonts w:eastAsia="Times New Roman"/>
          <w:kern w:val="0"/>
          <w:sz w:val="21"/>
          <w:szCs w:val="24"/>
          <w:lang w:val="zh-CN"/>
        </w:rPr>
        <w:t>“</w:t>
      </w:r>
      <w:r>
        <w:rPr>
          <w:rFonts w:hint="eastAsia" w:ascii="宋体" w:hAnsi="宋体" w:cs="宋体"/>
          <w:kern w:val="0"/>
          <w:sz w:val="21"/>
          <w:szCs w:val="24"/>
          <w:lang w:val="zh-CN"/>
        </w:rPr>
        <w:t>辽宁舰</w:t>
      </w:r>
      <w:r>
        <w:rPr>
          <w:rFonts w:eastAsia="Times New Roman"/>
          <w:kern w:val="0"/>
          <w:sz w:val="21"/>
          <w:szCs w:val="24"/>
          <w:lang w:val="zh-CN"/>
        </w:rPr>
        <w:t>”</w:t>
      </w:r>
      <w:r>
        <w:rPr>
          <w:rFonts w:hint="eastAsia" w:ascii="宋体" w:hAnsi="宋体" w:cs="宋体"/>
          <w:kern w:val="0"/>
          <w:sz w:val="21"/>
          <w:szCs w:val="24"/>
          <w:lang w:val="zh-CN"/>
        </w:rPr>
        <w:t>在内的各类舰船上，并实现了从单一产品供应向提供系统解决方案的转变；公司拥有丰富的产品线，技术先进，经过多年的发展，公司积累了丰富的军工产品质量控制经验和工程经验，并建立了完整的独立体系，具有将成熟民品向军工产品快速转化的技术能力和丰富经验；</w:t>
      </w:r>
      <w:r>
        <w:rPr>
          <w:rFonts w:eastAsia="Times New Roman"/>
          <w:kern w:val="0"/>
          <w:sz w:val="21"/>
          <w:szCs w:val="24"/>
          <w:lang w:val="zh-CN"/>
        </w:rPr>
        <w:t>2015</w:t>
      </w:r>
      <w:r>
        <w:rPr>
          <w:rFonts w:hint="eastAsia" w:ascii="宋体" w:hAnsi="宋体" w:cs="宋体"/>
          <w:kern w:val="0"/>
          <w:sz w:val="21"/>
          <w:szCs w:val="24"/>
          <w:lang w:val="zh-CN"/>
        </w:rPr>
        <w:t>年中国上市公司协会发布了中国上市公司协会军工委员会国防军工板块名单，公司是此次入选国防军工板块的</w:t>
      </w:r>
      <w:r>
        <w:rPr>
          <w:rFonts w:eastAsia="Times New Roman"/>
          <w:kern w:val="0"/>
          <w:sz w:val="21"/>
          <w:szCs w:val="24"/>
          <w:lang w:val="zh-CN"/>
        </w:rPr>
        <w:t>16</w:t>
      </w:r>
      <w:r>
        <w:rPr>
          <w:rFonts w:hint="eastAsia" w:ascii="宋体" w:hAnsi="宋体" w:cs="宋体"/>
          <w:kern w:val="0"/>
          <w:sz w:val="21"/>
          <w:szCs w:val="24"/>
          <w:lang w:val="zh-CN"/>
        </w:rPr>
        <w:t>家民营上市公司之一。</w:t>
      </w:r>
      <w:r>
        <w:rPr>
          <w:rFonts w:eastAsia="Times New Roman"/>
          <w:kern w:val="0"/>
          <w:sz w:val="21"/>
          <w:szCs w:val="24"/>
          <w:lang w:val="zh-CN"/>
        </w:rPr>
        <w:t>2016</w:t>
      </w:r>
      <w:r>
        <w:rPr>
          <w:rFonts w:hint="eastAsia" w:ascii="宋体" w:hAnsi="宋体" w:cs="宋体"/>
          <w:kern w:val="0"/>
          <w:sz w:val="21"/>
          <w:szCs w:val="24"/>
          <w:lang w:val="zh-CN"/>
        </w:rPr>
        <w:t>年公司受邀参加</w:t>
      </w:r>
      <w:r>
        <w:rPr>
          <w:rFonts w:eastAsia="Times New Roman"/>
          <w:kern w:val="0"/>
          <w:sz w:val="21"/>
          <w:szCs w:val="24"/>
          <w:lang w:val="zh-CN"/>
        </w:rPr>
        <w:t>“</w:t>
      </w:r>
      <w:r>
        <w:rPr>
          <w:rFonts w:hint="eastAsia" w:ascii="宋体" w:hAnsi="宋体" w:cs="宋体"/>
          <w:kern w:val="0"/>
          <w:sz w:val="21"/>
          <w:szCs w:val="24"/>
          <w:lang w:val="zh-CN"/>
        </w:rPr>
        <w:t>第二届军民融合发展高技术成果展</w:t>
      </w:r>
      <w:r>
        <w:rPr>
          <w:rFonts w:eastAsia="Times New Roman"/>
          <w:kern w:val="0"/>
          <w:sz w:val="21"/>
          <w:szCs w:val="24"/>
          <w:lang w:val="zh-CN"/>
        </w:rPr>
        <w:t>”</w:t>
      </w:r>
      <w:r>
        <w:rPr>
          <w:rFonts w:hint="eastAsia" w:ascii="宋体" w:hAnsi="宋体" w:cs="宋体"/>
          <w:kern w:val="0"/>
          <w:sz w:val="21"/>
          <w:szCs w:val="24"/>
          <w:lang w:val="zh-CN"/>
        </w:rPr>
        <w:t>，向党和国家领导人、部队首长机关汇报最新的海底网设备的技术和应用情况，深入推进军工业务发展。海洋信息技术与装备是典型的军民共用、军民融合发展技术与装备，未来随着军队改革的深入和作战能力的提升以及海洋维权等防务能力的提高，公司将迎来重大发展机遇。</w:t>
      </w:r>
    </w:p>
    <w:p>
      <w:pPr>
        <w:autoSpaceDE w:val="0"/>
        <w:autoSpaceDN w:val="0"/>
        <w:adjustRightInd w:val="0"/>
        <w:ind w:firstLine="420"/>
        <w:rPr>
          <w:rFonts w:eastAsia="Times New Roman"/>
          <w:kern w:val="0"/>
          <w:sz w:val="21"/>
          <w:szCs w:val="24"/>
          <w:lang w:val="zh-CN"/>
        </w:rPr>
      </w:pPr>
    </w:p>
    <w:p>
      <w:pPr>
        <w:autoSpaceDE w:val="0"/>
        <w:autoSpaceDN w:val="0"/>
        <w:adjustRightInd w:val="0"/>
        <w:ind w:firstLine="422"/>
        <w:rPr>
          <w:rFonts w:eastAsia="Times New Roman"/>
          <w:b/>
          <w:kern w:val="0"/>
          <w:sz w:val="21"/>
          <w:szCs w:val="24"/>
          <w:lang w:val="zh-CN"/>
        </w:rPr>
      </w:pPr>
      <w:r>
        <w:rPr>
          <w:rFonts w:eastAsia="Times New Roman"/>
          <w:b/>
          <w:kern w:val="0"/>
          <w:sz w:val="21"/>
          <w:szCs w:val="24"/>
          <w:lang w:val="zh-CN"/>
        </w:rPr>
        <w:t>3</w:t>
      </w:r>
      <w:r>
        <w:rPr>
          <w:rFonts w:hint="eastAsia" w:ascii="宋体" w:hAnsi="宋体" w:cs="宋体"/>
          <w:b/>
          <w:kern w:val="0"/>
          <w:sz w:val="21"/>
          <w:szCs w:val="24"/>
          <w:lang w:val="zh-CN"/>
        </w:rPr>
        <w:t>、拥有航海、海洋防务、海洋监测全系列雷达系统</w:t>
      </w:r>
    </w:p>
    <w:p>
      <w:pPr>
        <w:autoSpaceDE w:val="0"/>
        <w:autoSpaceDN w:val="0"/>
        <w:adjustRightInd w:val="0"/>
        <w:ind w:firstLine="420"/>
        <w:rPr>
          <w:rFonts w:eastAsia="Times New Roman"/>
          <w:kern w:val="0"/>
          <w:sz w:val="21"/>
          <w:szCs w:val="24"/>
          <w:lang w:val="zh-CN"/>
        </w:rPr>
      </w:pPr>
      <w:r>
        <w:rPr>
          <w:rFonts w:hint="eastAsia" w:ascii="宋体" w:hAnsi="宋体" w:cs="宋体"/>
          <w:kern w:val="0"/>
          <w:sz w:val="21"/>
          <w:szCs w:val="24"/>
          <w:lang w:val="zh-CN"/>
        </w:rPr>
        <w:t>公司雷达产品线丰富，包括导航雷达、智能雷达监控系统以及地波雷达。成熟及在研产雷达系列品包括</w:t>
      </w:r>
      <w:r>
        <w:rPr>
          <w:rFonts w:eastAsia="Times New Roman"/>
          <w:kern w:val="0"/>
          <w:sz w:val="21"/>
          <w:szCs w:val="24"/>
          <w:lang w:val="zh-CN"/>
        </w:rPr>
        <w:t xml:space="preserve">X-band, S-band </w:t>
      </w:r>
      <w:r>
        <w:rPr>
          <w:rFonts w:hint="eastAsia" w:ascii="宋体" w:hAnsi="宋体" w:cs="宋体"/>
          <w:kern w:val="0"/>
          <w:sz w:val="21"/>
          <w:szCs w:val="24"/>
          <w:lang w:val="zh-CN"/>
        </w:rPr>
        <w:t>导航雷达、极小目标雷达、溢油雷达、海浪雷达、固态雷达及其组成的智能雷达监控系统；其中，导航雷达是国内首个获得欧盟认证的自主导航雷达产品，性能满足国际标准；智能雷达监控系统融合了国际领先的自适应门限及先跟踪后探测技术，应用领域覆盖岸基监控、对海监控、舰艇执法、船载搜救等；通过船载</w:t>
      </w:r>
      <w:r>
        <w:rPr>
          <w:rFonts w:eastAsia="Times New Roman"/>
          <w:kern w:val="0"/>
          <w:sz w:val="21"/>
          <w:szCs w:val="24"/>
          <w:lang w:val="zh-CN"/>
        </w:rPr>
        <w:t>/</w:t>
      </w:r>
      <w:r>
        <w:rPr>
          <w:rFonts w:hint="eastAsia" w:ascii="宋体" w:hAnsi="宋体" w:cs="宋体"/>
          <w:kern w:val="0"/>
          <w:sz w:val="21"/>
          <w:szCs w:val="24"/>
          <w:lang w:val="zh-CN"/>
        </w:rPr>
        <w:t>舰载导航雷达与智能雷达监控系统进行信息融合，可以进一步提高雷达监视范围以及目标探测和识别、跟踪能力；与国外一流公司合作的地波雷达系统，技术处于国际领先水平，可实现岛屿或海岸外上百公里的海浪、洋流探测，海啸预警，海洋洋面态势监测；公司将智能雷达监控系统相关技术结合地波雷达，可以实现远距离海面流与目标探测相结合，实现岸基海面观测雷达功能综合应用。所有类别的雷达产品信息融合、关联，可实现雷达探测的智慧互联，丰富的雷达产品线保障公司有能力为客户提供</w:t>
      </w:r>
      <w:r>
        <w:rPr>
          <w:rFonts w:eastAsia="Times New Roman"/>
          <w:kern w:val="0"/>
          <w:sz w:val="21"/>
          <w:szCs w:val="24"/>
          <w:lang w:val="zh-CN"/>
        </w:rPr>
        <w:t>“</w:t>
      </w:r>
      <w:r>
        <w:rPr>
          <w:rFonts w:hint="eastAsia" w:ascii="宋体" w:hAnsi="宋体" w:cs="宋体"/>
          <w:kern w:val="0"/>
          <w:sz w:val="21"/>
          <w:szCs w:val="24"/>
          <w:lang w:val="zh-CN"/>
        </w:rPr>
        <w:t>近岸</w:t>
      </w:r>
      <w:r>
        <w:rPr>
          <w:rFonts w:eastAsia="Times New Roman"/>
          <w:kern w:val="0"/>
          <w:sz w:val="21"/>
          <w:szCs w:val="24"/>
          <w:lang w:val="zh-CN"/>
        </w:rPr>
        <w:t>+</w:t>
      </w:r>
      <w:r>
        <w:rPr>
          <w:rFonts w:hint="eastAsia" w:ascii="宋体" w:hAnsi="宋体" w:cs="宋体"/>
          <w:kern w:val="0"/>
          <w:sz w:val="21"/>
          <w:szCs w:val="24"/>
          <w:lang w:val="zh-CN"/>
        </w:rPr>
        <w:t>近海</w:t>
      </w:r>
      <w:r>
        <w:rPr>
          <w:rFonts w:eastAsia="Times New Roman"/>
          <w:kern w:val="0"/>
          <w:sz w:val="21"/>
          <w:szCs w:val="24"/>
          <w:lang w:val="zh-CN"/>
        </w:rPr>
        <w:t>+</w:t>
      </w:r>
      <w:r>
        <w:rPr>
          <w:rFonts w:hint="eastAsia" w:ascii="宋体" w:hAnsi="宋体" w:cs="宋体"/>
          <w:kern w:val="0"/>
          <w:sz w:val="21"/>
          <w:szCs w:val="24"/>
          <w:lang w:val="zh-CN"/>
        </w:rPr>
        <w:t>中远海</w:t>
      </w:r>
      <w:r>
        <w:rPr>
          <w:rFonts w:eastAsia="Times New Roman"/>
          <w:kern w:val="0"/>
          <w:sz w:val="21"/>
          <w:szCs w:val="24"/>
          <w:lang w:val="zh-CN"/>
        </w:rPr>
        <w:t>”</w:t>
      </w:r>
      <w:r>
        <w:rPr>
          <w:rFonts w:hint="eastAsia" w:ascii="宋体" w:hAnsi="宋体" w:cs="宋体"/>
          <w:kern w:val="0"/>
          <w:sz w:val="21"/>
          <w:szCs w:val="24"/>
          <w:lang w:val="zh-CN"/>
        </w:rPr>
        <w:t>的海域监测雷达网。</w:t>
      </w:r>
    </w:p>
    <w:p>
      <w:pPr>
        <w:shd w:val="clear" w:color="auto" w:fill="FFFFFF"/>
        <w:autoSpaceDE w:val="0"/>
        <w:autoSpaceDN w:val="0"/>
        <w:adjustRightInd w:val="0"/>
        <w:spacing w:before="0" w:after="0"/>
        <w:ind w:firstLine="420"/>
        <w:jc w:val="left"/>
        <w:rPr>
          <w:rFonts w:eastAsia="Times New Roman"/>
          <w:kern w:val="0"/>
          <w:sz w:val="21"/>
          <w:szCs w:val="24"/>
          <w:lang w:val="zh-CN"/>
        </w:rPr>
      </w:pPr>
    </w:p>
    <w:p>
      <w:pPr>
        <w:autoSpaceDE w:val="0"/>
        <w:autoSpaceDN w:val="0"/>
        <w:adjustRightInd w:val="0"/>
        <w:ind w:firstLine="422"/>
        <w:rPr>
          <w:rFonts w:eastAsia="Times New Roman"/>
          <w:kern w:val="0"/>
          <w:sz w:val="21"/>
          <w:szCs w:val="24"/>
          <w:lang w:val="zh-CN"/>
        </w:rPr>
      </w:pPr>
      <w:r>
        <w:rPr>
          <w:rFonts w:eastAsia="Times New Roman"/>
          <w:b/>
          <w:kern w:val="0"/>
          <w:sz w:val="21"/>
          <w:szCs w:val="24"/>
          <w:lang w:val="zh-CN"/>
        </w:rPr>
        <w:t>4</w:t>
      </w:r>
      <w:r>
        <w:rPr>
          <w:rFonts w:hint="eastAsia" w:ascii="宋体" w:hAnsi="宋体" w:cs="宋体"/>
          <w:b/>
          <w:kern w:val="0"/>
          <w:sz w:val="21"/>
          <w:szCs w:val="24"/>
          <w:lang w:val="zh-CN"/>
        </w:rPr>
        <w:t>、</w:t>
      </w:r>
      <w:r>
        <w:rPr>
          <w:rFonts w:eastAsia="Times New Roman"/>
          <w:b/>
          <w:kern w:val="0"/>
          <w:sz w:val="21"/>
          <w:szCs w:val="24"/>
          <w:lang w:val="zh-CN"/>
        </w:rPr>
        <w:t>“</w:t>
      </w:r>
      <w:r>
        <w:rPr>
          <w:rFonts w:hint="eastAsia" w:ascii="宋体" w:hAnsi="宋体" w:cs="宋体"/>
          <w:b/>
          <w:kern w:val="0"/>
          <w:sz w:val="21"/>
          <w:szCs w:val="24"/>
          <w:lang w:val="zh-CN"/>
        </w:rPr>
        <w:t>海事</w:t>
      </w:r>
      <w:r>
        <w:rPr>
          <w:rFonts w:eastAsia="Times New Roman"/>
          <w:b/>
          <w:kern w:val="0"/>
          <w:sz w:val="21"/>
          <w:szCs w:val="24"/>
          <w:lang w:val="zh-CN"/>
        </w:rPr>
        <w:t>+</w:t>
      </w:r>
      <w:r>
        <w:rPr>
          <w:rFonts w:hint="eastAsia" w:ascii="宋体" w:hAnsi="宋体" w:cs="宋体"/>
          <w:b/>
          <w:kern w:val="0"/>
          <w:sz w:val="21"/>
          <w:szCs w:val="24"/>
          <w:lang w:val="zh-CN"/>
        </w:rPr>
        <w:t>海洋</w:t>
      </w:r>
      <w:r>
        <w:rPr>
          <w:rFonts w:eastAsia="Times New Roman"/>
          <w:b/>
          <w:kern w:val="0"/>
          <w:sz w:val="21"/>
          <w:szCs w:val="24"/>
          <w:lang w:val="zh-CN"/>
        </w:rPr>
        <w:t>”</w:t>
      </w:r>
      <w:r>
        <w:rPr>
          <w:rFonts w:hint="eastAsia" w:ascii="宋体" w:hAnsi="宋体" w:cs="宋体"/>
          <w:b/>
          <w:kern w:val="0"/>
          <w:sz w:val="21"/>
          <w:szCs w:val="24"/>
          <w:lang w:val="zh-CN"/>
        </w:rPr>
        <w:t>融合，打造海洋立体化产业模式</w:t>
      </w:r>
    </w:p>
    <w:p>
      <w:pPr>
        <w:autoSpaceDE w:val="0"/>
        <w:autoSpaceDN w:val="0"/>
        <w:adjustRightInd w:val="0"/>
        <w:ind w:firstLine="420"/>
        <w:rPr>
          <w:rFonts w:eastAsia="Times New Roman"/>
          <w:kern w:val="0"/>
          <w:sz w:val="21"/>
          <w:szCs w:val="24"/>
          <w:lang w:val="zh-CN"/>
        </w:rPr>
      </w:pPr>
      <w:r>
        <w:rPr>
          <w:rFonts w:hint="eastAsia" w:ascii="宋体" w:hAnsi="宋体" w:cs="宋体"/>
          <w:kern w:val="0"/>
          <w:sz w:val="21"/>
          <w:szCs w:val="24"/>
          <w:lang w:val="zh-CN"/>
        </w:rPr>
        <w:t>国家海洋战略以及二十一世纪海上丝绸之路战略，我国将会迎来海洋经济快速发展期。公司十六年专注于该领域，基于自身多年积累的智能航海技术、船岸一体化高效系统解决方案的丰富经验、同时利用公司在我国海洋信息领域先期研发和市场开拓的先发优势，依托劳雷产业在海洋监测和勘测方面的全球一流的专业系统集成能力和工程实施能力以及其对中国海洋信息市场的充分理解、洞察力和影响力，将充分发挥协同效应，形成了基于船舶的综合智能航海系统、岸基对海监观（监）测系统，以及基于水面无人系统、海底网系统等立体海洋感知系统。以上系统，公司一方面在关键部分拥有核心技术，同时，公司有能力从全球整合技术资源形成综合解决方案，使得公司基本形成综合海洋业务模式，即提供终端产品、提供基于核心产品的系统、提供基于系统积累的数据及信息服务，逐步形成综合的感知海洋能力。</w:t>
      </w:r>
    </w:p>
    <w:p>
      <w:pPr>
        <w:autoSpaceDE w:val="0"/>
        <w:autoSpaceDN w:val="0"/>
        <w:adjustRightInd w:val="0"/>
        <w:spacing w:before="0" w:after="0"/>
        <w:jc w:val="left"/>
        <w:rPr>
          <w:kern w:val="0"/>
          <w:sz w:val="24"/>
          <w:szCs w:val="24"/>
        </w:rPr>
        <w:sectPr>
          <w:pgSz w:w="11906" w:h="16838"/>
          <w:pgMar w:top="1440" w:right="1134" w:bottom="1440" w:left="1134" w:header="851" w:footer="992" w:gutter="0"/>
          <w:cols w:space="425" w:num="1"/>
          <w:docGrid w:type="lines" w:linePitch="312" w:charSpace="0"/>
        </w:sectPr>
      </w:pPr>
    </w:p>
    <w:p>
      <w:pPr>
        <w:pStyle w:val="5"/>
        <w:outlineLvl w:val="0"/>
        <w:rPr>
          <w:bCs w:val="0"/>
          <w:szCs w:val="24"/>
        </w:rPr>
      </w:pPr>
      <w:bookmarkStart w:id="3" w:name="_Toc300000087"/>
      <w:r>
        <w:rPr>
          <w:rFonts w:hint="eastAsia"/>
          <w:bCs w:val="0"/>
          <w:szCs w:val="24"/>
        </w:rPr>
        <w:t>第四节</w:t>
      </w:r>
      <w:r>
        <w:rPr>
          <w:bCs w:val="0"/>
          <w:szCs w:val="24"/>
        </w:rPr>
        <w:t xml:space="preserve"> </w:t>
      </w:r>
      <w:r>
        <w:rPr>
          <w:rFonts w:hint="eastAsia"/>
          <w:bCs w:val="0"/>
          <w:szCs w:val="24"/>
        </w:rPr>
        <w:t>经营情况讨论与分析</w:t>
      </w:r>
      <w:bookmarkEnd w:id="3"/>
    </w:p>
    <w:p>
      <w:pPr>
        <w:pStyle w:val="10"/>
        <w:outlineLvl w:val="1"/>
        <w:rPr>
          <w:bCs w:val="0"/>
        </w:rPr>
      </w:pPr>
      <w:r>
        <w:rPr>
          <w:rFonts w:hint="eastAsia"/>
          <w:bCs w:val="0"/>
        </w:rPr>
        <w:t>一、概述</w:t>
      </w:r>
    </w:p>
    <w:p>
      <w:pPr>
        <w:autoSpaceDE w:val="0"/>
        <w:autoSpaceDN w:val="0"/>
        <w:adjustRightInd w:val="0"/>
        <w:spacing w:before="0" w:after="0"/>
        <w:ind w:firstLine="422"/>
        <w:rPr>
          <w:rFonts w:eastAsia="Times New Roman"/>
          <w:kern w:val="0"/>
          <w:sz w:val="21"/>
          <w:szCs w:val="24"/>
          <w:lang w:val="zh-CN"/>
        </w:rPr>
      </w:pPr>
      <w:r>
        <w:rPr>
          <w:rFonts w:hint="eastAsia" w:ascii="宋体" w:hAnsi="宋体" w:cs="宋体"/>
          <w:b/>
          <w:kern w:val="0"/>
          <w:sz w:val="21"/>
          <w:szCs w:val="24"/>
          <w:lang w:val="zh-CN"/>
        </w:rPr>
        <w:t>公司愿景</w:t>
      </w:r>
      <w:r>
        <w:rPr>
          <w:rFonts w:hint="eastAsia" w:ascii="宋体" w:hAnsi="宋体" w:cs="宋体"/>
          <w:kern w:val="0"/>
          <w:sz w:val="21"/>
          <w:szCs w:val="24"/>
          <w:lang w:val="zh-CN"/>
        </w:rPr>
        <w:t>：成为全球智能航海的引领者与中国智慧海洋的建设者；</w:t>
      </w:r>
    </w:p>
    <w:p>
      <w:pPr>
        <w:autoSpaceDE w:val="0"/>
        <w:autoSpaceDN w:val="0"/>
        <w:adjustRightInd w:val="0"/>
        <w:spacing w:before="0" w:after="0"/>
        <w:ind w:firstLine="422"/>
        <w:rPr>
          <w:rFonts w:eastAsia="Times New Roman"/>
          <w:kern w:val="0"/>
          <w:sz w:val="21"/>
          <w:szCs w:val="24"/>
          <w:lang w:val="zh-CN"/>
        </w:rPr>
      </w:pPr>
      <w:r>
        <w:rPr>
          <w:rFonts w:hint="eastAsia" w:ascii="宋体" w:hAnsi="宋体" w:cs="宋体"/>
          <w:b/>
          <w:kern w:val="0"/>
          <w:sz w:val="21"/>
          <w:szCs w:val="24"/>
          <w:lang w:val="zh-CN"/>
        </w:rPr>
        <w:t>使命</w:t>
      </w:r>
      <w:r>
        <w:rPr>
          <w:rFonts w:hint="eastAsia" w:ascii="宋体" w:hAnsi="宋体" w:cs="宋体"/>
          <w:kern w:val="0"/>
          <w:sz w:val="21"/>
          <w:szCs w:val="24"/>
          <w:lang w:val="zh-CN"/>
        </w:rPr>
        <w:t>：贡献海洋，献身国防；</w:t>
      </w:r>
    </w:p>
    <w:p>
      <w:pPr>
        <w:autoSpaceDE w:val="0"/>
        <w:autoSpaceDN w:val="0"/>
        <w:adjustRightInd w:val="0"/>
        <w:spacing w:before="0" w:after="0"/>
        <w:ind w:firstLine="422"/>
        <w:rPr>
          <w:rFonts w:eastAsia="Times New Roman"/>
          <w:kern w:val="0"/>
          <w:sz w:val="21"/>
          <w:szCs w:val="24"/>
          <w:lang w:val="zh-CN"/>
        </w:rPr>
      </w:pPr>
      <w:r>
        <w:rPr>
          <w:rFonts w:hint="eastAsia" w:ascii="宋体" w:hAnsi="宋体" w:cs="宋体"/>
          <w:b/>
          <w:kern w:val="0"/>
          <w:sz w:val="21"/>
          <w:szCs w:val="24"/>
          <w:lang w:val="zh-CN"/>
        </w:rPr>
        <w:t>核心价值观</w:t>
      </w:r>
      <w:r>
        <w:rPr>
          <w:rFonts w:hint="eastAsia" w:ascii="宋体" w:hAnsi="宋体" w:cs="宋体"/>
          <w:kern w:val="0"/>
          <w:sz w:val="21"/>
          <w:szCs w:val="24"/>
          <w:lang w:val="zh-CN"/>
        </w:rPr>
        <w:t>：客户至上，奋斗为本。</w:t>
      </w:r>
    </w:p>
    <w:p>
      <w:pPr>
        <w:autoSpaceDE w:val="0"/>
        <w:autoSpaceDN w:val="0"/>
        <w:adjustRightInd w:val="0"/>
        <w:spacing w:before="0" w:after="0"/>
        <w:ind w:firstLine="420"/>
        <w:rPr>
          <w:rFonts w:eastAsia="Times New Roman"/>
          <w:kern w:val="0"/>
          <w:sz w:val="21"/>
          <w:szCs w:val="24"/>
          <w:lang w:val="zh-CN"/>
        </w:rPr>
      </w:pPr>
      <w:r>
        <w:rPr>
          <w:rFonts w:eastAsia="Times New Roman"/>
          <w:kern w:val="0"/>
          <w:sz w:val="21"/>
          <w:szCs w:val="24"/>
          <w:lang w:val="zh-CN"/>
        </w:rPr>
        <w:t>2016</w:t>
      </w:r>
      <w:r>
        <w:rPr>
          <w:rFonts w:hint="eastAsia" w:ascii="宋体" w:hAnsi="宋体" w:cs="宋体"/>
          <w:kern w:val="0"/>
          <w:sz w:val="21"/>
          <w:szCs w:val="24"/>
          <w:lang w:val="zh-CN"/>
        </w:rPr>
        <w:t>年，公司紧紧围绕国家海洋战略布局，发挥公司在军民融合领域的优势，继续坚持三驱动发展战略，即国际化驱动本地化、资本驱动实业、军民深度融合相互驱动。公司承担了国家级智能船舶研发专项；以资本与国际化为切入点，围绕海底网关键技术、海洋信息服务、数据感知、软件服务等全面布局海洋业务体系，基本形成了海洋发展格局；不断发展和积累符合公司发展的投资模式，形成了上市公司投资体系、集团公司投资体系、合作基金投资体系；深入开拓市场，探索企业投资政府购买服务的海洋信息服务新模式；公司参加了</w:t>
      </w:r>
      <w:r>
        <w:rPr>
          <w:rFonts w:eastAsia="Times New Roman"/>
          <w:kern w:val="0"/>
          <w:sz w:val="21"/>
          <w:szCs w:val="24"/>
          <w:lang w:val="zh-CN"/>
        </w:rPr>
        <w:t>“</w:t>
      </w:r>
      <w:r>
        <w:rPr>
          <w:rFonts w:hint="eastAsia" w:ascii="宋体" w:hAnsi="宋体" w:cs="宋体"/>
          <w:kern w:val="0"/>
          <w:sz w:val="21"/>
          <w:szCs w:val="24"/>
          <w:lang w:val="zh-CN"/>
        </w:rPr>
        <w:t>第二届军民融合发展高科技成果展</w:t>
      </w:r>
      <w:r>
        <w:rPr>
          <w:rFonts w:eastAsia="Times New Roman"/>
          <w:kern w:val="0"/>
          <w:sz w:val="21"/>
          <w:szCs w:val="24"/>
          <w:lang w:val="zh-CN"/>
        </w:rPr>
        <w:t>”</w:t>
      </w:r>
      <w:r>
        <w:rPr>
          <w:rFonts w:hint="eastAsia" w:ascii="宋体" w:hAnsi="宋体" w:cs="宋体"/>
          <w:kern w:val="0"/>
          <w:sz w:val="21"/>
          <w:szCs w:val="24"/>
          <w:lang w:val="zh-CN"/>
        </w:rPr>
        <w:t>，向党和国家领导人、部队首长机关，汇报公司最新的高科技产品，深入推进军工业务发展；推动管理创新，加强激励和考核，推进公司项目化落地。经过一年的努力，公司的发展战略更加清晰，建立了符合业务模式发展的公司体系架构，在复杂多变的市场环境下，取得了较好的成绩。</w:t>
      </w:r>
    </w:p>
    <w:p>
      <w:pPr>
        <w:autoSpaceDE w:val="0"/>
        <w:autoSpaceDN w:val="0"/>
        <w:adjustRightInd w:val="0"/>
        <w:spacing w:before="0" w:after="0"/>
        <w:ind w:firstLine="422"/>
        <w:rPr>
          <w:rFonts w:eastAsia="Times New Roman"/>
          <w:b/>
          <w:kern w:val="0"/>
          <w:sz w:val="21"/>
          <w:szCs w:val="24"/>
          <w:lang w:val="zh-CN"/>
        </w:rPr>
      </w:pPr>
      <w:r>
        <w:rPr>
          <w:rFonts w:hint="eastAsia" w:ascii="宋体" w:hAnsi="宋体" w:cs="宋体"/>
          <w:b/>
          <w:kern w:val="0"/>
          <w:sz w:val="21"/>
          <w:szCs w:val="24"/>
          <w:lang w:val="zh-CN"/>
        </w:rPr>
        <w:t>（一）</w:t>
      </w:r>
      <w:r>
        <w:rPr>
          <w:rFonts w:eastAsia="Times New Roman"/>
          <w:b/>
          <w:kern w:val="0"/>
          <w:sz w:val="21"/>
          <w:szCs w:val="24"/>
          <w:lang w:val="zh-CN"/>
        </w:rPr>
        <w:t>2016</w:t>
      </w:r>
      <w:r>
        <w:rPr>
          <w:rFonts w:hint="eastAsia" w:ascii="宋体" w:hAnsi="宋体" w:cs="宋体"/>
          <w:b/>
          <w:kern w:val="0"/>
          <w:sz w:val="21"/>
          <w:szCs w:val="24"/>
          <w:lang w:val="zh-CN"/>
        </w:rPr>
        <w:t>年主要经营业绩</w:t>
      </w:r>
    </w:p>
    <w:p>
      <w:pPr>
        <w:autoSpaceDE w:val="0"/>
        <w:autoSpaceDN w:val="0"/>
        <w:adjustRightInd w:val="0"/>
        <w:spacing w:before="0" w:after="0"/>
        <w:ind w:firstLine="315"/>
        <w:jc w:val="left"/>
        <w:rPr>
          <w:rFonts w:eastAsia="Times New Roman"/>
          <w:kern w:val="0"/>
          <w:sz w:val="21"/>
          <w:szCs w:val="24"/>
          <w:lang w:val="zh-CN"/>
        </w:rPr>
      </w:pPr>
      <w:r>
        <w:rPr>
          <w:rFonts w:hint="eastAsia" w:ascii="宋体" w:hAnsi="宋体" w:cs="宋体"/>
          <w:kern w:val="0"/>
          <w:sz w:val="21"/>
          <w:szCs w:val="24"/>
          <w:lang w:val="zh-CN"/>
        </w:rPr>
        <w:t>报告期内，公司紧密围绕国家海洋强国战略积极进行产业布局和调整，聚焦智能航海和智慧海洋两大主业积极开展生产经营工作，</w:t>
      </w:r>
      <w:r>
        <w:rPr>
          <w:rFonts w:eastAsia="Times New Roman"/>
          <w:kern w:val="0"/>
          <w:sz w:val="21"/>
          <w:szCs w:val="24"/>
          <w:lang w:val="zh-CN"/>
        </w:rPr>
        <w:t>2016</w:t>
      </w:r>
      <w:r>
        <w:rPr>
          <w:rFonts w:hint="eastAsia" w:ascii="宋体" w:hAnsi="宋体" w:cs="宋体"/>
          <w:kern w:val="0"/>
          <w:sz w:val="21"/>
          <w:szCs w:val="24"/>
          <w:lang w:val="zh-CN"/>
        </w:rPr>
        <w:t>年度公司实现营业收入为</w:t>
      </w:r>
      <w:r>
        <w:rPr>
          <w:rFonts w:eastAsia="Times New Roman"/>
          <w:kern w:val="0"/>
          <w:sz w:val="21"/>
          <w:szCs w:val="24"/>
          <w:lang w:val="zh-CN"/>
        </w:rPr>
        <w:t>716,569,929.16</w:t>
      </w:r>
      <w:r>
        <w:rPr>
          <w:rFonts w:hint="eastAsia" w:ascii="宋体" w:hAnsi="宋体" w:cs="宋体"/>
          <w:kern w:val="0"/>
          <w:sz w:val="21"/>
          <w:szCs w:val="24"/>
          <w:lang w:val="zh-CN"/>
        </w:rPr>
        <w:t>元，比去年同期增长</w:t>
      </w:r>
      <w:r>
        <w:rPr>
          <w:rFonts w:eastAsia="Times New Roman"/>
          <w:kern w:val="0"/>
          <w:sz w:val="21"/>
          <w:szCs w:val="24"/>
          <w:lang w:val="zh-CN"/>
        </w:rPr>
        <w:t>118.59%</w:t>
      </w:r>
      <w:r>
        <w:rPr>
          <w:rFonts w:hint="eastAsia" w:ascii="宋体" w:hAnsi="宋体" w:cs="宋体"/>
          <w:kern w:val="0"/>
          <w:sz w:val="21"/>
          <w:szCs w:val="24"/>
          <w:lang w:val="zh-CN"/>
        </w:rPr>
        <w:t>；利润总额为</w:t>
      </w:r>
      <w:r>
        <w:rPr>
          <w:rFonts w:eastAsia="Times New Roman"/>
          <w:kern w:val="0"/>
          <w:sz w:val="21"/>
          <w:szCs w:val="24"/>
          <w:lang w:val="zh-CN"/>
        </w:rPr>
        <w:t>136,909,359.96</w:t>
      </w:r>
      <w:r>
        <w:rPr>
          <w:rFonts w:hint="eastAsia" w:ascii="宋体" w:hAnsi="宋体" w:cs="宋体"/>
          <w:kern w:val="0"/>
          <w:sz w:val="21"/>
          <w:szCs w:val="24"/>
          <w:lang w:val="zh-CN"/>
        </w:rPr>
        <w:t>元，比去年同期增长</w:t>
      </w:r>
      <w:r>
        <w:rPr>
          <w:rFonts w:eastAsia="Times New Roman"/>
          <w:kern w:val="0"/>
          <w:sz w:val="21"/>
          <w:szCs w:val="24"/>
          <w:lang w:val="zh-CN"/>
        </w:rPr>
        <w:t>234.47%</w:t>
      </w:r>
      <w:r>
        <w:rPr>
          <w:rFonts w:hint="eastAsia" w:ascii="宋体" w:hAnsi="宋体" w:cs="宋体"/>
          <w:kern w:val="0"/>
          <w:sz w:val="21"/>
          <w:szCs w:val="24"/>
          <w:lang w:val="zh-CN"/>
        </w:rPr>
        <w:t>；归属于上市公司股东的净利润为</w:t>
      </w:r>
      <w:r>
        <w:rPr>
          <w:rFonts w:eastAsia="Times New Roman"/>
          <w:kern w:val="0"/>
          <w:sz w:val="21"/>
          <w:szCs w:val="24"/>
          <w:lang w:val="zh-CN"/>
        </w:rPr>
        <w:t>81,983,493.18</w:t>
      </w:r>
      <w:r>
        <w:rPr>
          <w:rFonts w:hint="eastAsia" w:ascii="宋体" w:hAnsi="宋体" w:cs="宋体"/>
          <w:kern w:val="0"/>
          <w:sz w:val="21"/>
          <w:szCs w:val="24"/>
          <w:lang w:val="zh-CN"/>
        </w:rPr>
        <w:t>元，比去年同期增长</w:t>
      </w:r>
      <w:r>
        <w:rPr>
          <w:rFonts w:eastAsia="Times New Roman"/>
          <w:kern w:val="0"/>
          <w:sz w:val="21"/>
          <w:szCs w:val="24"/>
          <w:lang w:val="zh-CN"/>
        </w:rPr>
        <w:t>131.40%</w:t>
      </w:r>
      <w:r>
        <w:rPr>
          <w:rFonts w:hint="eastAsia" w:ascii="宋体" w:hAnsi="宋体" w:cs="宋体"/>
          <w:kern w:val="0"/>
          <w:sz w:val="21"/>
          <w:szCs w:val="24"/>
          <w:lang w:val="zh-CN"/>
        </w:rPr>
        <w:t>。重点工作回顾：</w:t>
      </w:r>
    </w:p>
    <w:p>
      <w:pPr>
        <w:autoSpaceDE w:val="0"/>
        <w:autoSpaceDN w:val="0"/>
        <w:adjustRightInd w:val="0"/>
        <w:spacing w:before="0" w:after="0"/>
        <w:ind w:firstLine="422"/>
        <w:jc w:val="left"/>
        <w:rPr>
          <w:rFonts w:eastAsia="Times New Roman"/>
          <w:b/>
          <w:kern w:val="0"/>
          <w:sz w:val="21"/>
          <w:szCs w:val="24"/>
          <w:lang w:val="zh-CN"/>
        </w:rPr>
      </w:pPr>
      <w:r>
        <w:rPr>
          <w:rFonts w:eastAsia="Times New Roman"/>
          <w:b/>
          <w:kern w:val="0"/>
          <w:sz w:val="21"/>
          <w:szCs w:val="24"/>
          <w:lang w:val="zh-CN"/>
        </w:rPr>
        <w:t>1</w:t>
      </w:r>
      <w:r>
        <w:rPr>
          <w:rFonts w:hint="eastAsia" w:ascii="宋体" w:hAnsi="宋体" w:cs="宋体"/>
          <w:b/>
          <w:kern w:val="0"/>
          <w:sz w:val="21"/>
          <w:szCs w:val="24"/>
          <w:lang w:val="zh-CN"/>
        </w:rPr>
        <w:t>、产品研发，步入高端快车道</w:t>
      </w:r>
    </w:p>
    <w:p>
      <w:pPr>
        <w:autoSpaceDE w:val="0"/>
        <w:autoSpaceDN w:val="0"/>
        <w:adjustRightInd w:val="0"/>
        <w:ind w:firstLine="420"/>
        <w:rPr>
          <w:rFonts w:eastAsia="Times New Roman"/>
          <w:kern w:val="0"/>
          <w:sz w:val="21"/>
          <w:szCs w:val="24"/>
          <w:lang w:val="zh-CN"/>
        </w:rPr>
      </w:pPr>
      <w:r>
        <w:rPr>
          <w:rFonts w:eastAsia="Times New Roman"/>
          <w:kern w:val="0"/>
          <w:sz w:val="21"/>
          <w:szCs w:val="24"/>
          <w:lang w:val="zh-CN"/>
        </w:rPr>
        <w:t>2016</w:t>
      </w:r>
      <w:r>
        <w:rPr>
          <w:rFonts w:hint="eastAsia" w:ascii="宋体" w:hAnsi="宋体" w:cs="宋体"/>
          <w:kern w:val="0"/>
          <w:sz w:val="21"/>
          <w:szCs w:val="24"/>
          <w:lang w:val="zh-CN"/>
        </w:rPr>
        <w:t>年公司继续坚持</w:t>
      </w:r>
      <w:r>
        <w:rPr>
          <w:rFonts w:eastAsia="Times New Roman"/>
          <w:kern w:val="0"/>
          <w:sz w:val="21"/>
          <w:szCs w:val="24"/>
          <w:lang w:val="zh-CN"/>
        </w:rPr>
        <w:t>“</w:t>
      </w:r>
      <w:r>
        <w:rPr>
          <w:rFonts w:hint="eastAsia" w:ascii="宋体" w:hAnsi="宋体" w:cs="宋体"/>
          <w:kern w:val="0"/>
          <w:sz w:val="21"/>
          <w:szCs w:val="24"/>
          <w:lang w:val="zh-CN"/>
        </w:rPr>
        <w:t>自主研发为基础，国际合作创一流</w:t>
      </w:r>
      <w:r>
        <w:rPr>
          <w:rFonts w:eastAsia="Times New Roman"/>
          <w:kern w:val="0"/>
          <w:sz w:val="21"/>
          <w:szCs w:val="24"/>
          <w:lang w:val="zh-CN"/>
        </w:rPr>
        <w:t>”</w:t>
      </w:r>
      <w:r>
        <w:rPr>
          <w:rFonts w:hint="eastAsia" w:ascii="宋体" w:hAnsi="宋体" w:cs="宋体"/>
          <w:kern w:val="0"/>
          <w:sz w:val="21"/>
          <w:szCs w:val="24"/>
          <w:lang w:val="zh-CN"/>
        </w:rPr>
        <w:t>的研发理念，强化核心关键技术的国产化和突破，报告期内新增发明专利</w:t>
      </w:r>
      <w:r>
        <w:rPr>
          <w:rFonts w:eastAsia="Times New Roman"/>
          <w:kern w:val="0"/>
          <w:sz w:val="21"/>
          <w:szCs w:val="24"/>
          <w:lang w:val="zh-CN"/>
        </w:rPr>
        <w:t>8</w:t>
      </w:r>
      <w:r>
        <w:rPr>
          <w:rFonts w:hint="eastAsia" w:ascii="宋体" w:hAnsi="宋体" w:cs="宋体"/>
          <w:kern w:val="0"/>
          <w:sz w:val="21"/>
          <w:szCs w:val="24"/>
          <w:lang w:val="zh-CN"/>
        </w:rPr>
        <w:t>项，软件著作权</w:t>
      </w:r>
      <w:r>
        <w:rPr>
          <w:rFonts w:eastAsia="Times New Roman"/>
          <w:kern w:val="0"/>
          <w:sz w:val="21"/>
          <w:szCs w:val="24"/>
          <w:lang w:val="zh-CN"/>
        </w:rPr>
        <w:t>16</w:t>
      </w:r>
      <w:r>
        <w:rPr>
          <w:rFonts w:hint="eastAsia" w:ascii="宋体" w:hAnsi="宋体" w:cs="宋体"/>
          <w:kern w:val="0"/>
          <w:sz w:val="21"/>
          <w:szCs w:val="24"/>
          <w:lang w:val="zh-CN"/>
        </w:rPr>
        <w:t>项，国内外权威船级社认证</w:t>
      </w:r>
      <w:r>
        <w:rPr>
          <w:rFonts w:eastAsia="Times New Roman"/>
          <w:kern w:val="0"/>
          <w:sz w:val="21"/>
          <w:szCs w:val="24"/>
          <w:lang w:val="zh-CN"/>
        </w:rPr>
        <w:t>5</w:t>
      </w:r>
      <w:r>
        <w:rPr>
          <w:rFonts w:hint="eastAsia" w:ascii="宋体" w:hAnsi="宋体" w:cs="宋体"/>
          <w:kern w:val="0"/>
          <w:sz w:val="21"/>
          <w:szCs w:val="24"/>
          <w:lang w:val="zh-CN"/>
        </w:rPr>
        <w:t>项。其中：</w:t>
      </w:r>
    </w:p>
    <w:p>
      <w:pPr>
        <w:autoSpaceDE w:val="0"/>
        <w:autoSpaceDN w:val="0"/>
        <w:adjustRightInd w:val="0"/>
        <w:ind w:firstLine="420"/>
        <w:rPr>
          <w:rFonts w:eastAsia="Times New Roman"/>
          <w:kern w:val="0"/>
          <w:sz w:val="21"/>
          <w:szCs w:val="24"/>
          <w:lang w:val="zh-CN"/>
        </w:rPr>
      </w:pPr>
      <w:r>
        <w:rPr>
          <w:rFonts w:hint="eastAsia" w:ascii="宋体" w:hAnsi="宋体" w:cs="宋体"/>
          <w:kern w:val="0"/>
          <w:sz w:val="21"/>
          <w:szCs w:val="24"/>
          <w:lang w:val="zh-CN"/>
        </w:rPr>
        <w:t>智能航海技术方面，目标跟踪关键技术获得了突破，导航雷达跟踪稳定性进一步提升，自主</w:t>
      </w:r>
      <w:r>
        <w:rPr>
          <w:rFonts w:eastAsia="Times New Roman"/>
          <w:kern w:val="0"/>
          <w:sz w:val="21"/>
          <w:szCs w:val="24"/>
          <w:lang w:val="zh-CN"/>
        </w:rPr>
        <w:t>X</w:t>
      </w:r>
      <w:r>
        <w:rPr>
          <w:rFonts w:hint="eastAsia" w:ascii="宋体" w:hAnsi="宋体" w:cs="宋体"/>
          <w:kern w:val="0"/>
          <w:sz w:val="21"/>
          <w:szCs w:val="24"/>
          <w:lang w:val="zh-CN"/>
        </w:rPr>
        <w:t>波段雷达已形成批量生产能力，获得批次化应用，质量和可靠性获得提升；新型</w:t>
      </w:r>
      <w:r>
        <w:rPr>
          <w:rFonts w:eastAsia="Times New Roman"/>
          <w:kern w:val="0"/>
          <w:sz w:val="21"/>
          <w:szCs w:val="24"/>
          <w:lang w:val="zh-CN"/>
        </w:rPr>
        <w:t>X-BAND</w:t>
      </w:r>
      <w:r>
        <w:rPr>
          <w:rFonts w:hint="eastAsia" w:ascii="宋体" w:hAnsi="宋体" w:cs="宋体"/>
          <w:kern w:val="0"/>
          <w:sz w:val="21"/>
          <w:szCs w:val="24"/>
          <w:lang w:val="zh-CN"/>
        </w:rPr>
        <w:t>导航雷达与电子海图</w:t>
      </w:r>
      <w:r>
        <w:rPr>
          <w:rFonts w:eastAsia="Times New Roman"/>
          <w:kern w:val="0"/>
          <w:sz w:val="21"/>
          <w:szCs w:val="24"/>
          <w:lang w:val="zh-CN"/>
        </w:rPr>
        <w:t>ECDIS</w:t>
      </w:r>
      <w:r>
        <w:rPr>
          <w:rFonts w:hint="eastAsia" w:ascii="宋体" w:hAnsi="宋体" w:cs="宋体"/>
          <w:kern w:val="0"/>
          <w:sz w:val="21"/>
          <w:szCs w:val="24"/>
          <w:lang w:val="zh-CN"/>
        </w:rPr>
        <w:t>通过最新</w:t>
      </w:r>
      <w:r>
        <w:rPr>
          <w:rFonts w:eastAsia="Times New Roman"/>
          <w:kern w:val="0"/>
          <w:sz w:val="21"/>
          <w:szCs w:val="24"/>
          <w:lang w:val="zh-CN"/>
        </w:rPr>
        <w:t>GL</w:t>
      </w:r>
      <w:r>
        <w:rPr>
          <w:rFonts w:hint="eastAsia" w:ascii="宋体" w:hAnsi="宋体" w:cs="宋体"/>
          <w:kern w:val="0"/>
          <w:sz w:val="21"/>
          <w:szCs w:val="24"/>
          <w:lang w:val="zh-CN"/>
        </w:rPr>
        <w:t>认证，接收机、</w:t>
      </w:r>
      <w:r>
        <w:rPr>
          <w:rFonts w:eastAsia="Times New Roman"/>
          <w:kern w:val="0"/>
          <w:sz w:val="21"/>
          <w:szCs w:val="24"/>
          <w:lang w:val="zh-CN"/>
        </w:rPr>
        <w:t>AFC</w:t>
      </w:r>
      <w:r>
        <w:rPr>
          <w:rFonts w:hint="eastAsia" w:ascii="宋体" w:hAnsi="宋体" w:cs="宋体"/>
          <w:kern w:val="0"/>
          <w:sz w:val="21"/>
          <w:szCs w:val="24"/>
          <w:lang w:val="zh-CN"/>
        </w:rPr>
        <w:t>、性能一致性持续改进中；新型</w:t>
      </w:r>
      <w:r>
        <w:rPr>
          <w:rFonts w:eastAsia="Times New Roman"/>
          <w:kern w:val="0"/>
          <w:sz w:val="21"/>
          <w:szCs w:val="24"/>
          <w:lang w:val="zh-CN"/>
        </w:rPr>
        <w:t>S-BAND</w:t>
      </w:r>
      <w:r>
        <w:rPr>
          <w:rFonts w:hint="eastAsia" w:ascii="宋体" w:hAnsi="宋体" w:cs="宋体"/>
          <w:kern w:val="0"/>
          <w:sz w:val="21"/>
          <w:szCs w:val="24"/>
          <w:lang w:val="zh-CN"/>
        </w:rPr>
        <w:t>雷达通过</w:t>
      </w:r>
      <w:r>
        <w:rPr>
          <w:rFonts w:eastAsia="Times New Roman"/>
          <w:kern w:val="0"/>
          <w:sz w:val="21"/>
          <w:szCs w:val="24"/>
          <w:lang w:val="zh-CN"/>
        </w:rPr>
        <w:t>GL</w:t>
      </w:r>
      <w:r>
        <w:rPr>
          <w:rFonts w:hint="eastAsia" w:ascii="宋体" w:hAnsi="宋体" w:cs="宋体"/>
          <w:kern w:val="0"/>
          <w:sz w:val="21"/>
          <w:szCs w:val="24"/>
          <w:lang w:val="zh-CN"/>
        </w:rPr>
        <w:t>认证试验，完成样机加工；自动化产品完成国产化且取得</w:t>
      </w:r>
      <w:r>
        <w:rPr>
          <w:rFonts w:eastAsia="Times New Roman"/>
          <w:kern w:val="0"/>
          <w:sz w:val="21"/>
          <w:szCs w:val="24"/>
          <w:lang w:val="zh-CN"/>
        </w:rPr>
        <w:t>CCS</w:t>
      </w:r>
      <w:r>
        <w:rPr>
          <w:rFonts w:hint="eastAsia" w:ascii="宋体" w:hAnsi="宋体" w:cs="宋体"/>
          <w:kern w:val="0"/>
          <w:sz w:val="21"/>
          <w:szCs w:val="24"/>
          <w:lang w:val="zh-CN"/>
        </w:rPr>
        <w:t>认证，与</w:t>
      </w:r>
      <w:r>
        <w:rPr>
          <w:rFonts w:eastAsia="Times New Roman"/>
          <w:kern w:val="0"/>
          <w:sz w:val="21"/>
          <w:szCs w:val="24"/>
          <w:lang w:val="zh-CN"/>
        </w:rPr>
        <w:t>VDR+</w:t>
      </w:r>
      <w:r>
        <w:rPr>
          <w:rFonts w:hint="eastAsia" w:ascii="宋体" w:hAnsi="宋体" w:cs="宋体"/>
          <w:kern w:val="0"/>
          <w:sz w:val="21"/>
          <w:szCs w:val="24"/>
          <w:lang w:val="zh-CN"/>
        </w:rPr>
        <w:t>、</w:t>
      </w:r>
      <w:r>
        <w:rPr>
          <w:rFonts w:eastAsia="Times New Roman"/>
          <w:kern w:val="0"/>
          <w:sz w:val="21"/>
          <w:szCs w:val="24"/>
          <w:lang w:val="zh-CN"/>
        </w:rPr>
        <w:t>VMS+</w:t>
      </w:r>
      <w:r>
        <w:rPr>
          <w:rFonts w:hint="eastAsia" w:ascii="宋体" w:hAnsi="宋体" w:cs="宋体"/>
          <w:kern w:val="0"/>
          <w:sz w:val="21"/>
          <w:szCs w:val="24"/>
          <w:lang w:val="zh-CN"/>
        </w:rPr>
        <w:t>、</w:t>
      </w:r>
      <w:r>
        <w:rPr>
          <w:rFonts w:eastAsia="Times New Roman"/>
          <w:kern w:val="0"/>
          <w:sz w:val="21"/>
          <w:szCs w:val="24"/>
          <w:lang w:val="zh-CN"/>
        </w:rPr>
        <w:t>INS+</w:t>
      </w:r>
      <w:r>
        <w:rPr>
          <w:rFonts w:hint="eastAsia" w:ascii="宋体" w:hAnsi="宋体" w:cs="宋体"/>
          <w:kern w:val="0"/>
          <w:sz w:val="21"/>
          <w:szCs w:val="24"/>
          <w:lang w:val="zh-CN"/>
        </w:rPr>
        <w:t>智能化产品数据整合完成接轨，为承接国家级智能船</w:t>
      </w:r>
      <w:r>
        <w:rPr>
          <w:rFonts w:eastAsia="Times New Roman"/>
          <w:kern w:val="0"/>
          <w:sz w:val="21"/>
          <w:szCs w:val="24"/>
          <w:lang w:val="zh-CN"/>
        </w:rPr>
        <w:t>1.0</w:t>
      </w:r>
      <w:r>
        <w:rPr>
          <w:rFonts w:hint="eastAsia" w:ascii="宋体" w:hAnsi="宋体" w:cs="宋体"/>
          <w:kern w:val="0"/>
          <w:sz w:val="21"/>
          <w:szCs w:val="24"/>
          <w:lang w:val="zh-CN"/>
        </w:rPr>
        <w:t>研发专项工作奠定了基础，该专项核心技术的突破将为公司在未来智能船造船市场赢得先机，迅速提升公司在该领域的核心竞争力；在提升现有</w:t>
      </w:r>
      <w:r>
        <w:rPr>
          <w:rFonts w:eastAsia="Times New Roman"/>
          <w:kern w:val="0"/>
          <w:sz w:val="21"/>
          <w:szCs w:val="24"/>
          <w:lang w:val="zh-CN"/>
        </w:rPr>
        <w:t>INS</w:t>
      </w:r>
      <w:r>
        <w:rPr>
          <w:rFonts w:hint="eastAsia" w:ascii="宋体" w:hAnsi="宋体" w:cs="宋体"/>
          <w:kern w:val="0"/>
          <w:sz w:val="21"/>
          <w:szCs w:val="24"/>
          <w:lang w:val="zh-CN"/>
        </w:rPr>
        <w:t>系统以及雷达系列产品技术性能的同时，积极向船舶信息化、网络化、智能化方向发展，继续深化完善</w:t>
      </w:r>
      <w:r>
        <w:rPr>
          <w:rFonts w:eastAsia="Times New Roman"/>
          <w:kern w:val="0"/>
          <w:sz w:val="21"/>
          <w:szCs w:val="24"/>
          <w:lang w:val="zh-CN"/>
        </w:rPr>
        <w:t>“HI-Cloud”</w:t>
      </w:r>
      <w:r>
        <w:rPr>
          <w:rFonts w:hint="eastAsia" w:ascii="宋体" w:hAnsi="宋体" w:cs="宋体"/>
          <w:kern w:val="0"/>
          <w:sz w:val="21"/>
          <w:szCs w:val="24"/>
          <w:lang w:val="zh-CN"/>
        </w:rPr>
        <w:t>船舶远程信息服务系统，并以此为基础，通过</w:t>
      </w:r>
      <w:r>
        <w:rPr>
          <w:rFonts w:eastAsia="Times New Roman"/>
          <w:kern w:val="0"/>
          <w:sz w:val="21"/>
          <w:szCs w:val="24"/>
          <w:lang w:val="zh-CN"/>
        </w:rPr>
        <w:t>“</w:t>
      </w:r>
      <w:r>
        <w:rPr>
          <w:rFonts w:hint="eastAsia" w:ascii="宋体" w:hAnsi="宋体" w:cs="宋体"/>
          <w:kern w:val="0"/>
          <w:sz w:val="21"/>
          <w:szCs w:val="24"/>
          <w:lang w:val="zh-CN"/>
        </w:rPr>
        <w:t>海事</w:t>
      </w:r>
      <w:r>
        <w:rPr>
          <w:rFonts w:eastAsia="Times New Roman"/>
          <w:kern w:val="0"/>
          <w:sz w:val="21"/>
          <w:szCs w:val="24"/>
          <w:lang w:val="zh-CN"/>
        </w:rPr>
        <w:t>”</w:t>
      </w:r>
      <w:r>
        <w:rPr>
          <w:rFonts w:hint="eastAsia" w:ascii="宋体" w:hAnsi="宋体" w:cs="宋体"/>
          <w:kern w:val="0"/>
          <w:sz w:val="21"/>
          <w:szCs w:val="24"/>
          <w:lang w:val="zh-CN"/>
        </w:rPr>
        <w:t>数据与</w:t>
      </w:r>
      <w:r>
        <w:rPr>
          <w:rFonts w:eastAsia="Times New Roman"/>
          <w:kern w:val="0"/>
          <w:sz w:val="21"/>
          <w:szCs w:val="24"/>
          <w:lang w:val="zh-CN"/>
        </w:rPr>
        <w:t>“</w:t>
      </w:r>
      <w:r>
        <w:rPr>
          <w:rFonts w:hint="eastAsia" w:ascii="宋体" w:hAnsi="宋体" w:cs="宋体"/>
          <w:kern w:val="0"/>
          <w:sz w:val="21"/>
          <w:szCs w:val="24"/>
          <w:lang w:val="zh-CN"/>
        </w:rPr>
        <w:t>海洋</w:t>
      </w:r>
      <w:r>
        <w:rPr>
          <w:rFonts w:eastAsia="Times New Roman"/>
          <w:kern w:val="0"/>
          <w:sz w:val="21"/>
          <w:szCs w:val="24"/>
          <w:lang w:val="zh-CN"/>
        </w:rPr>
        <w:t>”</w:t>
      </w:r>
      <w:r>
        <w:rPr>
          <w:rFonts w:hint="eastAsia" w:ascii="宋体" w:hAnsi="宋体" w:cs="宋体"/>
          <w:kern w:val="0"/>
          <w:sz w:val="21"/>
          <w:szCs w:val="24"/>
          <w:lang w:val="zh-CN"/>
        </w:rPr>
        <w:t>传感器数据结合，构筑海洋立体监控、海洋大数据分析处理的服务能力；</w:t>
      </w:r>
    </w:p>
    <w:p>
      <w:pPr>
        <w:autoSpaceDE w:val="0"/>
        <w:autoSpaceDN w:val="0"/>
        <w:adjustRightInd w:val="0"/>
        <w:ind w:firstLine="420"/>
        <w:rPr>
          <w:rFonts w:eastAsia="Times New Roman"/>
          <w:kern w:val="0"/>
          <w:sz w:val="21"/>
          <w:szCs w:val="24"/>
          <w:lang w:val="zh-CN"/>
        </w:rPr>
      </w:pPr>
      <w:r>
        <w:rPr>
          <w:rFonts w:hint="eastAsia" w:ascii="宋体" w:hAnsi="宋体" w:cs="宋体"/>
          <w:kern w:val="0"/>
          <w:sz w:val="21"/>
          <w:szCs w:val="24"/>
          <w:lang w:val="zh-CN"/>
        </w:rPr>
        <w:t>海洋观（监）测技术方面，小目标探测技术及组网观测技术持续得到优化，完成了抑制二次回波算法，探测精度和距离进一步提升；集小目标、溢油、海浪雷达功能于一体的</w:t>
      </w:r>
      <w:r>
        <w:rPr>
          <w:rFonts w:eastAsia="Times New Roman"/>
          <w:kern w:val="0"/>
          <w:sz w:val="21"/>
          <w:szCs w:val="24"/>
          <w:lang w:val="zh-CN"/>
        </w:rPr>
        <w:t>“</w:t>
      </w:r>
      <w:r>
        <w:rPr>
          <w:rFonts w:hint="eastAsia" w:ascii="宋体" w:hAnsi="宋体" w:cs="宋体"/>
          <w:kern w:val="0"/>
          <w:sz w:val="21"/>
          <w:szCs w:val="24"/>
          <w:lang w:val="zh-CN"/>
        </w:rPr>
        <w:t>复合雷达</w:t>
      </w:r>
      <w:r>
        <w:rPr>
          <w:rFonts w:eastAsia="Times New Roman"/>
          <w:kern w:val="0"/>
          <w:sz w:val="21"/>
          <w:szCs w:val="24"/>
          <w:lang w:val="zh-CN"/>
        </w:rPr>
        <w:t>”</w:t>
      </w:r>
      <w:r>
        <w:rPr>
          <w:rFonts w:hint="eastAsia" w:ascii="宋体" w:hAnsi="宋体" w:cs="宋体"/>
          <w:kern w:val="0"/>
          <w:sz w:val="21"/>
          <w:szCs w:val="24"/>
          <w:lang w:val="zh-CN"/>
        </w:rPr>
        <w:t>，通过相关性能试验、环境试验、雷达测试基地试验和实船测试，获得</w:t>
      </w:r>
      <w:r>
        <w:rPr>
          <w:rFonts w:eastAsia="Times New Roman"/>
          <w:kern w:val="0"/>
          <w:sz w:val="21"/>
          <w:szCs w:val="24"/>
          <w:lang w:val="zh-CN"/>
        </w:rPr>
        <w:t>CCS</w:t>
      </w:r>
      <w:r>
        <w:rPr>
          <w:rFonts w:hint="eastAsia" w:ascii="宋体" w:hAnsi="宋体" w:cs="宋体"/>
          <w:kern w:val="0"/>
          <w:sz w:val="21"/>
          <w:szCs w:val="24"/>
          <w:lang w:val="zh-CN"/>
        </w:rPr>
        <w:t>认证；国产地波雷达完成样机试制，获得工业和信息化部无线电委员会的型号核准证书；继续完善渔政系统应用，雷达业务应用软件系统达到国内领先；雷达测波技术方面，年度内与南京信息工程大学开展海浪探测的深度合作，完成岸基固定雷达的系统研发和算法突破；同时，自主的船载测波算法取得了国家海洋计量的第三方认证；</w:t>
      </w:r>
    </w:p>
    <w:p>
      <w:pPr>
        <w:autoSpaceDE w:val="0"/>
        <w:autoSpaceDN w:val="0"/>
        <w:adjustRightInd w:val="0"/>
        <w:ind w:firstLine="420"/>
        <w:rPr>
          <w:rFonts w:eastAsia="Times New Roman"/>
          <w:kern w:val="0"/>
          <w:sz w:val="21"/>
          <w:szCs w:val="24"/>
          <w:lang w:val="zh-CN"/>
        </w:rPr>
      </w:pPr>
      <w:r>
        <w:rPr>
          <w:rFonts w:hint="eastAsia" w:ascii="宋体" w:hAnsi="宋体" w:cs="宋体"/>
          <w:kern w:val="0"/>
          <w:sz w:val="21"/>
          <w:szCs w:val="24"/>
          <w:lang w:val="zh-CN"/>
        </w:rPr>
        <w:t>海洋调查技术方面，以自主研发为基础，同时加速海洋传感器的国产化改造。双频侧扫声呐完成研发与定型；浅水多波束测深声呐多功能处理机完成试装配，性能达到国际先进水平；单点三维海流计与国际技术对接，控制软件技术优化过程中；同步控制器完成二代升级；国内首套</w:t>
      </w:r>
      <w:r>
        <w:rPr>
          <w:rFonts w:eastAsia="Times New Roman"/>
          <w:kern w:val="0"/>
          <w:sz w:val="21"/>
          <w:szCs w:val="24"/>
          <w:lang w:val="zh-CN"/>
        </w:rPr>
        <w:t>4000</w:t>
      </w:r>
      <w:r>
        <w:rPr>
          <w:rFonts w:hint="eastAsia" w:ascii="宋体" w:hAnsi="宋体" w:cs="宋体"/>
          <w:kern w:val="0"/>
          <w:sz w:val="21"/>
          <w:szCs w:val="24"/>
          <w:lang w:val="zh-CN"/>
        </w:rPr>
        <w:t>米级</w:t>
      </w:r>
      <w:r>
        <w:rPr>
          <w:rFonts w:eastAsia="Times New Roman"/>
          <w:kern w:val="0"/>
          <w:sz w:val="21"/>
          <w:szCs w:val="24"/>
          <w:lang w:val="zh-CN"/>
        </w:rPr>
        <w:t>PIES</w:t>
      </w:r>
      <w:r>
        <w:rPr>
          <w:rFonts w:hint="eastAsia" w:ascii="宋体" w:hAnsi="宋体" w:cs="宋体"/>
          <w:kern w:val="0"/>
          <w:sz w:val="21"/>
          <w:szCs w:val="24"/>
          <w:lang w:val="zh-CN"/>
        </w:rPr>
        <w:t>压力倒置式回声仪成功通过国家科技部验收；走航式温度剖面仪成功通过国家科技部验收；作为自组网远程无人自主综合海洋测绘系统的重要组成部分，无人自主航行控制</w:t>
      </w:r>
      <w:r>
        <w:rPr>
          <w:rFonts w:eastAsia="Times New Roman"/>
          <w:kern w:val="0"/>
          <w:sz w:val="21"/>
          <w:szCs w:val="24"/>
          <w:lang w:val="zh-CN"/>
        </w:rPr>
        <w:t>/</w:t>
      </w:r>
      <w:r>
        <w:rPr>
          <w:rFonts w:hint="eastAsia" w:ascii="宋体" w:hAnsi="宋体" w:cs="宋体"/>
          <w:kern w:val="0"/>
          <w:sz w:val="21"/>
          <w:szCs w:val="24"/>
          <w:lang w:val="zh-CN"/>
        </w:rPr>
        <w:t>测绘一体化软件系统启动研发，适配</w:t>
      </w:r>
      <w:r>
        <w:rPr>
          <w:rFonts w:eastAsia="Times New Roman"/>
          <w:kern w:val="0"/>
          <w:sz w:val="21"/>
          <w:szCs w:val="24"/>
          <w:lang w:val="zh-CN"/>
        </w:rPr>
        <w:t>7.5</w:t>
      </w:r>
      <w:r>
        <w:rPr>
          <w:rFonts w:hint="eastAsia" w:ascii="宋体" w:hAnsi="宋体" w:cs="宋体"/>
          <w:kern w:val="0"/>
          <w:sz w:val="21"/>
          <w:szCs w:val="24"/>
          <w:lang w:val="zh-CN"/>
        </w:rPr>
        <w:t>米艇，且成功开展海试；</w:t>
      </w:r>
    </w:p>
    <w:p>
      <w:pPr>
        <w:autoSpaceDE w:val="0"/>
        <w:autoSpaceDN w:val="0"/>
        <w:adjustRightInd w:val="0"/>
        <w:ind w:firstLine="420"/>
        <w:rPr>
          <w:rFonts w:eastAsia="Times New Roman"/>
          <w:kern w:val="0"/>
          <w:sz w:val="21"/>
          <w:szCs w:val="24"/>
          <w:lang w:val="zh-CN"/>
        </w:rPr>
      </w:pPr>
      <w:r>
        <w:rPr>
          <w:rFonts w:hint="eastAsia" w:ascii="宋体" w:hAnsi="宋体" w:cs="宋体"/>
          <w:kern w:val="0"/>
          <w:sz w:val="21"/>
          <w:szCs w:val="24"/>
          <w:lang w:val="zh-CN"/>
        </w:rPr>
        <w:t>在海洋信息化软件方面，以广东蓝图的软件平台为重心，打造集标准规范、公共基础数据、公共基础功能的智慧海洋空间框架平台，实现了分析、评价和评估模型软件化，同时开发升级各类业务管理和决策支持的智能化系统；深化海洋各业务系统的高端应用，完成江苏省的海洋综合管控、江门市</w:t>
      </w:r>
      <w:r>
        <w:rPr>
          <w:rFonts w:eastAsia="Times New Roman"/>
          <w:kern w:val="0"/>
          <w:sz w:val="21"/>
          <w:szCs w:val="24"/>
          <w:lang w:val="zh-CN"/>
        </w:rPr>
        <w:t xml:space="preserve"> “</w:t>
      </w:r>
      <w:r>
        <w:rPr>
          <w:rFonts w:hint="eastAsia" w:ascii="宋体" w:hAnsi="宋体" w:cs="宋体"/>
          <w:kern w:val="0"/>
          <w:sz w:val="21"/>
          <w:szCs w:val="24"/>
          <w:lang w:val="zh-CN"/>
        </w:rPr>
        <w:t>智慧海洋</w:t>
      </w:r>
      <w:r>
        <w:rPr>
          <w:rFonts w:eastAsia="Times New Roman"/>
          <w:kern w:val="0"/>
          <w:sz w:val="21"/>
          <w:szCs w:val="24"/>
          <w:lang w:val="zh-CN"/>
        </w:rPr>
        <w:t>”</w:t>
      </w:r>
      <w:r>
        <w:rPr>
          <w:rFonts w:hint="eastAsia" w:ascii="宋体" w:hAnsi="宋体" w:cs="宋体"/>
          <w:kern w:val="0"/>
          <w:sz w:val="21"/>
          <w:szCs w:val="24"/>
          <w:lang w:val="zh-CN"/>
        </w:rPr>
        <w:t>等多个示范性工程，获得客户好评。</w:t>
      </w:r>
    </w:p>
    <w:p>
      <w:pPr>
        <w:autoSpaceDE w:val="0"/>
        <w:autoSpaceDN w:val="0"/>
        <w:adjustRightInd w:val="0"/>
        <w:ind w:firstLine="420"/>
        <w:rPr>
          <w:rFonts w:eastAsia="Times New Roman"/>
          <w:kern w:val="0"/>
          <w:sz w:val="21"/>
          <w:szCs w:val="24"/>
          <w:lang w:val="zh-CN"/>
        </w:rPr>
      </w:pPr>
      <w:r>
        <w:rPr>
          <w:rFonts w:hint="eastAsia" w:ascii="宋体" w:hAnsi="宋体" w:cs="宋体"/>
          <w:kern w:val="0"/>
          <w:sz w:val="21"/>
          <w:szCs w:val="24"/>
          <w:lang w:val="zh-CN"/>
        </w:rPr>
        <w:t>在研发团队建设方面，在航运中心上海组建独立的智能化团队，一方面利用人工智能技术实现无人船舶控制，另一方面加强船舶数据价值的挖掘和分析，为客户优化船队运营，实现降本增效。同时，国际技术团队加本地团队的研发模式逐渐成熟，配合默契，培养了多个具备国际化能力的研发骨干，夯实了自主研发的核心技术基础，产品研发进入了快车道。</w:t>
      </w:r>
    </w:p>
    <w:p>
      <w:pPr>
        <w:autoSpaceDE w:val="0"/>
        <w:autoSpaceDN w:val="0"/>
        <w:adjustRightInd w:val="0"/>
        <w:spacing w:before="0" w:after="0"/>
        <w:ind w:firstLine="422"/>
        <w:jc w:val="left"/>
        <w:rPr>
          <w:rFonts w:eastAsia="Times New Roman"/>
          <w:b/>
          <w:kern w:val="0"/>
          <w:sz w:val="21"/>
          <w:szCs w:val="24"/>
          <w:lang w:val="zh-CN"/>
        </w:rPr>
      </w:pPr>
      <w:r>
        <w:rPr>
          <w:rFonts w:eastAsia="Times New Roman"/>
          <w:b/>
          <w:kern w:val="0"/>
          <w:sz w:val="21"/>
          <w:szCs w:val="24"/>
          <w:lang w:val="zh-CN"/>
        </w:rPr>
        <w:t>2</w:t>
      </w:r>
      <w:r>
        <w:rPr>
          <w:rFonts w:hint="eastAsia" w:ascii="宋体" w:hAnsi="宋体" w:cs="宋体"/>
          <w:b/>
          <w:kern w:val="0"/>
          <w:sz w:val="21"/>
          <w:szCs w:val="24"/>
          <w:lang w:val="zh-CN"/>
        </w:rPr>
        <w:t>、市场拓展，打造行业大格局</w:t>
      </w:r>
    </w:p>
    <w:p>
      <w:pPr>
        <w:autoSpaceDE w:val="0"/>
        <w:autoSpaceDN w:val="0"/>
        <w:adjustRightInd w:val="0"/>
        <w:spacing w:before="0" w:after="0"/>
        <w:ind w:left="482"/>
        <w:jc w:val="left"/>
        <w:rPr>
          <w:rFonts w:eastAsia="Times New Roman"/>
          <w:b/>
          <w:kern w:val="0"/>
          <w:sz w:val="21"/>
          <w:szCs w:val="24"/>
          <w:lang w:val="zh-CN"/>
        </w:rPr>
      </w:pPr>
      <w:r>
        <w:rPr>
          <w:rFonts w:hint="eastAsia" w:ascii="宋体" w:hAnsi="宋体" w:cs="宋体"/>
          <w:b/>
          <w:kern w:val="0"/>
          <w:sz w:val="21"/>
          <w:szCs w:val="24"/>
          <w:lang w:val="zh-CN"/>
        </w:rPr>
        <w:t>（</w:t>
      </w:r>
      <w:r>
        <w:rPr>
          <w:rFonts w:eastAsia="Times New Roman"/>
          <w:b/>
          <w:kern w:val="0"/>
          <w:sz w:val="21"/>
          <w:szCs w:val="24"/>
          <w:lang w:val="zh-CN"/>
        </w:rPr>
        <w:t>1</w:t>
      </w:r>
      <w:r>
        <w:rPr>
          <w:rFonts w:hint="eastAsia" w:ascii="宋体" w:hAnsi="宋体" w:cs="宋体"/>
          <w:b/>
          <w:kern w:val="0"/>
          <w:sz w:val="21"/>
          <w:szCs w:val="24"/>
          <w:lang w:val="zh-CN"/>
        </w:rPr>
        <w:t>）智能航海业务领域</w:t>
      </w:r>
    </w:p>
    <w:p>
      <w:pPr>
        <w:autoSpaceDE w:val="0"/>
        <w:autoSpaceDN w:val="0"/>
        <w:adjustRightInd w:val="0"/>
        <w:ind w:firstLine="420"/>
        <w:rPr>
          <w:rFonts w:eastAsia="Times New Roman"/>
          <w:kern w:val="0"/>
          <w:sz w:val="21"/>
          <w:szCs w:val="24"/>
          <w:lang w:val="zh-CN"/>
        </w:rPr>
      </w:pPr>
      <w:r>
        <w:rPr>
          <w:rFonts w:hint="eastAsia" w:ascii="宋体" w:hAnsi="宋体" w:cs="宋体"/>
          <w:kern w:val="0"/>
          <w:sz w:val="21"/>
          <w:szCs w:val="24"/>
          <w:lang w:val="zh-CN"/>
        </w:rPr>
        <w:t>海事业务在行业低迷中完成优化整合及业务融合，海兰信自主研发的</w:t>
      </w:r>
      <w:r>
        <w:rPr>
          <w:rFonts w:eastAsia="Times New Roman"/>
          <w:kern w:val="0"/>
          <w:sz w:val="21"/>
          <w:szCs w:val="24"/>
          <w:lang w:val="zh-CN"/>
        </w:rPr>
        <w:t>INS</w:t>
      </w:r>
      <w:r>
        <w:rPr>
          <w:rFonts w:hint="eastAsia" w:ascii="宋体" w:hAnsi="宋体" w:cs="宋体"/>
          <w:kern w:val="0"/>
          <w:sz w:val="21"/>
          <w:szCs w:val="24"/>
          <w:lang w:val="zh-CN"/>
        </w:rPr>
        <w:t>系统继</w:t>
      </w:r>
      <w:r>
        <w:rPr>
          <w:rFonts w:eastAsia="Times New Roman"/>
          <w:kern w:val="0"/>
          <w:sz w:val="21"/>
          <w:szCs w:val="24"/>
          <w:lang w:val="zh-CN"/>
        </w:rPr>
        <w:t>2015</w:t>
      </w:r>
      <w:r>
        <w:rPr>
          <w:rFonts w:hint="eastAsia" w:ascii="宋体" w:hAnsi="宋体" w:cs="宋体"/>
          <w:kern w:val="0"/>
          <w:sz w:val="21"/>
          <w:szCs w:val="24"/>
          <w:lang w:val="zh-CN"/>
        </w:rPr>
        <w:t>年开始进入上升期，以高技术标准与平价化售价形成的高对比性价比优势获得了批量订单，市场占有率稳步提升，进一步为招商集团、大连远洋、厦门船厂、武昌船厂、中船黄埔文冲等重要客户提供产品和服务，其中获得中国远洋海运集团</w:t>
      </w:r>
      <w:r>
        <w:rPr>
          <w:rFonts w:eastAsia="Times New Roman"/>
          <w:kern w:val="0"/>
          <w:sz w:val="21"/>
          <w:szCs w:val="24"/>
          <w:lang w:val="zh-CN"/>
        </w:rPr>
        <w:t>30</w:t>
      </w:r>
      <w:r>
        <w:rPr>
          <w:rFonts w:hint="eastAsia" w:ascii="宋体" w:hAnsi="宋体" w:cs="宋体"/>
          <w:kern w:val="0"/>
          <w:sz w:val="21"/>
          <w:szCs w:val="24"/>
          <w:lang w:val="zh-CN"/>
        </w:rPr>
        <w:t>万吨</w:t>
      </w:r>
      <w:r>
        <w:rPr>
          <w:rFonts w:eastAsia="Times New Roman"/>
          <w:kern w:val="0"/>
          <w:sz w:val="21"/>
          <w:szCs w:val="24"/>
          <w:lang w:val="zh-CN"/>
        </w:rPr>
        <w:t>VLCC</w:t>
      </w:r>
      <w:r>
        <w:rPr>
          <w:rFonts w:hint="eastAsia" w:ascii="宋体" w:hAnsi="宋体" w:cs="宋体"/>
          <w:kern w:val="0"/>
          <w:sz w:val="21"/>
          <w:szCs w:val="24"/>
          <w:lang w:val="zh-CN"/>
        </w:rPr>
        <w:t>油轮订单，实现国产通导首次在</w:t>
      </w:r>
      <w:r>
        <w:rPr>
          <w:rFonts w:eastAsia="Times New Roman"/>
          <w:kern w:val="0"/>
          <w:sz w:val="21"/>
          <w:szCs w:val="24"/>
          <w:lang w:val="zh-CN"/>
        </w:rPr>
        <w:t>VLCC</w:t>
      </w:r>
      <w:r>
        <w:rPr>
          <w:rFonts w:hint="eastAsia" w:ascii="宋体" w:hAnsi="宋体" w:cs="宋体"/>
          <w:kern w:val="0"/>
          <w:sz w:val="21"/>
          <w:szCs w:val="24"/>
          <w:lang w:val="zh-CN"/>
        </w:rPr>
        <w:t>油轮上的突破，打破了</w:t>
      </w:r>
      <w:r>
        <w:rPr>
          <w:rFonts w:eastAsia="Times New Roman"/>
          <w:kern w:val="0"/>
          <w:sz w:val="21"/>
          <w:szCs w:val="24"/>
          <w:lang w:val="zh-CN"/>
        </w:rPr>
        <w:t>VLCC</w:t>
      </w:r>
      <w:r>
        <w:rPr>
          <w:rFonts w:hint="eastAsia" w:ascii="宋体" w:hAnsi="宋体" w:cs="宋体"/>
          <w:kern w:val="0"/>
          <w:sz w:val="21"/>
          <w:szCs w:val="24"/>
          <w:lang w:val="zh-CN"/>
        </w:rPr>
        <w:t>油轮的配套设备长期以来被国外产品垄断的局面，标志着海兰信的</w:t>
      </w:r>
      <w:r>
        <w:rPr>
          <w:rFonts w:eastAsia="Times New Roman"/>
          <w:kern w:val="0"/>
          <w:sz w:val="21"/>
          <w:szCs w:val="24"/>
          <w:lang w:val="zh-CN"/>
        </w:rPr>
        <w:t>INS</w:t>
      </w:r>
      <w:r>
        <w:rPr>
          <w:rFonts w:hint="eastAsia" w:ascii="宋体" w:hAnsi="宋体" w:cs="宋体"/>
          <w:kern w:val="0"/>
          <w:sz w:val="21"/>
          <w:szCs w:val="24"/>
          <w:lang w:val="zh-CN"/>
        </w:rPr>
        <w:t>系统在多个关键业务领域均实现了示范工程；</w:t>
      </w:r>
      <w:r>
        <w:rPr>
          <w:rFonts w:eastAsia="Times New Roman"/>
          <w:kern w:val="0"/>
          <w:sz w:val="21"/>
          <w:szCs w:val="24"/>
          <w:lang w:val="zh-CN"/>
        </w:rPr>
        <w:t>2016</w:t>
      </w:r>
      <w:r>
        <w:rPr>
          <w:rFonts w:hint="eastAsia" w:ascii="宋体" w:hAnsi="宋体" w:cs="宋体"/>
          <w:kern w:val="0"/>
          <w:sz w:val="21"/>
          <w:szCs w:val="24"/>
          <w:lang w:val="zh-CN"/>
        </w:rPr>
        <w:t>年自动化产品中国市场获得突破，该系统已经完成国产化认证，国内生产线建设完工，为后续批量化生产及市场推广奠定了基础；船岸信息化方面，公司向安盛集团等大型船队提供定制化</w:t>
      </w:r>
      <w:r>
        <w:rPr>
          <w:rFonts w:eastAsia="Times New Roman"/>
          <w:kern w:val="0"/>
          <w:sz w:val="21"/>
          <w:szCs w:val="24"/>
          <w:lang w:val="zh-CN"/>
        </w:rPr>
        <w:t>VMS</w:t>
      </w:r>
      <w:r>
        <w:rPr>
          <w:rFonts w:hint="eastAsia" w:ascii="宋体" w:hAnsi="宋体" w:cs="宋体"/>
          <w:kern w:val="0"/>
          <w:sz w:val="21"/>
          <w:szCs w:val="24"/>
          <w:lang w:val="zh-CN"/>
        </w:rPr>
        <w:t>系统，该系统可在岸端实时查阅船舶各项数据和状态</w:t>
      </w:r>
      <w:r>
        <w:rPr>
          <w:rFonts w:eastAsia="Times New Roman"/>
          <w:kern w:val="0"/>
          <w:sz w:val="21"/>
          <w:szCs w:val="24"/>
          <w:lang w:val="zh-CN"/>
        </w:rPr>
        <w:t>,</w:t>
      </w:r>
      <w:r>
        <w:rPr>
          <w:rFonts w:hint="eastAsia" w:ascii="宋体" w:hAnsi="宋体" w:cs="宋体"/>
          <w:kern w:val="0"/>
          <w:sz w:val="21"/>
          <w:szCs w:val="24"/>
          <w:lang w:val="zh-CN"/>
        </w:rPr>
        <w:t>将把天气、油价、运价等动态信息导入经济模型，通过大数据处理和分析，降低船舶能耗改善船舶准点率，实现</w:t>
      </w:r>
      <w:r>
        <w:rPr>
          <w:rFonts w:eastAsia="Times New Roman"/>
          <w:kern w:val="0"/>
          <w:sz w:val="21"/>
          <w:szCs w:val="24"/>
          <w:lang w:val="zh-CN"/>
        </w:rPr>
        <w:t>“</w:t>
      </w:r>
      <w:r>
        <w:rPr>
          <w:rFonts w:hint="eastAsia" w:ascii="宋体" w:hAnsi="宋体" w:cs="宋体"/>
          <w:kern w:val="0"/>
          <w:sz w:val="21"/>
          <w:szCs w:val="24"/>
          <w:lang w:val="zh-CN"/>
        </w:rPr>
        <w:t>互联网</w:t>
      </w:r>
      <w:r>
        <w:rPr>
          <w:rFonts w:eastAsia="Times New Roman"/>
          <w:kern w:val="0"/>
          <w:sz w:val="21"/>
          <w:szCs w:val="24"/>
          <w:lang w:val="zh-CN"/>
        </w:rPr>
        <w:t>+</w:t>
      </w:r>
      <w:r>
        <w:rPr>
          <w:rFonts w:hint="eastAsia" w:ascii="宋体" w:hAnsi="宋体" w:cs="宋体"/>
          <w:kern w:val="0"/>
          <w:sz w:val="21"/>
          <w:szCs w:val="24"/>
          <w:lang w:val="zh-CN"/>
        </w:rPr>
        <w:t>船队</w:t>
      </w:r>
      <w:r>
        <w:rPr>
          <w:rFonts w:eastAsia="Times New Roman"/>
          <w:kern w:val="0"/>
          <w:sz w:val="21"/>
          <w:szCs w:val="24"/>
          <w:lang w:val="zh-CN"/>
        </w:rPr>
        <w:t>”</w:t>
      </w:r>
      <w:r>
        <w:rPr>
          <w:rFonts w:hint="eastAsia" w:ascii="宋体" w:hAnsi="宋体" w:cs="宋体"/>
          <w:kern w:val="0"/>
          <w:sz w:val="21"/>
          <w:szCs w:val="24"/>
          <w:lang w:val="zh-CN"/>
        </w:rPr>
        <w:t>高效运营模式，获得客户好评。目前启动</w:t>
      </w:r>
      <w:r>
        <w:rPr>
          <w:rFonts w:eastAsia="Times New Roman"/>
          <w:kern w:val="0"/>
          <w:sz w:val="21"/>
          <w:szCs w:val="24"/>
          <w:lang w:val="zh-CN"/>
        </w:rPr>
        <w:t>VMSV2.0</w:t>
      </w:r>
      <w:r>
        <w:rPr>
          <w:rFonts w:hint="eastAsia" w:ascii="宋体" w:hAnsi="宋体" w:cs="宋体"/>
          <w:kern w:val="0"/>
          <w:sz w:val="21"/>
          <w:szCs w:val="24"/>
          <w:lang w:val="zh-CN"/>
        </w:rPr>
        <w:t>软件的更新和升级，助力客户船务船队管理从信息化向智能化跨越；同时，</w:t>
      </w:r>
      <w:r>
        <w:rPr>
          <w:rFonts w:eastAsia="Times New Roman"/>
          <w:kern w:val="0"/>
          <w:sz w:val="21"/>
          <w:szCs w:val="24"/>
          <w:lang w:val="zh-CN"/>
        </w:rPr>
        <w:t>2016</w:t>
      </w:r>
      <w:r>
        <w:rPr>
          <w:rFonts w:hint="eastAsia" w:ascii="宋体" w:hAnsi="宋体" w:cs="宋体"/>
          <w:kern w:val="0"/>
          <w:sz w:val="21"/>
          <w:szCs w:val="24"/>
          <w:lang w:val="zh-CN"/>
        </w:rPr>
        <w:t>年公司以平台即服务</w:t>
      </w:r>
      <w:r>
        <w:rPr>
          <w:rFonts w:eastAsia="Times New Roman"/>
          <w:kern w:val="0"/>
          <w:sz w:val="21"/>
          <w:szCs w:val="24"/>
          <w:lang w:val="zh-CN"/>
        </w:rPr>
        <w:t>+</w:t>
      </w:r>
      <w:r>
        <w:rPr>
          <w:rFonts w:hint="eastAsia" w:ascii="宋体" w:hAnsi="宋体" w:cs="宋体"/>
          <w:kern w:val="0"/>
          <w:sz w:val="21"/>
          <w:szCs w:val="24"/>
          <w:lang w:val="zh-CN"/>
        </w:rPr>
        <w:t>软件即服务的混合模式重新打造</w:t>
      </w:r>
      <w:r>
        <w:rPr>
          <w:rFonts w:eastAsia="Times New Roman"/>
          <w:kern w:val="0"/>
          <w:sz w:val="21"/>
          <w:szCs w:val="24"/>
          <w:lang w:val="zh-CN"/>
        </w:rPr>
        <w:t>VMS</w:t>
      </w:r>
      <w:r>
        <w:rPr>
          <w:rFonts w:hint="eastAsia" w:ascii="宋体" w:hAnsi="宋体" w:cs="宋体"/>
          <w:kern w:val="0"/>
          <w:sz w:val="21"/>
          <w:szCs w:val="24"/>
          <w:lang w:val="zh-CN"/>
        </w:rPr>
        <w:t>系统，通过互联网、云平台、大数据等技术综合方案帮助用户降低运营费用、减少研发和维护的投入，并能够结合我公司不同设备系统，多种设备组合方案，形成设备</w:t>
      </w:r>
      <w:r>
        <w:rPr>
          <w:rFonts w:eastAsia="Times New Roman"/>
          <w:kern w:val="0"/>
          <w:sz w:val="21"/>
          <w:szCs w:val="24"/>
          <w:lang w:val="zh-CN"/>
        </w:rPr>
        <w:t>+</w:t>
      </w:r>
      <w:r>
        <w:rPr>
          <w:rFonts w:hint="eastAsia" w:ascii="宋体" w:hAnsi="宋体" w:cs="宋体"/>
          <w:kern w:val="0"/>
          <w:sz w:val="21"/>
          <w:szCs w:val="24"/>
          <w:lang w:val="zh-CN"/>
        </w:rPr>
        <w:t>服务的组合拳，信息化服务成为公司在该领域的重要竞争优势。</w:t>
      </w:r>
    </w:p>
    <w:p>
      <w:pPr>
        <w:autoSpaceDE w:val="0"/>
        <w:autoSpaceDN w:val="0"/>
        <w:adjustRightInd w:val="0"/>
        <w:spacing w:before="0" w:after="0"/>
        <w:ind w:firstLine="420"/>
        <w:jc w:val="left"/>
        <w:rPr>
          <w:rFonts w:eastAsia="Times New Roman"/>
          <w:kern w:val="0"/>
          <w:sz w:val="21"/>
          <w:szCs w:val="24"/>
          <w:lang w:val="zh-CN"/>
        </w:rPr>
      </w:pPr>
    </w:p>
    <w:p>
      <w:pPr>
        <w:autoSpaceDE w:val="0"/>
        <w:autoSpaceDN w:val="0"/>
        <w:adjustRightInd w:val="0"/>
        <w:spacing w:before="0" w:after="0"/>
        <w:ind w:left="482"/>
        <w:jc w:val="left"/>
        <w:rPr>
          <w:rFonts w:eastAsia="Times New Roman"/>
          <w:b/>
          <w:kern w:val="0"/>
          <w:sz w:val="21"/>
          <w:szCs w:val="24"/>
          <w:lang w:val="zh-CN"/>
        </w:rPr>
      </w:pPr>
      <w:r>
        <w:rPr>
          <w:rFonts w:hint="eastAsia" w:ascii="宋体" w:hAnsi="宋体" w:cs="宋体"/>
          <w:b/>
          <w:kern w:val="0"/>
          <w:sz w:val="21"/>
          <w:szCs w:val="24"/>
          <w:lang w:val="zh-CN"/>
        </w:rPr>
        <w:t>（</w:t>
      </w:r>
      <w:r>
        <w:rPr>
          <w:rFonts w:eastAsia="Times New Roman"/>
          <w:b/>
          <w:kern w:val="0"/>
          <w:sz w:val="21"/>
          <w:szCs w:val="24"/>
          <w:lang w:val="zh-CN"/>
        </w:rPr>
        <w:t>2</w:t>
      </w:r>
      <w:r>
        <w:rPr>
          <w:rFonts w:hint="eastAsia" w:ascii="宋体" w:hAnsi="宋体" w:cs="宋体"/>
          <w:b/>
          <w:kern w:val="0"/>
          <w:sz w:val="21"/>
          <w:szCs w:val="24"/>
          <w:lang w:val="zh-CN"/>
        </w:rPr>
        <w:t>）智慧海洋业务领域</w:t>
      </w:r>
    </w:p>
    <w:p>
      <w:pPr>
        <w:autoSpaceDE w:val="0"/>
        <w:autoSpaceDN w:val="0"/>
        <w:adjustRightInd w:val="0"/>
        <w:spacing w:before="0" w:after="0"/>
        <w:ind w:firstLine="420"/>
        <w:rPr>
          <w:rFonts w:eastAsia="Times New Roman"/>
          <w:kern w:val="0"/>
          <w:sz w:val="21"/>
          <w:szCs w:val="24"/>
          <w:lang w:val="zh-CN"/>
        </w:rPr>
      </w:pPr>
      <w:r>
        <w:rPr>
          <w:rFonts w:hint="eastAsia" w:ascii="宋体" w:hAnsi="宋体" w:cs="宋体"/>
          <w:kern w:val="0"/>
          <w:sz w:val="21"/>
          <w:szCs w:val="24"/>
          <w:lang w:val="zh-CN"/>
        </w:rPr>
        <w:t>海洋观（监）测业务，海兰信已在浙江、海南、山东等沿海省份，以及岸基、船载、石油平台等领域实现雷达网示范应用。</w:t>
      </w:r>
    </w:p>
    <w:p>
      <w:pPr>
        <w:autoSpaceDE w:val="0"/>
        <w:autoSpaceDN w:val="0"/>
        <w:adjustRightInd w:val="0"/>
        <w:spacing w:before="0" w:after="0"/>
        <w:ind w:firstLine="420"/>
        <w:rPr>
          <w:rFonts w:eastAsia="Times New Roman"/>
          <w:kern w:val="0"/>
          <w:sz w:val="21"/>
          <w:szCs w:val="24"/>
          <w:lang w:val="zh-CN"/>
        </w:rPr>
      </w:pPr>
      <w:r>
        <w:rPr>
          <w:rFonts w:hint="eastAsia" w:ascii="宋体" w:hAnsi="宋体" w:cs="宋体"/>
          <w:kern w:val="0"/>
          <w:sz w:val="21"/>
          <w:szCs w:val="24"/>
          <w:lang w:val="zh-CN"/>
        </w:rPr>
        <w:t>报告期内中标浙江省海洋与渔业执法总队全省海洋与渔业综合执法</w:t>
      </w:r>
      <w:r>
        <w:rPr>
          <w:rFonts w:eastAsia="Times New Roman"/>
          <w:kern w:val="0"/>
          <w:sz w:val="21"/>
          <w:szCs w:val="24"/>
          <w:lang w:val="zh-CN"/>
        </w:rPr>
        <w:t>“</w:t>
      </w:r>
      <w:r>
        <w:rPr>
          <w:rFonts w:hint="eastAsia" w:ascii="宋体" w:hAnsi="宋体" w:cs="宋体"/>
          <w:kern w:val="0"/>
          <w:sz w:val="21"/>
          <w:szCs w:val="24"/>
          <w:lang w:val="zh-CN"/>
        </w:rPr>
        <w:t>近海小物标雷达建设项目</w:t>
      </w:r>
      <w:r>
        <w:rPr>
          <w:rFonts w:eastAsia="Times New Roman"/>
          <w:kern w:val="0"/>
          <w:sz w:val="21"/>
          <w:szCs w:val="24"/>
          <w:lang w:val="zh-CN"/>
        </w:rPr>
        <w:t>”</w:t>
      </w:r>
      <w:r>
        <w:rPr>
          <w:rFonts w:hint="eastAsia" w:ascii="宋体" w:hAnsi="宋体" w:cs="宋体"/>
          <w:kern w:val="0"/>
          <w:sz w:val="21"/>
          <w:szCs w:val="24"/>
          <w:lang w:val="zh-CN"/>
        </w:rPr>
        <w:t>，该项目是国内首次利用</w:t>
      </w:r>
      <w:r>
        <w:rPr>
          <w:rFonts w:eastAsia="Times New Roman"/>
          <w:kern w:val="0"/>
          <w:sz w:val="21"/>
          <w:szCs w:val="24"/>
          <w:lang w:val="zh-CN"/>
        </w:rPr>
        <w:t>“</w:t>
      </w:r>
      <w:r>
        <w:rPr>
          <w:rFonts w:hint="eastAsia" w:ascii="宋体" w:hAnsi="宋体" w:cs="宋体"/>
          <w:kern w:val="0"/>
          <w:sz w:val="21"/>
          <w:szCs w:val="24"/>
          <w:lang w:val="zh-CN"/>
        </w:rPr>
        <w:t>雷达探测海上小目标</w:t>
      </w:r>
      <w:r>
        <w:rPr>
          <w:rFonts w:eastAsia="Times New Roman"/>
          <w:kern w:val="0"/>
          <w:sz w:val="21"/>
          <w:szCs w:val="24"/>
          <w:lang w:val="zh-CN"/>
        </w:rPr>
        <w:t>”</w:t>
      </w:r>
      <w:r>
        <w:rPr>
          <w:rFonts w:hint="eastAsia" w:ascii="宋体" w:hAnsi="宋体" w:cs="宋体"/>
          <w:kern w:val="0"/>
          <w:sz w:val="21"/>
          <w:szCs w:val="24"/>
          <w:lang w:val="zh-CN"/>
        </w:rPr>
        <w:t>技术，在浙江省沿海建设</w:t>
      </w:r>
      <w:r>
        <w:rPr>
          <w:rFonts w:eastAsia="Times New Roman"/>
          <w:kern w:val="0"/>
          <w:sz w:val="21"/>
          <w:szCs w:val="24"/>
          <w:lang w:val="zh-CN"/>
        </w:rPr>
        <w:t>20</w:t>
      </w:r>
      <w:r>
        <w:rPr>
          <w:rFonts w:hint="eastAsia" w:ascii="宋体" w:hAnsi="宋体" w:cs="宋体"/>
          <w:kern w:val="0"/>
          <w:sz w:val="21"/>
          <w:szCs w:val="24"/>
          <w:lang w:val="zh-CN"/>
        </w:rPr>
        <w:t>座雷达站并进行组网，项目建成后，将成为全国沿海省、直辖市中近海雷达综合观测网样板工程，并具有良好的示范效应；</w:t>
      </w:r>
      <w:r>
        <w:rPr>
          <w:rFonts w:eastAsia="Times New Roman"/>
          <w:kern w:val="0"/>
          <w:sz w:val="21"/>
          <w:szCs w:val="24"/>
          <w:lang w:val="zh-CN"/>
        </w:rPr>
        <w:t>2016</w:t>
      </w:r>
      <w:r>
        <w:rPr>
          <w:rFonts w:hint="eastAsia" w:ascii="宋体" w:hAnsi="宋体" w:cs="宋体"/>
          <w:kern w:val="0"/>
          <w:sz w:val="21"/>
          <w:szCs w:val="24"/>
          <w:lang w:val="zh-CN"/>
        </w:rPr>
        <w:t>年底建成的海南环岛近海雷达综合监控系统，实现了海南环岛近海区域全天候立体化综合监控，在试用期内已帮助执法部门有效遏制文昌东北海域非法采沙行为；该系统具备全天候、全时域、全方位主动探测的特点，可对海南全岛近海</w:t>
      </w:r>
      <w:r>
        <w:rPr>
          <w:rFonts w:eastAsia="Times New Roman"/>
          <w:kern w:val="0"/>
          <w:sz w:val="21"/>
          <w:szCs w:val="24"/>
          <w:lang w:val="zh-CN"/>
        </w:rPr>
        <w:t>20</w:t>
      </w:r>
      <w:r>
        <w:rPr>
          <w:rFonts w:hint="eastAsia" w:ascii="宋体" w:hAnsi="宋体" w:cs="宋体"/>
          <w:kern w:val="0"/>
          <w:sz w:val="21"/>
          <w:szCs w:val="24"/>
          <w:lang w:val="zh-CN"/>
        </w:rPr>
        <w:t>海里范围内的大中型船舶进行跟踪，通过数据分析对船舶的海上行为合法性进行识别，并利用大数据中心、云服务平台等，为打击近海非法捕捞、盗采海砂、非法潜水、非法海上旅游等综合执法行动提供有效的信息支撑。针对我国沿海渔政监管、安全生产、防灾减灾、海域动态监管等需求和应用，公司以海南近海雷达信息网为试点，开始在全国沿海省市布局推广，并通过引入其他海洋观（监）测手段，将覆盖区域进一步拓展至中国南海、海上丝绸之路等区域，为多领域涉海客户提供持续、及时的业务化、定制化信息服务。</w:t>
      </w:r>
    </w:p>
    <w:p>
      <w:pPr>
        <w:autoSpaceDE w:val="0"/>
        <w:autoSpaceDN w:val="0"/>
        <w:adjustRightInd w:val="0"/>
        <w:spacing w:before="0" w:after="0"/>
        <w:ind w:firstLine="420"/>
        <w:rPr>
          <w:rFonts w:eastAsia="Times New Roman"/>
          <w:kern w:val="0"/>
          <w:sz w:val="21"/>
          <w:szCs w:val="24"/>
          <w:lang w:val="zh-CN"/>
        </w:rPr>
      </w:pPr>
      <w:r>
        <w:rPr>
          <w:rFonts w:hint="eastAsia" w:ascii="宋体" w:hAnsi="宋体" w:cs="宋体"/>
          <w:kern w:val="0"/>
          <w:sz w:val="21"/>
          <w:szCs w:val="24"/>
          <w:lang w:val="zh-CN"/>
        </w:rPr>
        <w:t>公司积极推动海底网核心关键技术的国产化落地，已成为国家智慧海洋专项的参建单位；同时，公司海洋技术部门通过集成技术创新，兼容国内外骨干网技术，参与海底网相关方案策划；分别参与烟台、舟山、湛江等海洋经济示范城市建设。</w:t>
      </w:r>
    </w:p>
    <w:p>
      <w:pPr>
        <w:autoSpaceDE w:val="0"/>
        <w:autoSpaceDN w:val="0"/>
        <w:adjustRightInd w:val="0"/>
        <w:spacing w:before="0" w:after="0"/>
        <w:ind w:firstLine="420"/>
        <w:rPr>
          <w:rFonts w:ascii="宋体" w:hAnsi="宋体" w:cs="宋体"/>
          <w:kern w:val="0"/>
          <w:sz w:val="21"/>
          <w:szCs w:val="24"/>
          <w:lang w:val="zh-CN"/>
        </w:rPr>
      </w:pPr>
      <w:r>
        <w:rPr>
          <w:rFonts w:hint="eastAsia" w:ascii="宋体" w:hAnsi="宋体" w:cs="宋体"/>
          <w:b/>
          <w:kern w:val="0"/>
          <w:sz w:val="21"/>
          <w:szCs w:val="24"/>
          <w:lang w:val="zh-CN"/>
        </w:rPr>
        <w:t>海洋调查业务</w:t>
      </w:r>
      <w:r>
        <w:rPr>
          <w:rFonts w:hint="eastAsia" w:ascii="宋体" w:hAnsi="宋体" w:cs="宋体"/>
          <w:kern w:val="0"/>
          <w:sz w:val="21"/>
          <w:szCs w:val="24"/>
          <w:lang w:val="zh-CN"/>
        </w:rPr>
        <w:t>，2016年度前五大客户集中度进一步提高，且订单稳定增长；市场拓展力度加大，在国家海洋局体系、高校与科研院所、各省测绘局与海洋渔业局、电力水利系统领域市场占有率进一步提升；加速对遥感、生化系统、重、磁的市场攻坚；智慧海洋等大科学工程项目持续跟进；2016年劳雷产业实现收入507,867,130.02港币，净利润65,408,106.30港币。（</w:t>
      </w:r>
      <w:r>
        <w:rPr>
          <w:rFonts w:ascii="宋体" w:hAnsi="宋体" w:cs="宋体"/>
          <w:kern w:val="0"/>
          <w:sz w:val="21"/>
          <w:szCs w:val="24"/>
          <w:lang w:val="zh-CN"/>
        </w:rPr>
        <w:t>3</w:t>
      </w:r>
      <w:r>
        <w:rPr>
          <w:rFonts w:hint="eastAsia" w:ascii="宋体" w:hAnsi="宋体" w:cs="宋体"/>
          <w:kern w:val="0"/>
          <w:sz w:val="21"/>
          <w:szCs w:val="24"/>
          <w:lang w:val="zh-CN"/>
        </w:rPr>
        <w:t>）军（警）业务领域</w:t>
      </w:r>
    </w:p>
    <w:p>
      <w:pPr>
        <w:autoSpaceDE w:val="0"/>
        <w:autoSpaceDN w:val="0"/>
        <w:adjustRightInd w:val="0"/>
        <w:ind w:firstLine="420"/>
        <w:rPr>
          <w:rFonts w:eastAsia="Times New Roman"/>
          <w:kern w:val="0"/>
          <w:sz w:val="21"/>
          <w:szCs w:val="24"/>
          <w:lang w:val="zh-CN"/>
        </w:rPr>
      </w:pPr>
      <w:r>
        <w:rPr>
          <w:rFonts w:eastAsia="Times New Roman"/>
          <w:kern w:val="0"/>
          <w:sz w:val="21"/>
          <w:szCs w:val="24"/>
          <w:lang w:val="zh-CN"/>
        </w:rPr>
        <w:t>2016</w:t>
      </w:r>
      <w:r>
        <w:rPr>
          <w:rFonts w:hint="eastAsia" w:ascii="宋体" w:hAnsi="宋体" w:cs="宋体"/>
          <w:kern w:val="0"/>
          <w:sz w:val="21"/>
          <w:szCs w:val="24"/>
          <w:lang w:val="zh-CN"/>
        </w:rPr>
        <w:t>年，国家军队结构调整、军工改革、武器装备新技术新模式需求变化、军工行业进行深度军民融合，为公司军工业务发展带了绝佳的发展机遇，公司军工业务取得了突破性进展，全年产值达到历史新高，市场占用率持续提升。以</w:t>
      </w:r>
      <w:r>
        <w:rPr>
          <w:rFonts w:eastAsia="Times New Roman"/>
          <w:kern w:val="0"/>
          <w:sz w:val="21"/>
          <w:szCs w:val="24"/>
          <w:lang w:val="zh-CN"/>
        </w:rPr>
        <w:t>IBS</w:t>
      </w:r>
      <w:r>
        <w:rPr>
          <w:rFonts w:hint="eastAsia" w:ascii="宋体" w:hAnsi="宋体" w:cs="宋体"/>
          <w:kern w:val="0"/>
          <w:sz w:val="21"/>
          <w:szCs w:val="24"/>
          <w:lang w:val="zh-CN"/>
        </w:rPr>
        <w:t>系统为核心的系列产品不断进行技术创新和优化升级，新产品加装速度加快。智能雷达监控系统及其子系统订单加速实现，业务稳定且可持续增长；岸基</w:t>
      </w:r>
      <w:r>
        <w:rPr>
          <w:rFonts w:eastAsia="Times New Roman"/>
          <w:kern w:val="0"/>
          <w:sz w:val="21"/>
          <w:szCs w:val="24"/>
          <w:lang w:val="zh-CN"/>
        </w:rPr>
        <w:t>/</w:t>
      </w:r>
      <w:r>
        <w:rPr>
          <w:rFonts w:hint="eastAsia" w:ascii="宋体" w:hAnsi="宋体" w:cs="宋体"/>
          <w:kern w:val="0"/>
          <w:sz w:val="21"/>
          <w:szCs w:val="24"/>
          <w:lang w:val="zh-CN"/>
        </w:rPr>
        <w:t>舰载智能雷达监控系统、港口监控、海域监控、岛礁监控、海上平台监控、海上搜救执法、海洋观（监）测等相关业务也取得较大进展，市场需求更加明确，市场容量更加清晰。</w:t>
      </w:r>
    </w:p>
    <w:p>
      <w:pPr>
        <w:autoSpaceDE w:val="0"/>
        <w:autoSpaceDN w:val="0"/>
        <w:adjustRightInd w:val="0"/>
        <w:ind w:firstLine="420"/>
        <w:rPr>
          <w:rFonts w:eastAsia="Times New Roman"/>
          <w:kern w:val="0"/>
          <w:sz w:val="21"/>
          <w:szCs w:val="24"/>
          <w:lang w:val="zh-CN"/>
        </w:rPr>
      </w:pPr>
      <w:r>
        <w:rPr>
          <w:rFonts w:hint="eastAsia" w:ascii="宋体" w:hAnsi="宋体" w:cs="宋体"/>
          <w:kern w:val="0"/>
          <w:sz w:val="21"/>
          <w:szCs w:val="24"/>
          <w:lang w:val="zh-CN"/>
        </w:rPr>
        <w:t>公司成立军工委员会，统筹整体军工业务发展规划，并强化海洋军工业务部，积极拓展海洋军工市场，已形成新的海洋业务增量。公司进一步确立了以近海雷达监测网、海底观测网及海洋军工业务为核心的海洋信息化发展思路，为后续完善体系建设奠定了基础。</w:t>
      </w:r>
    </w:p>
    <w:p>
      <w:pPr>
        <w:autoSpaceDE w:val="0"/>
        <w:autoSpaceDN w:val="0"/>
        <w:adjustRightInd w:val="0"/>
        <w:spacing w:before="0" w:after="0"/>
        <w:ind w:firstLine="422"/>
        <w:jc w:val="left"/>
        <w:rPr>
          <w:rFonts w:eastAsia="Times New Roman"/>
          <w:b/>
          <w:kern w:val="0"/>
          <w:sz w:val="21"/>
          <w:szCs w:val="24"/>
          <w:lang w:val="zh-CN"/>
        </w:rPr>
      </w:pPr>
      <w:r>
        <w:rPr>
          <w:rFonts w:eastAsia="Times New Roman"/>
          <w:b/>
          <w:kern w:val="0"/>
          <w:sz w:val="21"/>
          <w:szCs w:val="24"/>
          <w:lang w:val="zh-CN"/>
        </w:rPr>
        <w:t>3</w:t>
      </w:r>
      <w:r>
        <w:rPr>
          <w:rFonts w:hint="eastAsia" w:ascii="宋体" w:hAnsi="宋体" w:cs="宋体"/>
          <w:b/>
          <w:kern w:val="0"/>
          <w:sz w:val="21"/>
          <w:szCs w:val="24"/>
          <w:lang w:val="zh-CN"/>
        </w:rPr>
        <w:t>、战略收购，优化产业布局</w:t>
      </w:r>
    </w:p>
    <w:p>
      <w:pPr>
        <w:autoSpaceDE w:val="0"/>
        <w:autoSpaceDN w:val="0"/>
        <w:adjustRightInd w:val="0"/>
        <w:ind w:firstLine="420"/>
        <w:rPr>
          <w:rFonts w:eastAsia="Times New Roman"/>
          <w:kern w:val="0"/>
          <w:sz w:val="21"/>
          <w:szCs w:val="24"/>
          <w:lang w:val="zh-CN"/>
        </w:rPr>
      </w:pPr>
      <w:r>
        <w:rPr>
          <w:rFonts w:eastAsia="Times New Roman"/>
          <w:kern w:val="0"/>
          <w:sz w:val="21"/>
          <w:szCs w:val="24"/>
          <w:lang w:val="zh-CN"/>
        </w:rPr>
        <w:t>2016</w:t>
      </w:r>
      <w:r>
        <w:rPr>
          <w:rFonts w:hint="eastAsia" w:ascii="宋体" w:hAnsi="宋体" w:cs="宋体"/>
          <w:kern w:val="0"/>
          <w:sz w:val="21"/>
          <w:szCs w:val="24"/>
          <w:lang w:val="zh-CN"/>
        </w:rPr>
        <w:t>年以实际控股</w:t>
      </w:r>
      <w:r>
        <w:rPr>
          <w:rFonts w:eastAsia="Times New Roman"/>
          <w:kern w:val="0"/>
          <w:sz w:val="21"/>
          <w:szCs w:val="24"/>
          <w:lang w:val="zh-CN"/>
        </w:rPr>
        <w:t>65%</w:t>
      </w:r>
      <w:r>
        <w:rPr>
          <w:rFonts w:hint="eastAsia" w:ascii="宋体" w:hAnsi="宋体" w:cs="宋体"/>
          <w:kern w:val="0"/>
          <w:sz w:val="21"/>
          <w:szCs w:val="24"/>
          <w:lang w:val="zh-CN"/>
        </w:rPr>
        <w:t>的方式完成对广东蓝图的并购，为海兰信海洋业务布局再添一抹亮色。广东蓝图核心业务海域动态管理和海岛动态监视监测在国内拥有较高的市场占有率和用户知名度，且正积极参与国家及部分省市的智慧海洋规划与建设。</w:t>
      </w:r>
      <w:r>
        <w:rPr>
          <w:rFonts w:eastAsia="Times New Roman"/>
          <w:kern w:val="0"/>
          <w:sz w:val="21"/>
          <w:szCs w:val="24"/>
          <w:lang w:val="zh-CN"/>
        </w:rPr>
        <w:t>2017</w:t>
      </w:r>
      <w:r>
        <w:rPr>
          <w:rFonts w:hint="eastAsia" w:ascii="宋体" w:hAnsi="宋体" w:cs="宋体"/>
          <w:kern w:val="0"/>
          <w:sz w:val="21"/>
          <w:szCs w:val="24"/>
          <w:lang w:val="zh-CN"/>
        </w:rPr>
        <w:t>年，海兰信将协同广东蓝图全面参与国家与地方智慧海洋规划和建设，以感知设备、海洋观监测管理信息系统、集成共享系统为切入点，共同打造海洋大数据平台、深度挖掘动态海洋信息服务应用，为客户提供基于卫星遥感、无人机遥感、海洋观监测等定制化的海洋数据服务。</w:t>
      </w:r>
    </w:p>
    <w:p>
      <w:pPr>
        <w:autoSpaceDE w:val="0"/>
        <w:autoSpaceDN w:val="0"/>
        <w:adjustRightInd w:val="0"/>
        <w:ind w:firstLine="420"/>
        <w:rPr>
          <w:rFonts w:eastAsia="Times New Roman"/>
          <w:kern w:val="0"/>
          <w:sz w:val="21"/>
          <w:szCs w:val="24"/>
          <w:lang w:val="zh-CN"/>
        </w:rPr>
      </w:pPr>
      <w:r>
        <w:rPr>
          <w:rFonts w:eastAsia="Times New Roman"/>
          <w:kern w:val="0"/>
          <w:sz w:val="21"/>
          <w:szCs w:val="24"/>
          <w:lang w:val="zh-CN"/>
        </w:rPr>
        <w:pict>
          <v:shape id="_x0000_i1026" o:spt="75" type="#_x0000_t75" style="height:340.8pt;width:412.2pt;" filled="f" o:preferrelative="t" stroked="f" coordsize="21600,21600">
            <v:path/>
            <v:fill on="f" focussize="0,0"/>
            <v:stroke on="f" joinstyle="miter"/>
            <v:imagedata r:id="rId10" o:title=""/>
            <o:lock v:ext="edit" aspectratio="t"/>
            <w10:wrap type="none"/>
            <w10:anchorlock/>
          </v:shape>
        </w:pict>
      </w:r>
    </w:p>
    <w:p>
      <w:pPr>
        <w:autoSpaceDE w:val="0"/>
        <w:autoSpaceDN w:val="0"/>
        <w:adjustRightInd w:val="0"/>
        <w:ind w:firstLine="420"/>
        <w:rPr>
          <w:rFonts w:eastAsia="Times New Roman"/>
          <w:kern w:val="0"/>
          <w:sz w:val="21"/>
          <w:szCs w:val="24"/>
          <w:lang w:val="zh-CN"/>
        </w:rPr>
      </w:pPr>
      <w:r>
        <w:rPr>
          <w:rFonts w:hint="eastAsia" w:ascii="宋体" w:hAnsi="宋体" w:cs="宋体"/>
          <w:kern w:val="0"/>
          <w:sz w:val="21"/>
          <w:szCs w:val="24"/>
          <w:lang w:val="zh-CN"/>
        </w:rPr>
        <w:t>公司将持续运用上市公司的资本运作优势，针对我国和国际海洋信息技术装备产业的需求，布局从高端引领装备、关键仪器产品到系统应用软件的全产业链资源整合。联合战略合作伙伴共同投资海洋信息技术实体，逐步形成全产业链竞争优势。</w:t>
      </w:r>
    </w:p>
    <w:p>
      <w:pPr>
        <w:autoSpaceDE w:val="0"/>
        <w:autoSpaceDN w:val="0"/>
        <w:adjustRightInd w:val="0"/>
        <w:ind w:firstLine="420"/>
        <w:rPr>
          <w:rFonts w:eastAsia="Times New Roman"/>
          <w:kern w:val="0"/>
          <w:sz w:val="21"/>
          <w:szCs w:val="24"/>
          <w:lang w:val="zh-CN"/>
        </w:rPr>
      </w:pPr>
    </w:p>
    <w:p>
      <w:pPr>
        <w:autoSpaceDE w:val="0"/>
        <w:autoSpaceDN w:val="0"/>
        <w:adjustRightInd w:val="0"/>
        <w:spacing w:before="0" w:after="0"/>
        <w:ind w:firstLine="422"/>
        <w:jc w:val="left"/>
        <w:rPr>
          <w:rFonts w:eastAsia="Times New Roman"/>
          <w:b/>
          <w:kern w:val="0"/>
          <w:sz w:val="21"/>
          <w:szCs w:val="24"/>
          <w:lang w:val="zh-CN"/>
        </w:rPr>
      </w:pPr>
      <w:r>
        <w:rPr>
          <w:rFonts w:eastAsia="Times New Roman"/>
          <w:b/>
          <w:kern w:val="0"/>
          <w:sz w:val="21"/>
          <w:szCs w:val="24"/>
          <w:lang w:val="zh-CN"/>
        </w:rPr>
        <w:t>4</w:t>
      </w:r>
      <w:r>
        <w:rPr>
          <w:rFonts w:hint="eastAsia" w:ascii="宋体" w:hAnsi="宋体" w:cs="宋体"/>
          <w:b/>
          <w:kern w:val="0"/>
          <w:sz w:val="21"/>
          <w:szCs w:val="24"/>
          <w:lang w:val="zh-CN"/>
        </w:rPr>
        <w:t>、战略合作，积极推进共赢</w:t>
      </w:r>
    </w:p>
    <w:p>
      <w:pPr>
        <w:autoSpaceDE w:val="0"/>
        <w:autoSpaceDN w:val="0"/>
        <w:adjustRightInd w:val="0"/>
        <w:ind w:firstLine="420"/>
        <w:rPr>
          <w:rFonts w:eastAsia="Times New Roman"/>
          <w:kern w:val="0"/>
          <w:sz w:val="21"/>
          <w:szCs w:val="24"/>
          <w:lang w:val="zh-CN"/>
        </w:rPr>
      </w:pPr>
      <w:r>
        <w:rPr>
          <w:rFonts w:eastAsia="Times New Roman"/>
          <w:kern w:val="0"/>
          <w:sz w:val="21"/>
          <w:szCs w:val="24"/>
          <w:lang w:val="zh-CN"/>
        </w:rPr>
        <w:t>1</w:t>
      </w:r>
      <w:r>
        <w:rPr>
          <w:rFonts w:hint="eastAsia" w:ascii="宋体" w:hAnsi="宋体" w:cs="宋体"/>
          <w:kern w:val="0"/>
          <w:sz w:val="21"/>
          <w:szCs w:val="24"/>
          <w:lang w:val="zh-CN"/>
        </w:rPr>
        <w:t>）受邀入驻三亚遥感信息产业园</w:t>
      </w:r>
    </w:p>
    <w:p>
      <w:pPr>
        <w:autoSpaceDE w:val="0"/>
        <w:autoSpaceDN w:val="0"/>
        <w:adjustRightInd w:val="0"/>
        <w:ind w:firstLine="420"/>
        <w:rPr>
          <w:rFonts w:eastAsia="Times New Roman"/>
          <w:kern w:val="0"/>
          <w:sz w:val="21"/>
          <w:szCs w:val="24"/>
          <w:lang w:val="zh-CN"/>
        </w:rPr>
      </w:pPr>
      <w:r>
        <w:rPr>
          <w:rFonts w:hint="eastAsia" w:ascii="宋体" w:hAnsi="宋体" w:cs="宋体"/>
          <w:kern w:val="0"/>
          <w:sz w:val="21"/>
          <w:szCs w:val="24"/>
          <w:lang w:val="zh-CN"/>
        </w:rPr>
        <w:t>公司与海南省工业和信息化厅、三亚市人民政府、三亚遥感信息产业园签署了四方协议，受邀入驻三亚遥感信息产业园。该园区旨在依托中国科学院遥感与数字地球研究所三亚研究中心，形成集卫星遥感技术研发、航空航天传感器研发、近远程雷达研发制造、无人机研发制造、遥感数据接收、处理、分发、应用、教育一体化的产业集群。入驻该园区后，各方将协助海兰信开拓海南本地市场，推动建设环岛特种雷达监测网等重大项目开展，协助海兰信布局实施海洋监测（空</w:t>
      </w:r>
      <w:r>
        <w:rPr>
          <w:rFonts w:eastAsia="Times New Roman"/>
          <w:kern w:val="0"/>
          <w:sz w:val="21"/>
          <w:szCs w:val="24"/>
          <w:lang w:val="zh-CN"/>
        </w:rPr>
        <w:t>+</w:t>
      </w:r>
      <w:r>
        <w:rPr>
          <w:rFonts w:hint="eastAsia" w:ascii="宋体" w:hAnsi="宋体" w:cs="宋体"/>
          <w:kern w:val="0"/>
          <w:sz w:val="21"/>
          <w:szCs w:val="24"/>
          <w:lang w:val="zh-CN"/>
        </w:rPr>
        <w:t>岸基</w:t>
      </w:r>
      <w:r>
        <w:rPr>
          <w:rFonts w:eastAsia="Times New Roman"/>
          <w:kern w:val="0"/>
          <w:sz w:val="21"/>
          <w:szCs w:val="24"/>
          <w:lang w:val="zh-CN"/>
        </w:rPr>
        <w:t>+</w:t>
      </w:r>
      <w:r>
        <w:rPr>
          <w:rFonts w:hint="eastAsia" w:ascii="宋体" w:hAnsi="宋体" w:cs="宋体"/>
          <w:kern w:val="0"/>
          <w:sz w:val="21"/>
          <w:szCs w:val="24"/>
          <w:lang w:val="zh-CN"/>
        </w:rPr>
        <w:t>海面</w:t>
      </w:r>
      <w:r>
        <w:rPr>
          <w:rFonts w:eastAsia="Times New Roman"/>
          <w:kern w:val="0"/>
          <w:sz w:val="21"/>
          <w:szCs w:val="24"/>
          <w:lang w:val="zh-CN"/>
        </w:rPr>
        <w:t>+</w:t>
      </w:r>
      <w:r>
        <w:rPr>
          <w:rFonts w:hint="eastAsia" w:ascii="宋体" w:hAnsi="宋体" w:cs="宋体"/>
          <w:kern w:val="0"/>
          <w:sz w:val="21"/>
          <w:szCs w:val="24"/>
          <w:lang w:val="zh-CN"/>
        </w:rPr>
        <w:t>海底）相关项目和产业链整合。</w:t>
      </w:r>
    </w:p>
    <w:p>
      <w:pPr>
        <w:autoSpaceDE w:val="0"/>
        <w:autoSpaceDN w:val="0"/>
        <w:adjustRightInd w:val="0"/>
        <w:ind w:firstLine="420"/>
        <w:rPr>
          <w:rFonts w:eastAsia="Times New Roman"/>
          <w:kern w:val="0"/>
          <w:sz w:val="21"/>
          <w:szCs w:val="24"/>
          <w:lang w:val="zh-CN"/>
        </w:rPr>
      </w:pPr>
      <w:r>
        <w:rPr>
          <w:rFonts w:eastAsia="Times New Roman"/>
          <w:kern w:val="0"/>
          <w:sz w:val="21"/>
          <w:szCs w:val="24"/>
          <w:lang w:val="zh-CN"/>
        </w:rPr>
        <w:t>2</w:t>
      </w:r>
      <w:r>
        <w:rPr>
          <w:rFonts w:hint="eastAsia" w:ascii="宋体" w:hAnsi="宋体" w:cs="宋体"/>
          <w:kern w:val="0"/>
          <w:sz w:val="21"/>
          <w:szCs w:val="24"/>
          <w:lang w:val="zh-CN"/>
        </w:rPr>
        <w:t>）打造海洋信息服务新模式</w:t>
      </w:r>
    </w:p>
    <w:p>
      <w:pPr>
        <w:autoSpaceDE w:val="0"/>
        <w:autoSpaceDN w:val="0"/>
        <w:adjustRightInd w:val="0"/>
        <w:ind w:firstLine="420"/>
        <w:rPr>
          <w:rFonts w:eastAsia="Times New Roman"/>
          <w:kern w:val="0"/>
          <w:sz w:val="21"/>
          <w:szCs w:val="24"/>
          <w:lang w:val="zh-CN"/>
        </w:rPr>
      </w:pPr>
      <w:r>
        <w:rPr>
          <w:rFonts w:hint="eastAsia" w:ascii="宋体" w:hAnsi="宋体" w:cs="宋体"/>
          <w:kern w:val="0"/>
          <w:sz w:val="21"/>
          <w:szCs w:val="24"/>
          <w:lang w:val="zh-CN"/>
        </w:rPr>
        <w:t>海南省海洋与渔业监察总队与海兰信举行《海南环岛近海雷达综合监控信息战略合作协议》的签约仪式。海兰信组织资金建设海南省环岛近海雷达综合监控系统，监察总队购买业务相关数据服务。该模式打破了传统信息化项目建设方法，实现由政府提出政策指导和业务需求，引入社会资本，政府购买专业服务的方式，对助力海南乃至全国海洋渔业信息化建设、智慧海洋建设具有长远的战略示范意义。</w:t>
      </w:r>
    </w:p>
    <w:p>
      <w:pPr>
        <w:autoSpaceDE w:val="0"/>
        <w:autoSpaceDN w:val="0"/>
        <w:adjustRightInd w:val="0"/>
        <w:spacing w:before="0" w:after="0"/>
        <w:ind w:firstLine="422"/>
        <w:jc w:val="left"/>
        <w:rPr>
          <w:rFonts w:eastAsia="Times New Roman"/>
          <w:b/>
          <w:kern w:val="0"/>
          <w:sz w:val="21"/>
          <w:szCs w:val="24"/>
          <w:lang w:val="zh-CN"/>
        </w:rPr>
      </w:pPr>
      <w:r>
        <w:rPr>
          <w:rFonts w:eastAsia="Times New Roman"/>
          <w:b/>
          <w:kern w:val="0"/>
          <w:sz w:val="21"/>
          <w:szCs w:val="24"/>
          <w:lang w:val="zh-CN"/>
        </w:rPr>
        <w:t>5</w:t>
      </w:r>
      <w:r>
        <w:rPr>
          <w:rFonts w:hint="eastAsia" w:ascii="宋体" w:hAnsi="宋体" w:cs="宋体"/>
          <w:b/>
          <w:kern w:val="0"/>
          <w:sz w:val="21"/>
          <w:szCs w:val="24"/>
          <w:lang w:val="zh-CN"/>
        </w:rPr>
        <w:t>、行业旗帜，国家关注</w:t>
      </w:r>
    </w:p>
    <w:p>
      <w:pPr>
        <w:autoSpaceDE w:val="0"/>
        <w:autoSpaceDN w:val="0"/>
        <w:adjustRightInd w:val="0"/>
        <w:ind w:firstLine="360"/>
        <w:rPr>
          <w:rFonts w:eastAsia="Times New Roman"/>
          <w:kern w:val="0"/>
          <w:sz w:val="21"/>
          <w:szCs w:val="24"/>
          <w:lang w:val="zh-CN"/>
        </w:rPr>
      </w:pPr>
      <w:r>
        <w:rPr>
          <w:rFonts w:eastAsia="Times New Roman"/>
          <w:kern w:val="0"/>
          <w:sz w:val="21"/>
          <w:szCs w:val="24"/>
          <w:lang w:val="zh-CN"/>
        </w:rPr>
        <w:t>1</w:t>
      </w:r>
      <w:r>
        <w:rPr>
          <w:rFonts w:hint="eastAsia" w:ascii="宋体" w:hAnsi="宋体" w:cs="宋体"/>
          <w:kern w:val="0"/>
          <w:sz w:val="21"/>
          <w:szCs w:val="24"/>
          <w:lang w:val="zh-CN"/>
        </w:rPr>
        <w:t>）参展第二届军民融合发展高技术成果展，接受党和国家领导人检阅</w:t>
      </w:r>
    </w:p>
    <w:p>
      <w:pPr>
        <w:autoSpaceDE w:val="0"/>
        <w:autoSpaceDN w:val="0"/>
        <w:adjustRightInd w:val="0"/>
        <w:ind w:firstLine="360"/>
        <w:rPr>
          <w:rFonts w:eastAsia="Times New Roman"/>
          <w:kern w:val="0"/>
          <w:sz w:val="21"/>
          <w:szCs w:val="24"/>
          <w:lang w:val="zh-CN"/>
        </w:rPr>
      </w:pPr>
      <w:r>
        <w:rPr>
          <w:rFonts w:hint="eastAsia" w:ascii="宋体" w:hAnsi="宋体" w:cs="宋体"/>
          <w:kern w:val="0"/>
          <w:sz w:val="21"/>
          <w:szCs w:val="24"/>
          <w:lang w:val="zh-CN"/>
        </w:rPr>
        <w:t>第二届军民融合发展高技术成果展</w:t>
      </w:r>
      <w:r>
        <w:rPr>
          <w:rFonts w:eastAsia="Times New Roman"/>
          <w:kern w:val="0"/>
          <w:sz w:val="21"/>
          <w:szCs w:val="24"/>
          <w:lang w:val="zh-CN"/>
        </w:rPr>
        <w:t>9</w:t>
      </w:r>
      <w:r>
        <w:rPr>
          <w:rFonts w:hint="eastAsia" w:ascii="宋体" w:hAnsi="宋体" w:cs="宋体"/>
          <w:kern w:val="0"/>
          <w:sz w:val="21"/>
          <w:szCs w:val="24"/>
          <w:lang w:val="zh-CN"/>
        </w:rPr>
        <w:t>月底拉开帷幕，中共中央总书记、国家主席、中央军委主席习近平，中共中央政治局常委李克强等党和国家领导人参观了展览。海兰信从近千家报名参展的单位中脱颖而出，成为参展的</w:t>
      </w:r>
      <w:r>
        <w:rPr>
          <w:rFonts w:eastAsia="Times New Roman"/>
          <w:kern w:val="0"/>
          <w:sz w:val="21"/>
          <w:szCs w:val="24"/>
          <w:lang w:val="zh-CN"/>
        </w:rPr>
        <w:t>80</w:t>
      </w:r>
      <w:r>
        <w:rPr>
          <w:rFonts w:hint="eastAsia" w:ascii="宋体" w:hAnsi="宋体" w:cs="宋体"/>
          <w:kern w:val="0"/>
          <w:sz w:val="21"/>
          <w:szCs w:val="24"/>
          <w:lang w:val="zh-CN"/>
        </w:rPr>
        <w:t>多家民营企业之一，也是唯一一家专注于海洋领域的民营高科技上市公司，在大型实装展区展出了最新海洋科技产品和综合舰桥系统，并接受了党和国家领导人的检阅。期间，习近平总书记、李克强总理分别来到海兰信展台，听取了海兰信创始人关于企业最新海洋科技产品和公司情况的汇报，询问了海底网设备的技术和应用情况，并进行了交流。</w:t>
      </w:r>
    </w:p>
    <w:p>
      <w:pPr>
        <w:autoSpaceDE w:val="0"/>
        <w:autoSpaceDN w:val="0"/>
        <w:adjustRightInd w:val="0"/>
        <w:ind w:firstLine="420"/>
        <w:rPr>
          <w:rFonts w:eastAsia="Times New Roman"/>
          <w:kern w:val="0"/>
          <w:sz w:val="21"/>
          <w:szCs w:val="24"/>
          <w:lang w:val="zh-CN"/>
        </w:rPr>
      </w:pPr>
      <w:r>
        <w:rPr>
          <w:rFonts w:eastAsia="Times New Roman"/>
          <w:kern w:val="0"/>
          <w:sz w:val="21"/>
          <w:szCs w:val="24"/>
          <w:lang w:val="zh-CN"/>
        </w:rPr>
        <w:t>2</w:t>
      </w:r>
      <w:r>
        <w:rPr>
          <w:rFonts w:hint="eastAsia" w:ascii="宋体" w:hAnsi="宋体" w:cs="宋体"/>
          <w:kern w:val="0"/>
          <w:sz w:val="21"/>
          <w:szCs w:val="24"/>
          <w:lang w:val="zh-CN"/>
        </w:rPr>
        <w:t>）国家</w:t>
      </w:r>
      <w:r>
        <w:rPr>
          <w:rFonts w:eastAsia="Times New Roman"/>
          <w:kern w:val="0"/>
          <w:sz w:val="21"/>
          <w:szCs w:val="24"/>
          <w:lang w:val="zh-CN"/>
        </w:rPr>
        <w:t>“</w:t>
      </w:r>
      <w:r>
        <w:rPr>
          <w:rFonts w:hint="eastAsia" w:ascii="宋体" w:hAnsi="宋体" w:cs="宋体"/>
          <w:kern w:val="0"/>
          <w:sz w:val="21"/>
          <w:szCs w:val="24"/>
          <w:lang w:val="zh-CN"/>
        </w:rPr>
        <w:t>十二五</w:t>
      </w:r>
      <w:r>
        <w:rPr>
          <w:rFonts w:eastAsia="Times New Roman"/>
          <w:kern w:val="0"/>
          <w:sz w:val="21"/>
          <w:szCs w:val="24"/>
          <w:lang w:val="zh-CN"/>
        </w:rPr>
        <w:t>”</w:t>
      </w:r>
      <w:r>
        <w:rPr>
          <w:rFonts w:hint="eastAsia" w:ascii="宋体" w:hAnsi="宋体" w:cs="宋体"/>
          <w:kern w:val="0"/>
          <w:sz w:val="21"/>
          <w:szCs w:val="24"/>
          <w:lang w:val="zh-CN"/>
        </w:rPr>
        <w:t>科技创新成就展开幕</w:t>
      </w:r>
      <w:r>
        <w:rPr>
          <w:rFonts w:eastAsia="Times New Roman"/>
          <w:kern w:val="0"/>
          <w:sz w:val="21"/>
          <w:szCs w:val="24"/>
          <w:lang w:val="zh-CN"/>
        </w:rPr>
        <w:t>  </w:t>
      </w:r>
      <w:r>
        <w:rPr>
          <w:rFonts w:hint="eastAsia" w:ascii="宋体" w:hAnsi="宋体" w:cs="宋体"/>
          <w:kern w:val="0"/>
          <w:sz w:val="21"/>
          <w:szCs w:val="24"/>
          <w:lang w:val="zh-CN"/>
        </w:rPr>
        <w:t>海兰信受到科技部部长万钢亲切关注</w:t>
      </w:r>
    </w:p>
    <w:p>
      <w:pPr>
        <w:autoSpaceDE w:val="0"/>
        <w:autoSpaceDN w:val="0"/>
        <w:adjustRightInd w:val="0"/>
        <w:ind w:firstLine="420"/>
        <w:rPr>
          <w:rFonts w:eastAsia="Times New Roman"/>
          <w:kern w:val="0"/>
          <w:sz w:val="21"/>
          <w:szCs w:val="24"/>
          <w:lang w:val="zh-CN"/>
        </w:rPr>
      </w:pPr>
      <w:r>
        <w:rPr>
          <w:rFonts w:hint="eastAsia" w:ascii="宋体" w:hAnsi="宋体" w:cs="宋体"/>
          <w:kern w:val="0"/>
          <w:sz w:val="21"/>
          <w:szCs w:val="24"/>
          <w:lang w:val="zh-CN"/>
        </w:rPr>
        <w:t>海兰信作为海洋领域科技创新代表，携智能航海和智慧海洋系列展品亮相国家</w:t>
      </w:r>
      <w:r>
        <w:rPr>
          <w:rFonts w:eastAsia="Times New Roman"/>
          <w:kern w:val="0"/>
          <w:sz w:val="21"/>
          <w:szCs w:val="24"/>
          <w:lang w:val="zh-CN"/>
        </w:rPr>
        <w:t>“</w:t>
      </w:r>
      <w:r>
        <w:rPr>
          <w:rFonts w:hint="eastAsia" w:ascii="宋体" w:hAnsi="宋体" w:cs="宋体"/>
          <w:kern w:val="0"/>
          <w:sz w:val="21"/>
          <w:szCs w:val="24"/>
          <w:lang w:val="zh-CN"/>
        </w:rPr>
        <w:t>十二五</w:t>
      </w:r>
      <w:r>
        <w:rPr>
          <w:rFonts w:eastAsia="Times New Roman"/>
          <w:kern w:val="0"/>
          <w:sz w:val="21"/>
          <w:szCs w:val="24"/>
          <w:lang w:val="zh-CN"/>
        </w:rPr>
        <w:t>”</w:t>
      </w:r>
      <w:r>
        <w:rPr>
          <w:rFonts w:hint="eastAsia" w:ascii="宋体" w:hAnsi="宋体" w:cs="宋体"/>
          <w:kern w:val="0"/>
          <w:sz w:val="21"/>
          <w:szCs w:val="24"/>
          <w:lang w:val="zh-CN"/>
        </w:rPr>
        <w:t>科技创新成就展。期间，中共中央政治局常委、全国政协主席俞正声，国家科技部部长万钢、科技部火炬中心主任张志宏等有关领导莅临公司展台指导参观。</w:t>
      </w:r>
    </w:p>
    <w:p>
      <w:pPr>
        <w:autoSpaceDE w:val="0"/>
        <w:autoSpaceDN w:val="0"/>
        <w:adjustRightInd w:val="0"/>
        <w:ind w:firstLine="420"/>
        <w:rPr>
          <w:rFonts w:eastAsia="Times New Roman"/>
          <w:kern w:val="0"/>
          <w:sz w:val="21"/>
          <w:szCs w:val="24"/>
          <w:lang w:val="zh-CN"/>
        </w:rPr>
      </w:pPr>
      <w:r>
        <w:rPr>
          <w:rFonts w:eastAsia="Times New Roman"/>
          <w:kern w:val="0"/>
          <w:sz w:val="21"/>
          <w:szCs w:val="24"/>
          <w:lang w:val="zh-CN"/>
        </w:rPr>
        <w:t>3</w:t>
      </w:r>
      <w:r>
        <w:rPr>
          <w:rFonts w:hint="eastAsia" w:ascii="宋体" w:hAnsi="宋体" w:cs="宋体"/>
          <w:kern w:val="0"/>
          <w:sz w:val="21"/>
          <w:szCs w:val="24"/>
          <w:lang w:val="zh-CN"/>
        </w:rPr>
        <w:t>）海洋系列盛宴，奠定业内领军地位</w:t>
      </w:r>
    </w:p>
    <w:p>
      <w:pPr>
        <w:autoSpaceDE w:val="0"/>
        <w:autoSpaceDN w:val="0"/>
        <w:adjustRightInd w:val="0"/>
        <w:ind w:firstLine="420"/>
        <w:rPr>
          <w:rFonts w:eastAsia="Times New Roman"/>
          <w:kern w:val="0"/>
          <w:sz w:val="21"/>
          <w:szCs w:val="24"/>
          <w:lang w:val="zh-CN"/>
        </w:rPr>
      </w:pPr>
      <w:r>
        <w:rPr>
          <w:rFonts w:hint="eastAsia" w:ascii="宋体" w:hAnsi="宋体" w:cs="宋体"/>
          <w:kern w:val="0"/>
          <w:sz w:val="21"/>
          <w:szCs w:val="24"/>
          <w:lang w:val="zh-CN"/>
        </w:rPr>
        <w:t>海兰信下属控股子公司劳雷产业作为海洋届的翘楚，组织并参与业内知名的展览交流盛会，如伦敦</w:t>
      </w:r>
      <w:r>
        <w:rPr>
          <w:rFonts w:eastAsia="Times New Roman"/>
          <w:kern w:val="0"/>
          <w:sz w:val="21"/>
          <w:szCs w:val="24"/>
          <w:lang w:val="zh-CN"/>
        </w:rPr>
        <w:t>OI</w:t>
      </w:r>
      <w:r>
        <w:rPr>
          <w:rFonts w:hint="eastAsia" w:ascii="宋体" w:hAnsi="宋体" w:cs="宋体"/>
          <w:kern w:val="0"/>
          <w:sz w:val="21"/>
          <w:szCs w:val="24"/>
          <w:lang w:val="zh-CN"/>
        </w:rPr>
        <w:t>展会、上海</w:t>
      </w:r>
      <w:r>
        <w:rPr>
          <w:rFonts w:eastAsia="Times New Roman"/>
          <w:kern w:val="0"/>
          <w:sz w:val="21"/>
          <w:szCs w:val="24"/>
          <w:lang w:val="zh-CN"/>
        </w:rPr>
        <w:t>OCEANS16</w:t>
      </w:r>
      <w:r>
        <w:rPr>
          <w:rFonts w:hint="eastAsia" w:ascii="宋体" w:hAnsi="宋体" w:cs="宋体"/>
          <w:kern w:val="0"/>
          <w:sz w:val="21"/>
          <w:szCs w:val="24"/>
          <w:lang w:val="zh-CN"/>
        </w:rPr>
        <w:t>国际海洋科技会议、</w:t>
      </w:r>
      <w:r>
        <w:rPr>
          <w:rFonts w:eastAsia="Times New Roman"/>
          <w:kern w:val="0"/>
          <w:sz w:val="21"/>
          <w:szCs w:val="24"/>
          <w:lang w:val="zh-CN"/>
        </w:rPr>
        <w:t>2016</w:t>
      </w:r>
      <w:r>
        <w:rPr>
          <w:rFonts w:hint="eastAsia" w:ascii="宋体" w:hAnsi="宋体" w:cs="宋体"/>
          <w:kern w:val="0"/>
          <w:sz w:val="21"/>
          <w:szCs w:val="24"/>
          <w:lang w:val="zh-CN"/>
        </w:rPr>
        <w:t>中国（青岛）国际海洋科技展览会，并参加第二十八届海洋测绘综合性学术研讨会、第三届海洋雷达亚太区会议、第三届海底观测科学大会、中国海洋湖沼学会海口学术交流会，代表业内领军企业发言分享。</w:t>
      </w:r>
    </w:p>
    <w:p>
      <w:pPr>
        <w:autoSpaceDE w:val="0"/>
        <w:autoSpaceDN w:val="0"/>
        <w:adjustRightInd w:val="0"/>
        <w:spacing w:before="0" w:after="0"/>
        <w:ind w:firstLine="422"/>
        <w:jc w:val="left"/>
        <w:rPr>
          <w:rFonts w:eastAsia="Times New Roman"/>
          <w:b/>
          <w:kern w:val="0"/>
          <w:sz w:val="21"/>
          <w:szCs w:val="24"/>
          <w:lang w:val="zh-CN"/>
        </w:rPr>
      </w:pPr>
      <w:r>
        <w:rPr>
          <w:rFonts w:eastAsia="Times New Roman"/>
          <w:b/>
          <w:kern w:val="0"/>
          <w:sz w:val="21"/>
          <w:szCs w:val="24"/>
          <w:lang w:val="zh-CN"/>
        </w:rPr>
        <w:t>6</w:t>
      </w:r>
      <w:r>
        <w:rPr>
          <w:rFonts w:hint="eastAsia" w:ascii="宋体" w:hAnsi="宋体" w:cs="宋体"/>
          <w:b/>
          <w:kern w:val="0"/>
          <w:sz w:val="21"/>
          <w:szCs w:val="24"/>
          <w:lang w:val="zh-CN"/>
        </w:rPr>
        <w:t>、深入抓好党建工作</w:t>
      </w:r>
    </w:p>
    <w:p>
      <w:pPr>
        <w:autoSpaceDE w:val="0"/>
        <w:autoSpaceDN w:val="0"/>
        <w:adjustRightInd w:val="0"/>
        <w:spacing w:after="150"/>
        <w:ind w:firstLine="480"/>
        <w:jc w:val="left"/>
        <w:rPr>
          <w:rFonts w:eastAsia="Times New Roman"/>
          <w:kern w:val="0"/>
          <w:sz w:val="21"/>
          <w:szCs w:val="24"/>
          <w:lang w:val="zh-CN"/>
        </w:rPr>
      </w:pPr>
      <w:r>
        <w:rPr>
          <w:rFonts w:eastAsia="Times New Roman"/>
          <w:kern w:val="0"/>
          <w:sz w:val="21"/>
          <w:szCs w:val="24"/>
          <w:lang w:val="zh-CN"/>
        </w:rPr>
        <w:t>2016</w:t>
      </w:r>
      <w:r>
        <w:rPr>
          <w:rFonts w:hint="eastAsia" w:ascii="宋体" w:hAnsi="宋体" w:cs="宋体"/>
          <w:kern w:val="0"/>
          <w:sz w:val="21"/>
          <w:szCs w:val="24"/>
          <w:lang w:val="zh-CN"/>
        </w:rPr>
        <w:t>年，海兰信党支部围绕思想建设、岗位创优、员工关爱，深入抓党建、促党建，基本形成了发展抓党建、抓好党建促发展的思路。</w:t>
      </w:r>
    </w:p>
    <w:p>
      <w:pPr>
        <w:autoSpaceDE w:val="0"/>
        <w:autoSpaceDN w:val="0"/>
        <w:adjustRightInd w:val="0"/>
        <w:spacing w:after="150"/>
        <w:ind w:firstLine="480"/>
        <w:jc w:val="left"/>
        <w:rPr>
          <w:rFonts w:eastAsia="Times New Roman"/>
          <w:kern w:val="0"/>
          <w:sz w:val="21"/>
          <w:szCs w:val="24"/>
          <w:lang w:val="zh-CN"/>
        </w:rPr>
      </w:pPr>
      <w:r>
        <w:rPr>
          <w:rFonts w:hint="eastAsia" w:ascii="宋体" w:hAnsi="宋体" w:cs="宋体"/>
          <w:kern w:val="0"/>
          <w:sz w:val="21"/>
          <w:szCs w:val="24"/>
          <w:lang w:val="zh-CN"/>
        </w:rPr>
        <w:t>首先，坚持思想建设常抓不懈。支部始终坚持利用</w:t>
      </w:r>
      <w:r>
        <w:rPr>
          <w:rFonts w:eastAsia="Times New Roman"/>
          <w:kern w:val="0"/>
          <w:sz w:val="21"/>
          <w:szCs w:val="24"/>
          <w:lang w:val="zh-CN"/>
        </w:rPr>
        <w:t>“</w:t>
      </w:r>
      <w:r>
        <w:rPr>
          <w:rFonts w:hint="eastAsia" w:ascii="宋体" w:hAnsi="宋体" w:cs="宋体"/>
          <w:kern w:val="0"/>
          <w:sz w:val="21"/>
          <w:szCs w:val="24"/>
          <w:lang w:val="zh-CN"/>
        </w:rPr>
        <w:t>三会一课</w:t>
      </w:r>
      <w:r>
        <w:rPr>
          <w:rFonts w:eastAsia="Times New Roman"/>
          <w:kern w:val="0"/>
          <w:sz w:val="21"/>
          <w:szCs w:val="24"/>
          <w:lang w:val="zh-CN"/>
        </w:rPr>
        <w:t>”</w:t>
      </w:r>
      <w:r>
        <w:rPr>
          <w:rFonts w:hint="eastAsia" w:ascii="宋体" w:hAnsi="宋体" w:cs="宋体"/>
          <w:kern w:val="0"/>
          <w:sz w:val="21"/>
          <w:szCs w:val="24"/>
          <w:lang w:val="zh-CN"/>
        </w:rPr>
        <w:t>，学习宣传党的路线方针政策、习总书记系列重要讲话，用党的最新理论武装党员头脑。其次，坚持履职尽责岗位创优。</w:t>
      </w:r>
      <w:r>
        <w:rPr>
          <w:rFonts w:eastAsia="Times New Roman"/>
          <w:kern w:val="0"/>
          <w:sz w:val="21"/>
          <w:szCs w:val="24"/>
          <w:lang w:val="zh-CN"/>
        </w:rPr>
        <w:t>2016</w:t>
      </w:r>
      <w:r>
        <w:rPr>
          <w:rFonts w:hint="eastAsia" w:ascii="宋体" w:hAnsi="宋体" w:cs="宋体"/>
          <w:kern w:val="0"/>
          <w:sz w:val="21"/>
          <w:szCs w:val="24"/>
          <w:lang w:val="zh-CN"/>
        </w:rPr>
        <w:t>年，支部党员累计提出合理化建议近百条，涵盖管理、技术路线、采购物流、工艺、安全等多个方面，为公司直接带来经济效益</w:t>
      </w:r>
      <w:r>
        <w:rPr>
          <w:rFonts w:eastAsia="Times New Roman"/>
          <w:kern w:val="0"/>
          <w:sz w:val="21"/>
          <w:szCs w:val="24"/>
          <w:lang w:val="zh-CN"/>
        </w:rPr>
        <w:t>500</w:t>
      </w:r>
      <w:r>
        <w:rPr>
          <w:rFonts w:hint="eastAsia" w:ascii="宋体" w:hAnsi="宋体" w:cs="宋体"/>
          <w:kern w:val="0"/>
          <w:sz w:val="21"/>
          <w:szCs w:val="24"/>
          <w:lang w:val="zh-CN"/>
        </w:rPr>
        <w:t>多万元。在关爱员工方面，党员始终站在第一线。针对部分员工家庭困难、孩子看病化疗等急需资金的问题，党员自发捐款，并带动其他员工捐款数万元，及时交到员工手中，形成了相互帮助、患难扶持的良好风气。</w:t>
      </w:r>
    </w:p>
    <w:p>
      <w:pPr>
        <w:autoSpaceDE w:val="0"/>
        <w:autoSpaceDN w:val="0"/>
        <w:adjustRightInd w:val="0"/>
        <w:spacing w:after="150"/>
        <w:ind w:firstLine="480"/>
        <w:jc w:val="left"/>
        <w:rPr>
          <w:rFonts w:eastAsia="Times New Roman"/>
          <w:kern w:val="0"/>
          <w:sz w:val="21"/>
          <w:szCs w:val="24"/>
          <w:lang w:val="zh-CN"/>
        </w:rPr>
      </w:pPr>
      <w:r>
        <w:rPr>
          <w:rFonts w:hint="eastAsia" w:ascii="宋体" w:hAnsi="宋体" w:cs="宋体"/>
          <w:kern w:val="0"/>
          <w:sz w:val="21"/>
          <w:szCs w:val="24"/>
          <w:lang w:val="zh-CN"/>
        </w:rPr>
        <w:t>未来，支部将严格按照党章要求，深入做好</w:t>
      </w:r>
      <w:r>
        <w:rPr>
          <w:rFonts w:eastAsia="Times New Roman"/>
          <w:kern w:val="0"/>
          <w:sz w:val="21"/>
          <w:szCs w:val="24"/>
          <w:lang w:val="zh-CN"/>
        </w:rPr>
        <w:t>“</w:t>
      </w:r>
      <w:r>
        <w:rPr>
          <w:rFonts w:hint="eastAsia" w:ascii="宋体" w:hAnsi="宋体" w:cs="宋体"/>
          <w:kern w:val="0"/>
          <w:sz w:val="21"/>
          <w:szCs w:val="24"/>
          <w:lang w:val="zh-CN"/>
        </w:rPr>
        <w:t>两新</w:t>
      </w:r>
      <w:r>
        <w:rPr>
          <w:rFonts w:eastAsia="Times New Roman"/>
          <w:kern w:val="0"/>
          <w:sz w:val="21"/>
          <w:szCs w:val="24"/>
          <w:lang w:val="zh-CN"/>
        </w:rPr>
        <w:t>”</w:t>
      </w:r>
      <w:r>
        <w:rPr>
          <w:rFonts w:hint="eastAsia" w:ascii="宋体" w:hAnsi="宋体" w:cs="宋体"/>
          <w:kern w:val="0"/>
          <w:sz w:val="21"/>
          <w:szCs w:val="24"/>
          <w:lang w:val="zh-CN"/>
        </w:rPr>
        <w:t>组织的党组织党建工作，深入贯彻落实党的路线、方针和政策，从党建活动载体、党建工作制度等方面入手，充分发挥党组织的战斗堡垒作用和党员的先锋模范作用。</w:t>
      </w:r>
    </w:p>
    <w:p>
      <w:pPr>
        <w:pStyle w:val="10"/>
        <w:outlineLvl w:val="1"/>
        <w:rPr>
          <w:bCs w:val="0"/>
        </w:rPr>
      </w:pPr>
      <w:r>
        <w:rPr>
          <w:rFonts w:hint="eastAsia"/>
          <w:bCs w:val="0"/>
        </w:rPr>
        <w:t>二、主营业务分析</w:t>
      </w:r>
    </w:p>
    <w:p>
      <w:pPr>
        <w:pStyle w:val="11"/>
        <w:outlineLvl w:val="2"/>
        <w:rPr>
          <w:bCs w:val="0"/>
          <w:szCs w:val="24"/>
        </w:rPr>
      </w:pPr>
      <w:r>
        <w:rPr>
          <w:bCs w:val="0"/>
          <w:szCs w:val="24"/>
        </w:rPr>
        <w:t>1</w:t>
      </w:r>
      <w:r>
        <w:rPr>
          <w:rFonts w:hint="eastAsia"/>
          <w:bCs w:val="0"/>
          <w:szCs w:val="24"/>
        </w:rPr>
        <w:t>、概述</w:t>
      </w:r>
    </w:p>
    <w:p>
      <w:pPr>
        <w:jc w:val="left"/>
        <w:rPr>
          <w:szCs w:val="24"/>
        </w:rPr>
      </w:pPr>
      <w:r>
        <w:rPr>
          <w:rFonts w:hint="eastAsia"/>
          <w:szCs w:val="24"/>
        </w:rPr>
        <w:t>参见</w:t>
      </w:r>
      <w:r>
        <w:rPr>
          <w:szCs w:val="24"/>
        </w:rPr>
        <w:t>“</w:t>
      </w:r>
      <w:r>
        <w:rPr>
          <w:rFonts w:hint="eastAsia"/>
          <w:szCs w:val="24"/>
        </w:rPr>
        <w:t>经营情况讨论与分析</w:t>
      </w:r>
      <w:r>
        <w:rPr>
          <w:szCs w:val="24"/>
        </w:rPr>
        <w:t>”</w:t>
      </w:r>
      <w:r>
        <w:rPr>
          <w:rFonts w:hint="eastAsia"/>
          <w:szCs w:val="24"/>
        </w:rPr>
        <w:t>中的</w:t>
      </w:r>
      <w:r>
        <w:rPr>
          <w:szCs w:val="24"/>
        </w:rPr>
        <w:t>“</w:t>
      </w:r>
      <w:r>
        <w:rPr>
          <w:rFonts w:hint="eastAsia"/>
          <w:szCs w:val="24"/>
        </w:rPr>
        <w:t>一、概述</w:t>
      </w:r>
      <w:r>
        <w:rPr>
          <w:szCs w:val="24"/>
        </w:rPr>
        <w:t>”</w:t>
      </w:r>
      <w:r>
        <w:rPr>
          <w:rFonts w:hint="eastAsia"/>
          <w:szCs w:val="24"/>
        </w:rPr>
        <w:t>相关内容。</w:t>
      </w:r>
    </w:p>
    <w:p>
      <w:pPr>
        <w:pStyle w:val="11"/>
        <w:outlineLvl w:val="2"/>
        <w:rPr>
          <w:bCs w:val="0"/>
          <w:szCs w:val="24"/>
        </w:rPr>
      </w:pPr>
      <w:r>
        <w:rPr>
          <w:bCs w:val="0"/>
          <w:szCs w:val="24"/>
        </w:rPr>
        <w:t>2</w:t>
      </w:r>
      <w:r>
        <w:rPr>
          <w:rFonts w:hint="eastAsia"/>
          <w:bCs w:val="0"/>
          <w:szCs w:val="24"/>
        </w:rPr>
        <w:t>、收入与成本</w:t>
      </w:r>
    </w:p>
    <w:p>
      <w:pPr>
        <w:pStyle w:val="11"/>
        <w:outlineLvl w:val="3"/>
        <w:rPr>
          <w:bCs w:val="0"/>
          <w:szCs w:val="24"/>
        </w:rPr>
      </w:pPr>
      <w:r>
        <w:rPr>
          <w:rFonts w:hint="eastAsia"/>
          <w:bCs w:val="0"/>
          <w:szCs w:val="24"/>
        </w:rPr>
        <w:t>（</w:t>
      </w:r>
      <w:r>
        <w:rPr>
          <w:bCs w:val="0"/>
          <w:szCs w:val="24"/>
        </w:rPr>
        <w:t>1</w:t>
      </w:r>
      <w:r>
        <w:rPr>
          <w:rFonts w:hint="eastAsia"/>
          <w:bCs w:val="0"/>
          <w:szCs w:val="24"/>
        </w:rPr>
        <w:t>）营业收入构成</w:t>
      </w:r>
    </w:p>
    <w:p>
      <w:pPr>
        <w:jc w:val="left"/>
        <w:rPr>
          <w:szCs w:val="24"/>
        </w:rPr>
      </w:pPr>
      <w:r>
        <w:rPr>
          <w:rFonts w:hint="eastAsia"/>
          <w:szCs w:val="24"/>
        </w:rPr>
        <w:t>公司是否需要遵守光伏产业链相关业的披露要求</w:t>
      </w:r>
    </w:p>
    <w:p>
      <w:pPr>
        <w:jc w:val="left"/>
        <w:rPr>
          <w:szCs w:val="24"/>
        </w:rPr>
      </w:pPr>
      <w:r>
        <w:rPr>
          <w:rFonts w:hint="eastAsia"/>
          <w:szCs w:val="24"/>
        </w:rPr>
        <w:t>是</w:t>
      </w:r>
    </w:p>
    <w:p>
      <w:pPr>
        <w:jc w:val="left"/>
        <w:rPr>
          <w:szCs w:val="24"/>
        </w:rPr>
      </w:pPr>
      <w:r>
        <w:rPr>
          <w:rFonts w:hint="eastAsia"/>
          <w:szCs w:val="24"/>
        </w:rPr>
        <w:t>公司需遵守《深圳证券交易所创业板行业信息披露指引第</w:t>
      </w:r>
      <w:r>
        <w:rPr>
          <w:szCs w:val="24"/>
        </w:rPr>
        <w:t>3</w:t>
      </w:r>
      <w:r>
        <w:rPr>
          <w:rFonts w:hint="eastAsia"/>
          <w:szCs w:val="24"/>
        </w:rPr>
        <w:t>号</w:t>
      </w:r>
      <w:r>
        <w:rPr>
          <w:szCs w:val="24"/>
        </w:rPr>
        <w:t>——</w:t>
      </w:r>
      <w:r>
        <w:rPr>
          <w:rFonts w:hint="eastAsia"/>
          <w:szCs w:val="24"/>
        </w:rPr>
        <w:t>上市公司从事光伏产业链相关业务》的披露要求：</w:t>
      </w:r>
    </w:p>
    <w:p>
      <w:pPr>
        <w:jc w:val="left"/>
        <w:rPr>
          <w:szCs w:val="24"/>
        </w:rPr>
      </w:pPr>
      <w:r>
        <w:rPr>
          <w:rFonts w:hint="eastAsia"/>
          <w:szCs w:val="24"/>
        </w:rPr>
        <w:t>营业收入整体情况</w:t>
      </w:r>
    </w:p>
    <w:p>
      <w:pPr>
        <w:jc w:val="right"/>
        <w:rPr>
          <w:szCs w:val="24"/>
        </w:rPr>
      </w:pPr>
      <w:r>
        <w:rPr>
          <w:rFonts w:hint="eastAsia"/>
          <w:szCs w:val="24"/>
        </w:rPr>
        <w:t>单位：元</w:t>
      </w:r>
    </w:p>
    <w:tbl>
      <w:tblPr>
        <w:tblStyle w:val="8"/>
        <w:tblW w:w="9566" w:type="dxa"/>
        <w:tblInd w:w="28" w:type="dxa"/>
        <w:tblLayout w:type="fixed"/>
        <w:tblCellMar>
          <w:top w:w="0" w:type="dxa"/>
          <w:left w:w="28" w:type="dxa"/>
          <w:bottom w:w="0" w:type="dxa"/>
          <w:right w:w="28" w:type="dxa"/>
        </w:tblCellMar>
      </w:tblPr>
      <w:tblGrid>
        <w:gridCol w:w="1596"/>
        <w:gridCol w:w="1594"/>
        <w:gridCol w:w="1594"/>
        <w:gridCol w:w="1594"/>
        <w:gridCol w:w="1594"/>
        <w:gridCol w:w="1594"/>
      </w:tblGrid>
      <w:tr>
        <w:tblPrEx>
          <w:tblLayout w:type="fixed"/>
          <w:tblCellMar>
            <w:top w:w="0" w:type="dxa"/>
            <w:left w:w="28" w:type="dxa"/>
            <w:bottom w:w="0" w:type="dxa"/>
            <w:right w:w="28" w:type="dxa"/>
          </w:tblCellMar>
        </w:tblPrEx>
        <w:tc>
          <w:tcPr>
            <w:tcW w:w="1596"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p>
        </w:tc>
        <w:tc>
          <w:tcPr>
            <w:tcW w:w="3188"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2016</w:t>
            </w:r>
            <w:r>
              <w:rPr>
                <w:rFonts w:hint="eastAsia"/>
                <w:szCs w:val="24"/>
              </w:rPr>
              <w:t>年</w:t>
            </w:r>
          </w:p>
        </w:tc>
        <w:tc>
          <w:tcPr>
            <w:tcW w:w="3188"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2015</w:t>
            </w:r>
            <w:r>
              <w:rPr>
                <w:rFonts w:hint="eastAsia"/>
                <w:szCs w:val="24"/>
              </w:rPr>
              <w:t>年</w:t>
            </w:r>
          </w:p>
        </w:tc>
        <w:tc>
          <w:tcPr>
            <w:tcW w:w="1594"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同比增减</w:t>
            </w:r>
          </w:p>
        </w:tc>
      </w:tr>
      <w:tr>
        <w:tblPrEx>
          <w:tblLayout w:type="fixed"/>
          <w:tblCellMar>
            <w:top w:w="0" w:type="dxa"/>
            <w:left w:w="28" w:type="dxa"/>
            <w:bottom w:w="0" w:type="dxa"/>
            <w:right w:w="28" w:type="dxa"/>
          </w:tblCellMar>
        </w:tblPrEx>
        <w:tc>
          <w:tcPr>
            <w:tcW w:w="1596" w:type="dxa"/>
            <w:vMerge w:val="continue"/>
            <w:tcBorders>
              <w:top w:val="single" w:color="auto" w:sz="4" w:space="0"/>
              <w:left w:val="single" w:color="auto" w:sz="4" w:space="0"/>
              <w:bottom w:val="single" w:color="auto" w:sz="4" w:space="0"/>
              <w:right w:val="single" w:color="auto" w:sz="4" w:space="0"/>
            </w:tcBorders>
            <w:vAlign w:val="center"/>
          </w:tcPr>
          <w:p>
            <w:pPr>
              <w:jc w:val="center"/>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金额</w:t>
            </w:r>
          </w:p>
        </w:tc>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占营业收入比重</w:t>
            </w:r>
          </w:p>
        </w:tc>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金额</w:t>
            </w:r>
          </w:p>
        </w:tc>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占营业收入比重</w:t>
            </w:r>
          </w:p>
        </w:tc>
        <w:tc>
          <w:tcPr>
            <w:tcW w:w="1594" w:type="dxa"/>
            <w:vMerge w:val="continue"/>
            <w:tcBorders>
              <w:top w:val="single" w:color="auto" w:sz="4" w:space="0"/>
              <w:left w:val="single" w:color="auto" w:sz="4" w:space="0"/>
              <w:bottom w:val="single" w:color="auto" w:sz="4" w:space="0"/>
              <w:right w:val="single" w:color="auto" w:sz="4" w:space="0"/>
            </w:tcBorders>
            <w:vAlign w:val="center"/>
          </w:tcPr>
          <w:p>
            <w:pPr>
              <w:jc w:val="center"/>
              <w:rPr>
                <w:szCs w:val="24"/>
              </w:rPr>
            </w:pPr>
          </w:p>
        </w:tc>
      </w:tr>
      <w:tr>
        <w:tblPrEx>
          <w:tblLayout w:type="fixed"/>
          <w:tblCellMar>
            <w:top w:w="0" w:type="dxa"/>
            <w:left w:w="28" w:type="dxa"/>
            <w:bottom w:w="0" w:type="dxa"/>
            <w:right w:w="28" w:type="dxa"/>
          </w:tblCellMar>
        </w:tblPrEx>
        <w:tc>
          <w:tcPr>
            <w:tcW w:w="159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营业收入合计</w:t>
            </w:r>
          </w:p>
        </w:tc>
        <w:tc>
          <w:tcPr>
            <w:tcW w:w="1594" w:type="dxa"/>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716,569,929.16</w:t>
            </w:r>
          </w:p>
        </w:tc>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right"/>
              <w:rPr>
                <w:szCs w:val="24"/>
              </w:rPr>
            </w:pPr>
            <w:r>
              <w:rPr>
                <w:szCs w:val="24"/>
              </w:rPr>
              <w:t>100%</w:t>
            </w:r>
          </w:p>
        </w:tc>
        <w:tc>
          <w:tcPr>
            <w:tcW w:w="1594" w:type="dxa"/>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327,812,510.49</w:t>
            </w:r>
          </w:p>
        </w:tc>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right"/>
              <w:rPr>
                <w:szCs w:val="24"/>
              </w:rPr>
            </w:pPr>
            <w:r>
              <w:rPr>
                <w:szCs w:val="24"/>
              </w:rPr>
              <w:t>100%</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118.59%</w:t>
            </w:r>
          </w:p>
        </w:tc>
      </w:tr>
      <w:tr>
        <w:tblPrEx>
          <w:tblLayout w:type="fixed"/>
          <w:tblCellMar>
            <w:top w:w="0" w:type="dxa"/>
            <w:left w:w="28" w:type="dxa"/>
            <w:bottom w:w="0" w:type="dxa"/>
            <w:right w:w="28" w:type="dxa"/>
          </w:tblCellMar>
        </w:tblPrEx>
        <w:tc>
          <w:tcPr>
            <w:tcW w:w="9566" w:type="dxa"/>
            <w:gridSpan w:val="6"/>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分行业</w:t>
            </w:r>
          </w:p>
        </w:tc>
      </w:tr>
      <w:tr>
        <w:tblPrEx>
          <w:tblLayout w:type="fixed"/>
          <w:tblCellMar>
            <w:top w:w="0" w:type="dxa"/>
            <w:left w:w="28" w:type="dxa"/>
            <w:bottom w:w="0" w:type="dxa"/>
            <w:right w:w="28" w:type="dxa"/>
          </w:tblCellMar>
        </w:tblPrEx>
        <w:tc>
          <w:tcPr>
            <w:tcW w:w="15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海洋行业</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487,066,141.72</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67.97%</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15,397,271.27</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4.70%</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3,063.33%</w:t>
            </w:r>
          </w:p>
        </w:tc>
      </w:tr>
      <w:tr>
        <w:tblPrEx>
          <w:tblLayout w:type="fixed"/>
          <w:tblCellMar>
            <w:top w:w="0" w:type="dxa"/>
            <w:left w:w="28" w:type="dxa"/>
            <w:bottom w:w="0" w:type="dxa"/>
            <w:right w:w="28" w:type="dxa"/>
          </w:tblCellMar>
        </w:tblPrEx>
        <w:tc>
          <w:tcPr>
            <w:tcW w:w="15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海事行业</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206,776,335.31</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28.86%</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289,170,516.56</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88.21%</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-28.49%</w:t>
            </w:r>
          </w:p>
        </w:tc>
      </w:tr>
      <w:tr>
        <w:tblPrEx>
          <w:tblLayout w:type="fixed"/>
          <w:tblCellMar>
            <w:top w:w="0" w:type="dxa"/>
            <w:left w:w="28" w:type="dxa"/>
            <w:bottom w:w="0" w:type="dxa"/>
            <w:right w:w="28" w:type="dxa"/>
          </w:tblCellMar>
        </w:tblPrEx>
        <w:tc>
          <w:tcPr>
            <w:tcW w:w="15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环保行业</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22,727,452.13</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3.17%</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23,244,722.66</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7.09%</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-2.23%</w:t>
            </w:r>
          </w:p>
        </w:tc>
      </w:tr>
      <w:tr>
        <w:tblPrEx>
          <w:tblLayout w:type="fixed"/>
          <w:tblCellMar>
            <w:top w:w="0" w:type="dxa"/>
            <w:left w:w="28" w:type="dxa"/>
            <w:bottom w:w="0" w:type="dxa"/>
            <w:right w:w="28" w:type="dxa"/>
          </w:tblCellMar>
        </w:tblPrEx>
        <w:tc>
          <w:tcPr>
            <w:tcW w:w="9566" w:type="dxa"/>
            <w:gridSpan w:val="6"/>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分产品</w:t>
            </w:r>
          </w:p>
        </w:tc>
      </w:tr>
      <w:tr>
        <w:tblPrEx>
          <w:tblLayout w:type="fixed"/>
          <w:tblCellMar>
            <w:top w:w="0" w:type="dxa"/>
            <w:left w:w="28" w:type="dxa"/>
            <w:bottom w:w="0" w:type="dxa"/>
            <w:right w:w="28" w:type="dxa"/>
          </w:tblCellMar>
        </w:tblPrEx>
        <w:tc>
          <w:tcPr>
            <w:tcW w:w="15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海洋观（探）测仪器、装备与系统</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487,066,141.72</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67.97%</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15,397,271.27</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4.70%</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3,063.33%</w:t>
            </w:r>
          </w:p>
        </w:tc>
      </w:tr>
      <w:tr>
        <w:tblPrEx>
          <w:tblLayout w:type="fixed"/>
          <w:tblCellMar>
            <w:top w:w="0" w:type="dxa"/>
            <w:left w:w="28" w:type="dxa"/>
            <w:bottom w:w="0" w:type="dxa"/>
            <w:right w:w="28" w:type="dxa"/>
          </w:tblCellMar>
        </w:tblPrEx>
        <w:tc>
          <w:tcPr>
            <w:tcW w:w="15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海事综合导航、智能装备与系统</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206,776,335.31</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28.86%</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289,170,516.56</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88.21%</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-28.49%</w:t>
            </w:r>
          </w:p>
        </w:tc>
      </w:tr>
      <w:tr>
        <w:tblPrEx>
          <w:tblLayout w:type="fixed"/>
          <w:tblCellMar>
            <w:top w:w="0" w:type="dxa"/>
            <w:left w:w="28" w:type="dxa"/>
            <w:bottom w:w="0" w:type="dxa"/>
            <w:right w:w="28" w:type="dxa"/>
          </w:tblCellMar>
        </w:tblPrEx>
        <w:tc>
          <w:tcPr>
            <w:tcW w:w="15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环境监测仪器与系统</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22,727,452.13</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3.17%</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23,244,722.66</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7.09%</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-2.23%</w:t>
            </w:r>
          </w:p>
        </w:tc>
      </w:tr>
      <w:tr>
        <w:tblPrEx>
          <w:tblLayout w:type="fixed"/>
          <w:tblCellMar>
            <w:top w:w="0" w:type="dxa"/>
            <w:left w:w="28" w:type="dxa"/>
            <w:bottom w:w="0" w:type="dxa"/>
            <w:right w:w="28" w:type="dxa"/>
          </w:tblCellMar>
        </w:tblPrEx>
        <w:tc>
          <w:tcPr>
            <w:tcW w:w="9566" w:type="dxa"/>
            <w:gridSpan w:val="6"/>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分地区</w:t>
            </w:r>
          </w:p>
        </w:tc>
      </w:tr>
      <w:tr>
        <w:tblPrEx>
          <w:tblLayout w:type="fixed"/>
          <w:tblCellMar>
            <w:top w:w="0" w:type="dxa"/>
            <w:left w:w="28" w:type="dxa"/>
            <w:bottom w:w="0" w:type="dxa"/>
            <w:right w:w="28" w:type="dxa"/>
          </w:tblCellMar>
        </w:tblPrEx>
        <w:tc>
          <w:tcPr>
            <w:tcW w:w="15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国内</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693,594,738.76</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96.79%</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294,811,194.18</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89.93%</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135.27%</w:t>
            </w:r>
          </w:p>
        </w:tc>
      </w:tr>
      <w:tr>
        <w:tblPrEx>
          <w:tblLayout w:type="fixed"/>
          <w:tblCellMar>
            <w:top w:w="0" w:type="dxa"/>
            <w:left w:w="28" w:type="dxa"/>
            <w:bottom w:w="0" w:type="dxa"/>
            <w:right w:w="28" w:type="dxa"/>
          </w:tblCellMar>
        </w:tblPrEx>
        <w:tc>
          <w:tcPr>
            <w:tcW w:w="15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国外</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22,975,190.40</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3.21%</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33,001,316.31</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10.07%</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-30.38%</w:t>
            </w:r>
          </w:p>
        </w:tc>
      </w:tr>
    </w:tbl>
    <w:p>
      <w:pPr>
        <w:jc w:val="left"/>
        <w:rPr>
          <w:szCs w:val="24"/>
        </w:rPr>
      </w:pPr>
      <w:r>
        <w:rPr>
          <w:rFonts w:hint="eastAsia"/>
          <w:szCs w:val="24"/>
        </w:rPr>
        <w:t>不同技术类别产销情况</w:t>
      </w:r>
    </w:p>
    <w:p>
      <w:pPr>
        <w:jc w:val="right"/>
        <w:rPr>
          <w:szCs w:val="24"/>
        </w:rPr>
      </w:pPr>
      <w:r>
        <w:rPr>
          <w:rFonts w:hint="eastAsia"/>
          <w:szCs w:val="24"/>
        </w:rPr>
        <w:t>单位：</w:t>
      </w:r>
      <w:r>
        <w:rPr>
          <w:szCs w:val="24"/>
        </w:rPr>
        <w:t xml:space="preserve"> </w:t>
      </w:r>
      <w:r>
        <w:rPr>
          <w:rFonts w:hint="eastAsia"/>
          <w:szCs w:val="24"/>
        </w:rPr>
        <w:t>元</w:t>
      </w:r>
    </w:p>
    <w:tbl>
      <w:tblPr>
        <w:tblStyle w:val="8"/>
        <w:tblW w:w="9567" w:type="dxa"/>
        <w:tblInd w:w="28" w:type="dxa"/>
        <w:tblLayout w:type="fixed"/>
        <w:tblCellMar>
          <w:top w:w="0" w:type="dxa"/>
          <w:left w:w="28" w:type="dxa"/>
          <w:bottom w:w="0" w:type="dxa"/>
          <w:right w:w="28" w:type="dxa"/>
        </w:tblCellMar>
      </w:tblPr>
      <w:tblGrid>
        <w:gridCol w:w="1199"/>
        <w:gridCol w:w="1199"/>
        <w:gridCol w:w="1199"/>
        <w:gridCol w:w="1200"/>
        <w:gridCol w:w="1200"/>
        <w:gridCol w:w="1200"/>
        <w:gridCol w:w="1200"/>
        <w:gridCol w:w="1170"/>
      </w:tblGrid>
      <w:tr>
        <w:tblPrEx>
          <w:tblLayout w:type="fixed"/>
          <w:tblCellMar>
            <w:top w:w="0" w:type="dxa"/>
            <w:left w:w="28" w:type="dxa"/>
            <w:bottom w:w="0" w:type="dxa"/>
            <w:right w:w="28" w:type="dxa"/>
          </w:tblCellMar>
        </w:tblPrEx>
        <w:tc>
          <w:tcPr>
            <w:tcW w:w="119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技术类别</w:t>
            </w:r>
          </w:p>
        </w:tc>
        <w:tc>
          <w:tcPr>
            <w:tcW w:w="119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销售量</w:t>
            </w:r>
          </w:p>
        </w:tc>
        <w:tc>
          <w:tcPr>
            <w:tcW w:w="119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销售收入</w:t>
            </w:r>
          </w:p>
        </w:tc>
        <w:tc>
          <w:tcPr>
            <w:tcW w:w="120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毛利率</w:t>
            </w:r>
          </w:p>
        </w:tc>
        <w:tc>
          <w:tcPr>
            <w:tcW w:w="120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产能</w:t>
            </w:r>
          </w:p>
        </w:tc>
        <w:tc>
          <w:tcPr>
            <w:tcW w:w="120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产量</w:t>
            </w:r>
          </w:p>
        </w:tc>
        <w:tc>
          <w:tcPr>
            <w:tcW w:w="120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在建产能</w:t>
            </w:r>
          </w:p>
        </w:tc>
        <w:tc>
          <w:tcPr>
            <w:tcW w:w="117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计划产能</w:t>
            </w:r>
          </w:p>
        </w:tc>
      </w:tr>
    </w:tbl>
    <w:p>
      <w:pPr>
        <w:jc w:val="left"/>
        <w:rPr>
          <w:szCs w:val="24"/>
        </w:rPr>
      </w:pPr>
      <w:r>
        <w:rPr>
          <w:rFonts w:hint="eastAsia"/>
          <w:szCs w:val="24"/>
        </w:rPr>
        <w:t>对主要收入来源国的销售情况</w:t>
      </w:r>
    </w:p>
    <w:p>
      <w:pPr>
        <w:jc w:val="right"/>
        <w:rPr>
          <w:szCs w:val="24"/>
        </w:rPr>
      </w:pPr>
      <w:r>
        <w:rPr>
          <w:rFonts w:hint="eastAsia"/>
          <w:szCs w:val="24"/>
        </w:rPr>
        <w:t>单位：</w:t>
      </w:r>
      <w:r>
        <w:rPr>
          <w:szCs w:val="24"/>
        </w:rPr>
        <w:t xml:space="preserve"> </w:t>
      </w:r>
      <w:r>
        <w:rPr>
          <w:rFonts w:hint="eastAsia"/>
          <w:szCs w:val="24"/>
        </w:rPr>
        <w:t>元</w:t>
      </w:r>
    </w:p>
    <w:tbl>
      <w:tblPr>
        <w:tblStyle w:val="8"/>
        <w:tblW w:w="9568" w:type="dxa"/>
        <w:tblInd w:w="28" w:type="dxa"/>
        <w:tblLayout w:type="fixed"/>
        <w:tblCellMar>
          <w:top w:w="0" w:type="dxa"/>
          <w:left w:w="28" w:type="dxa"/>
          <w:bottom w:w="0" w:type="dxa"/>
          <w:right w:w="28" w:type="dxa"/>
        </w:tblCellMar>
      </w:tblPr>
      <w:tblGrid>
        <w:gridCol w:w="2392"/>
        <w:gridCol w:w="2392"/>
        <w:gridCol w:w="2392"/>
        <w:gridCol w:w="2392"/>
      </w:tblGrid>
      <w:tr>
        <w:tblPrEx>
          <w:tblLayout w:type="fixed"/>
          <w:tblCellMar>
            <w:top w:w="0" w:type="dxa"/>
            <w:left w:w="28" w:type="dxa"/>
            <w:bottom w:w="0" w:type="dxa"/>
            <w:right w:w="28" w:type="dxa"/>
          </w:tblCellMar>
        </w:tblPrEx>
        <w:tc>
          <w:tcPr>
            <w:tcW w:w="239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主要收入来源国</w:t>
            </w:r>
          </w:p>
        </w:tc>
        <w:tc>
          <w:tcPr>
            <w:tcW w:w="239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销售量</w:t>
            </w:r>
          </w:p>
        </w:tc>
        <w:tc>
          <w:tcPr>
            <w:tcW w:w="239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销售收入</w:t>
            </w:r>
          </w:p>
        </w:tc>
        <w:tc>
          <w:tcPr>
            <w:tcW w:w="239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当地光伏行业政策或贸易政策发生的重大不利变化及其对公司当期和未来经营业绩的影响情况</w:t>
            </w:r>
          </w:p>
        </w:tc>
      </w:tr>
    </w:tbl>
    <w:p>
      <w:pPr>
        <w:jc w:val="left"/>
        <w:rPr>
          <w:szCs w:val="24"/>
        </w:rPr>
      </w:pPr>
      <w:r>
        <w:rPr>
          <w:rFonts w:hint="eastAsia"/>
          <w:szCs w:val="24"/>
        </w:rPr>
        <w:t>光伏电站的相关情况</w:t>
      </w:r>
    </w:p>
    <w:p>
      <w:pPr>
        <w:pStyle w:val="11"/>
        <w:outlineLvl w:val="3"/>
        <w:rPr>
          <w:bCs w:val="0"/>
          <w:szCs w:val="24"/>
        </w:rPr>
      </w:pPr>
      <w:r>
        <w:rPr>
          <w:rFonts w:hint="eastAsia"/>
          <w:bCs w:val="0"/>
          <w:szCs w:val="24"/>
        </w:rPr>
        <w:t>（</w:t>
      </w:r>
      <w:r>
        <w:rPr>
          <w:bCs w:val="0"/>
          <w:szCs w:val="24"/>
        </w:rPr>
        <w:t>2</w:t>
      </w:r>
      <w:r>
        <w:rPr>
          <w:rFonts w:hint="eastAsia"/>
          <w:bCs w:val="0"/>
          <w:szCs w:val="24"/>
        </w:rPr>
        <w:t>）占公司营业收入或营业利润</w:t>
      </w:r>
      <w:r>
        <w:rPr>
          <w:bCs w:val="0"/>
          <w:szCs w:val="24"/>
        </w:rPr>
        <w:t>10%</w:t>
      </w:r>
      <w:r>
        <w:rPr>
          <w:rFonts w:hint="eastAsia"/>
          <w:bCs w:val="0"/>
          <w:szCs w:val="24"/>
        </w:rPr>
        <w:t>以上的行业、产品或地区情况</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jc w:val="left"/>
        <w:rPr>
          <w:szCs w:val="24"/>
        </w:rPr>
      </w:pPr>
      <w:r>
        <w:rPr>
          <w:rFonts w:hint="eastAsia"/>
          <w:szCs w:val="24"/>
        </w:rPr>
        <w:t>公司是否需要遵守特殊行业的披露要求</w:t>
      </w:r>
    </w:p>
    <w:p>
      <w:pPr>
        <w:jc w:val="left"/>
        <w:rPr>
          <w:szCs w:val="24"/>
        </w:rPr>
      </w:pPr>
      <w:r>
        <w:rPr>
          <w:rFonts w:hint="eastAsia"/>
          <w:szCs w:val="24"/>
        </w:rPr>
        <w:t>否</w:t>
      </w:r>
    </w:p>
    <w:p>
      <w:pPr>
        <w:jc w:val="right"/>
        <w:rPr>
          <w:szCs w:val="24"/>
        </w:rPr>
      </w:pPr>
      <w:r>
        <w:rPr>
          <w:rFonts w:hint="eastAsia"/>
          <w:szCs w:val="24"/>
        </w:rPr>
        <w:t>单位：元</w:t>
      </w:r>
    </w:p>
    <w:tbl>
      <w:tblPr>
        <w:tblStyle w:val="8"/>
        <w:tblW w:w="9571" w:type="dxa"/>
        <w:tblInd w:w="28" w:type="dxa"/>
        <w:tblLayout w:type="fixed"/>
        <w:tblCellMar>
          <w:top w:w="0" w:type="dxa"/>
          <w:left w:w="28" w:type="dxa"/>
          <w:bottom w:w="0" w:type="dxa"/>
          <w:right w:w="28" w:type="dxa"/>
        </w:tblCellMar>
      </w:tblPr>
      <w:tblGrid>
        <w:gridCol w:w="1367"/>
        <w:gridCol w:w="1366"/>
        <w:gridCol w:w="1366"/>
        <w:gridCol w:w="1367"/>
        <w:gridCol w:w="1367"/>
        <w:gridCol w:w="1367"/>
        <w:gridCol w:w="1371"/>
      </w:tblGrid>
      <w:tr>
        <w:tblPrEx>
          <w:tblLayout w:type="fixed"/>
        </w:tblPrEx>
        <w:tc>
          <w:tcPr>
            <w:tcW w:w="136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p>
        </w:tc>
        <w:tc>
          <w:tcPr>
            <w:tcW w:w="136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营业收入</w:t>
            </w:r>
          </w:p>
        </w:tc>
        <w:tc>
          <w:tcPr>
            <w:tcW w:w="136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营业成本</w:t>
            </w:r>
          </w:p>
        </w:tc>
        <w:tc>
          <w:tcPr>
            <w:tcW w:w="136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毛利率</w:t>
            </w:r>
          </w:p>
        </w:tc>
        <w:tc>
          <w:tcPr>
            <w:tcW w:w="136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营业收入比上年同期增减</w:t>
            </w:r>
          </w:p>
        </w:tc>
        <w:tc>
          <w:tcPr>
            <w:tcW w:w="136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营业成本比上年同期增减</w:t>
            </w:r>
          </w:p>
        </w:tc>
        <w:tc>
          <w:tcPr>
            <w:tcW w:w="137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毛利率比上年同期增减</w:t>
            </w:r>
          </w:p>
        </w:tc>
      </w:tr>
      <w:tr>
        <w:tblPrEx>
          <w:tblLayout w:type="fixed"/>
          <w:tblCellMar>
            <w:top w:w="0" w:type="dxa"/>
            <w:left w:w="28" w:type="dxa"/>
            <w:bottom w:w="0" w:type="dxa"/>
            <w:right w:w="28" w:type="dxa"/>
          </w:tblCellMar>
        </w:tblPrEx>
        <w:tc>
          <w:tcPr>
            <w:tcW w:w="9571" w:type="dxa"/>
            <w:gridSpan w:val="7"/>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分行业</w:t>
            </w:r>
          </w:p>
        </w:tc>
      </w:tr>
      <w:tr>
        <w:tblPrEx>
          <w:tblLayout w:type="fixed"/>
          <w:tblCellMar>
            <w:top w:w="0" w:type="dxa"/>
            <w:left w:w="28" w:type="dxa"/>
            <w:bottom w:w="0" w:type="dxa"/>
            <w:right w:w="28" w:type="dxa"/>
          </w:tblCellMar>
        </w:tblPrEx>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海洋行业</w:t>
            </w:r>
          </w:p>
        </w:tc>
        <w:tc>
          <w:tcPr>
            <w:tcW w:w="1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487,066,141.72</w:t>
            </w:r>
          </w:p>
        </w:tc>
        <w:tc>
          <w:tcPr>
            <w:tcW w:w="1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309,703,172.74</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36.41%</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3,063.33%</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3,928.57%</w:t>
            </w:r>
          </w:p>
        </w:tc>
        <w:tc>
          <w:tcPr>
            <w:tcW w:w="13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-13.66%</w:t>
            </w:r>
          </w:p>
        </w:tc>
      </w:tr>
      <w:tr>
        <w:tblPrEx>
          <w:tblLayout w:type="fixed"/>
          <w:tblCellMar>
            <w:top w:w="0" w:type="dxa"/>
            <w:left w:w="28" w:type="dxa"/>
            <w:bottom w:w="0" w:type="dxa"/>
            <w:right w:w="28" w:type="dxa"/>
          </w:tblCellMar>
        </w:tblPrEx>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海事行业</w:t>
            </w:r>
          </w:p>
        </w:tc>
        <w:tc>
          <w:tcPr>
            <w:tcW w:w="1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206,776,335.31</w:t>
            </w:r>
          </w:p>
        </w:tc>
        <w:tc>
          <w:tcPr>
            <w:tcW w:w="1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110,977,087.89</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46.33%</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-28.49%</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-43.78%</w:t>
            </w:r>
          </w:p>
        </w:tc>
        <w:tc>
          <w:tcPr>
            <w:tcW w:w="13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14.60%</w:t>
            </w:r>
          </w:p>
        </w:tc>
      </w:tr>
      <w:tr>
        <w:tblPrEx>
          <w:tblLayout w:type="fixed"/>
          <w:tblCellMar>
            <w:top w:w="0" w:type="dxa"/>
            <w:left w:w="28" w:type="dxa"/>
            <w:bottom w:w="0" w:type="dxa"/>
            <w:right w:w="28" w:type="dxa"/>
          </w:tblCellMar>
        </w:tblPrEx>
        <w:tc>
          <w:tcPr>
            <w:tcW w:w="9571" w:type="dxa"/>
            <w:gridSpan w:val="7"/>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分产品</w:t>
            </w:r>
            <w:r>
              <w:rPr>
                <w:rFonts w:hint="eastAsia"/>
                <w:sz w:val="21"/>
                <w:szCs w:val="24"/>
              </w:rPr>
              <w:t>（注</w:t>
            </w:r>
            <w:r>
              <w:rPr>
                <w:sz w:val="21"/>
                <w:szCs w:val="24"/>
              </w:rPr>
              <w:t>1</w:t>
            </w:r>
            <w:r>
              <w:rPr>
                <w:rFonts w:hint="eastAsia"/>
                <w:sz w:val="21"/>
                <w:szCs w:val="24"/>
              </w:rPr>
              <w:t>）</w:t>
            </w:r>
          </w:p>
        </w:tc>
      </w:tr>
      <w:tr>
        <w:tblPrEx>
          <w:tblLayout w:type="fixed"/>
          <w:tblCellMar>
            <w:top w:w="0" w:type="dxa"/>
            <w:left w:w="28" w:type="dxa"/>
            <w:bottom w:w="0" w:type="dxa"/>
            <w:right w:w="28" w:type="dxa"/>
          </w:tblCellMar>
        </w:tblPrEx>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海洋观（探）测仪器、装备与系统</w:t>
            </w:r>
          </w:p>
        </w:tc>
        <w:tc>
          <w:tcPr>
            <w:tcW w:w="1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487,066,141.72</w:t>
            </w:r>
          </w:p>
        </w:tc>
        <w:tc>
          <w:tcPr>
            <w:tcW w:w="1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309,703,172.74</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36.41%</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3,063.33%</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3,928.57%</w:t>
            </w:r>
          </w:p>
        </w:tc>
        <w:tc>
          <w:tcPr>
            <w:tcW w:w="13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-13.66%</w:t>
            </w:r>
          </w:p>
        </w:tc>
      </w:tr>
      <w:tr>
        <w:tblPrEx>
          <w:tblLayout w:type="fixed"/>
          <w:tblCellMar>
            <w:top w:w="0" w:type="dxa"/>
            <w:left w:w="28" w:type="dxa"/>
            <w:bottom w:w="0" w:type="dxa"/>
            <w:right w:w="28" w:type="dxa"/>
          </w:tblCellMar>
        </w:tblPrEx>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海事综合导航、智能装备与系统</w:t>
            </w:r>
          </w:p>
        </w:tc>
        <w:tc>
          <w:tcPr>
            <w:tcW w:w="1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206,776,335.31</w:t>
            </w:r>
          </w:p>
        </w:tc>
        <w:tc>
          <w:tcPr>
            <w:tcW w:w="1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110,977,087.89</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46.33%</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-28.49%</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-43.78%</w:t>
            </w:r>
          </w:p>
        </w:tc>
        <w:tc>
          <w:tcPr>
            <w:tcW w:w="13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14.60%</w:t>
            </w:r>
          </w:p>
        </w:tc>
      </w:tr>
      <w:tr>
        <w:tblPrEx>
          <w:tblLayout w:type="fixed"/>
          <w:tblCellMar>
            <w:top w:w="0" w:type="dxa"/>
            <w:left w:w="28" w:type="dxa"/>
            <w:bottom w:w="0" w:type="dxa"/>
            <w:right w:w="28" w:type="dxa"/>
          </w:tblCellMar>
        </w:tblPrEx>
        <w:tc>
          <w:tcPr>
            <w:tcW w:w="9571" w:type="dxa"/>
            <w:gridSpan w:val="7"/>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分地区</w:t>
            </w:r>
          </w:p>
        </w:tc>
      </w:tr>
      <w:tr>
        <w:tblPrEx>
          <w:tblLayout w:type="fixed"/>
          <w:tblCellMar>
            <w:top w:w="0" w:type="dxa"/>
            <w:left w:w="28" w:type="dxa"/>
            <w:bottom w:w="0" w:type="dxa"/>
            <w:right w:w="28" w:type="dxa"/>
          </w:tblCellMar>
        </w:tblPrEx>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国内</w:t>
            </w:r>
          </w:p>
        </w:tc>
        <w:tc>
          <w:tcPr>
            <w:tcW w:w="1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693,594,738.76</w:t>
            </w:r>
          </w:p>
        </w:tc>
        <w:tc>
          <w:tcPr>
            <w:tcW w:w="1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420,378,237.92</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39.39%</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135.27%</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112.76%</w:t>
            </w:r>
          </w:p>
        </w:tc>
        <w:tc>
          <w:tcPr>
            <w:tcW w:w="13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6.41%</w:t>
            </w:r>
          </w:p>
        </w:tc>
      </w:tr>
    </w:tbl>
    <w:p>
      <w:pPr>
        <w:jc w:val="left"/>
        <w:rPr>
          <w:sz w:val="21"/>
          <w:szCs w:val="24"/>
        </w:rPr>
      </w:pPr>
      <w:r>
        <w:rPr>
          <w:rFonts w:hint="eastAsia"/>
          <w:sz w:val="21"/>
          <w:szCs w:val="24"/>
        </w:rPr>
        <w:t>注</w:t>
      </w:r>
      <w:r>
        <w:rPr>
          <w:sz w:val="21"/>
          <w:szCs w:val="24"/>
        </w:rPr>
        <w:t>1</w:t>
      </w:r>
      <w:r>
        <w:rPr>
          <w:rFonts w:hint="eastAsia"/>
          <w:sz w:val="21"/>
          <w:szCs w:val="24"/>
        </w:rPr>
        <w:t>：</w:t>
      </w:r>
    </w:p>
    <w:p>
      <w:pPr>
        <w:ind w:firstLine="420" w:firstLineChars="200"/>
        <w:jc w:val="left"/>
        <w:rPr>
          <w:sz w:val="21"/>
          <w:szCs w:val="24"/>
        </w:rPr>
      </w:pPr>
      <w:r>
        <w:rPr>
          <w:sz w:val="21"/>
          <w:szCs w:val="24"/>
        </w:rPr>
        <w:t>1</w:t>
      </w:r>
      <w:r>
        <w:rPr>
          <w:rFonts w:hint="eastAsia"/>
          <w:sz w:val="21"/>
          <w:szCs w:val="24"/>
        </w:rPr>
        <w:t>）海事综合导航、智能装备与系统：主要包括综合导航系统（</w:t>
      </w:r>
      <w:r>
        <w:rPr>
          <w:sz w:val="21"/>
          <w:szCs w:val="24"/>
        </w:rPr>
        <w:t>INS</w:t>
      </w:r>
      <w:r>
        <w:rPr>
          <w:rFonts w:hint="eastAsia"/>
          <w:sz w:val="21"/>
          <w:szCs w:val="24"/>
        </w:rPr>
        <w:t>）、雷达（</w:t>
      </w:r>
      <w:r>
        <w:rPr>
          <w:sz w:val="21"/>
          <w:szCs w:val="24"/>
        </w:rPr>
        <w:t>RADAR</w:t>
      </w:r>
      <w:r>
        <w:rPr>
          <w:rFonts w:hint="eastAsia"/>
          <w:sz w:val="21"/>
          <w:szCs w:val="24"/>
        </w:rPr>
        <w:t>）、船舶操舵仪（</w:t>
      </w:r>
      <w:r>
        <w:rPr>
          <w:sz w:val="21"/>
          <w:szCs w:val="24"/>
        </w:rPr>
        <w:t>SCS</w:t>
      </w:r>
      <w:r>
        <w:rPr>
          <w:rFonts w:hint="eastAsia"/>
          <w:sz w:val="21"/>
          <w:szCs w:val="24"/>
        </w:rPr>
        <w:t>）、电子海图显示与信息系统（</w:t>
      </w:r>
      <w:r>
        <w:rPr>
          <w:sz w:val="21"/>
          <w:szCs w:val="24"/>
        </w:rPr>
        <w:t>ECDIS</w:t>
      </w:r>
      <w:r>
        <w:rPr>
          <w:rFonts w:hint="eastAsia"/>
          <w:sz w:val="21"/>
          <w:szCs w:val="24"/>
        </w:rPr>
        <w:t>）、罗经（</w:t>
      </w:r>
      <w:r>
        <w:rPr>
          <w:sz w:val="21"/>
          <w:szCs w:val="24"/>
        </w:rPr>
        <w:t>GYRO</w:t>
      </w:r>
      <w:r>
        <w:rPr>
          <w:rFonts w:hint="eastAsia"/>
          <w:sz w:val="21"/>
          <w:szCs w:val="24"/>
        </w:rPr>
        <w:t>）、船载航行数据记录仪（</w:t>
      </w:r>
      <w:r>
        <w:rPr>
          <w:sz w:val="21"/>
          <w:szCs w:val="24"/>
        </w:rPr>
        <w:t>VDR</w:t>
      </w:r>
      <w:r>
        <w:rPr>
          <w:rFonts w:hint="eastAsia"/>
          <w:sz w:val="21"/>
          <w:szCs w:val="24"/>
        </w:rPr>
        <w:t>）、船舶远程监控管理系统（</w:t>
      </w:r>
      <w:r>
        <w:rPr>
          <w:sz w:val="21"/>
          <w:szCs w:val="24"/>
        </w:rPr>
        <w:t>VMS</w:t>
      </w:r>
      <w:r>
        <w:rPr>
          <w:rFonts w:hint="eastAsia"/>
          <w:sz w:val="21"/>
          <w:szCs w:val="24"/>
        </w:rPr>
        <w:t>）、机舱自动化、Hi-Cloud船舶远程信息服务系统、全球海上遇险与安全系统（</w:t>
      </w:r>
      <w:r>
        <w:rPr>
          <w:sz w:val="21"/>
          <w:szCs w:val="24"/>
        </w:rPr>
        <w:t>GMDSS</w:t>
      </w:r>
      <w:r>
        <w:rPr>
          <w:rFonts w:hint="eastAsia"/>
          <w:sz w:val="21"/>
          <w:szCs w:val="24"/>
        </w:rPr>
        <w:t>）等；</w:t>
      </w:r>
    </w:p>
    <w:p>
      <w:pPr>
        <w:ind w:firstLine="420" w:firstLineChars="200"/>
        <w:jc w:val="left"/>
        <w:rPr>
          <w:sz w:val="21"/>
          <w:szCs w:val="24"/>
        </w:rPr>
      </w:pPr>
      <w:r>
        <w:rPr>
          <w:sz w:val="21"/>
          <w:szCs w:val="24"/>
        </w:rPr>
        <w:t>‍2</w:t>
      </w:r>
      <w:r>
        <w:rPr>
          <w:rFonts w:hint="eastAsia"/>
          <w:sz w:val="21"/>
          <w:szCs w:val="24"/>
        </w:rPr>
        <w:t>）海洋观（探）测仪器、设备与信息系统</w:t>
      </w:r>
      <w:r>
        <w:rPr>
          <w:rFonts w:ascii="MS Mincho" w:eastAsia="MS Mincho" w:cs="MS Mincho"/>
          <w:sz w:val="21"/>
          <w:szCs w:val="24"/>
        </w:rPr>
        <w:t>‍</w:t>
      </w:r>
      <w:r>
        <w:rPr>
          <w:rFonts w:hint="eastAsia" w:ascii="宋体" w:hAnsi="宋体" w:cs="宋体"/>
          <w:sz w:val="21"/>
          <w:szCs w:val="24"/>
        </w:rPr>
        <w:t>：主要包括智能雷达监控系统、溢油探测雷达、海浪探测雷达、物理海洋仪器设备、海洋物探仪器设备、海洋测绘仪器设备、水下工程仪器设备、无人智能监测平台及海洋立体监测网络与信息化系统等；</w:t>
      </w:r>
    </w:p>
    <w:p>
      <w:pPr>
        <w:ind w:firstLine="420" w:firstLineChars="200"/>
        <w:jc w:val="left"/>
        <w:rPr>
          <w:sz w:val="21"/>
          <w:szCs w:val="24"/>
        </w:rPr>
      </w:pPr>
      <w:r>
        <w:rPr>
          <w:sz w:val="21"/>
          <w:szCs w:val="24"/>
        </w:rPr>
        <w:t>3</w:t>
      </w:r>
      <w:r>
        <w:rPr>
          <w:rFonts w:hint="eastAsia"/>
          <w:sz w:val="21"/>
          <w:szCs w:val="24"/>
        </w:rPr>
        <w:t>）环境监测仪器与系统：主要包括水质在线监测系统、烟气在线监测系统、数据采集传输仪等。</w:t>
      </w:r>
    </w:p>
    <w:p>
      <w:pPr>
        <w:jc w:val="left"/>
        <w:rPr>
          <w:szCs w:val="24"/>
        </w:rPr>
      </w:pPr>
      <w:r>
        <w:rPr>
          <w:rFonts w:hint="eastAsia"/>
          <w:sz w:val="21"/>
          <w:szCs w:val="24"/>
        </w:rPr>
        <w:t>本报告期新增合并劳雷产业利润表，业务构成由原有海事行业为主并涉足海洋业务，扩展到海洋业务和海事业务并重的综合对海业务。在海事业务方面，公司聚焦自主产品INS等市场推广，控制毛利率较低的VEIS集成业务规模，聚焦高毛利业务，公司产品整体毛利率水平提升明显，盈利水平显著提高；海洋业务规模迅速提升，营业收入比上年同期增长明显，并保持了较高的毛利率水平，毛利率同比降低是因为去年同期海洋业务主要为小目标雷达项目的执行，其毛利率较高。</w:t>
      </w:r>
    </w:p>
    <w:p>
      <w:pPr>
        <w:jc w:val="left"/>
        <w:rPr>
          <w:szCs w:val="24"/>
        </w:rPr>
      </w:pPr>
      <w:r>
        <w:rPr>
          <w:rFonts w:hint="eastAsia"/>
          <w:szCs w:val="24"/>
        </w:rPr>
        <w:t>公司主营业务数据统计口径在报告期发生调整的情况下，公司最近</w:t>
      </w:r>
      <w:r>
        <w:rPr>
          <w:szCs w:val="24"/>
        </w:rPr>
        <w:t>1</w:t>
      </w:r>
      <w:r>
        <w:rPr>
          <w:rFonts w:hint="eastAsia"/>
          <w:szCs w:val="24"/>
        </w:rPr>
        <w:t>年按报告期末口径调整后的主营业务数据</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pStyle w:val="11"/>
        <w:outlineLvl w:val="3"/>
        <w:rPr>
          <w:bCs w:val="0"/>
          <w:szCs w:val="24"/>
        </w:rPr>
      </w:pPr>
      <w:r>
        <w:rPr>
          <w:rFonts w:hint="eastAsia"/>
          <w:bCs w:val="0"/>
          <w:szCs w:val="24"/>
        </w:rPr>
        <w:t>（</w:t>
      </w:r>
      <w:r>
        <w:rPr>
          <w:bCs w:val="0"/>
          <w:szCs w:val="24"/>
        </w:rPr>
        <w:t>3</w:t>
      </w:r>
      <w:r>
        <w:rPr>
          <w:rFonts w:hint="eastAsia"/>
          <w:bCs w:val="0"/>
          <w:szCs w:val="24"/>
        </w:rPr>
        <w:t>）公司实物销售收入是否大于劳务收入</w:t>
      </w:r>
    </w:p>
    <w:p>
      <w:pPr>
        <w:jc w:val="left"/>
        <w:rPr>
          <w:szCs w:val="24"/>
        </w:rPr>
      </w:pPr>
      <w:r>
        <w:rPr>
          <w:szCs w:val="24"/>
        </w:rPr>
        <w:t xml:space="preserve">√ </w:t>
      </w:r>
      <w:r>
        <w:rPr>
          <w:rFonts w:hint="eastAsia"/>
          <w:szCs w:val="24"/>
        </w:rPr>
        <w:t>是</w:t>
      </w:r>
      <w:r>
        <w:rPr>
          <w:szCs w:val="24"/>
        </w:rPr>
        <w:t xml:space="preserve"> □ </w:t>
      </w:r>
      <w:r>
        <w:rPr>
          <w:rFonts w:hint="eastAsia"/>
          <w:szCs w:val="24"/>
        </w:rPr>
        <w:t>否</w:t>
      </w:r>
      <w:r>
        <w:rPr>
          <w:szCs w:val="24"/>
        </w:rPr>
        <w:t xml:space="preserve"> </w:t>
      </w:r>
    </w:p>
    <w:tbl>
      <w:tblPr>
        <w:tblStyle w:val="8"/>
        <w:tblW w:w="9566" w:type="dxa"/>
        <w:tblInd w:w="28" w:type="dxa"/>
        <w:tblLayout w:type="fixed"/>
        <w:tblCellMar>
          <w:top w:w="0" w:type="dxa"/>
          <w:left w:w="28" w:type="dxa"/>
          <w:bottom w:w="0" w:type="dxa"/>
          <w:right w:w="28" w:type="dxa"/>
        </w:tblCellMar>
      </w:tblPr>
      <w:tblGrid>
        <w:gridCol w:w="1596"/>
        <w:gridCol w:w="1594"/>
        <w:gridCol w:w="1594"/>
        <w:gridCol w:w="1594"/>
        <w:gridCol w:w="1594"/>
        <w:gridCol w:w="1594"/>
      </w:tblGrid>
      <w:tr>
        <w:tblPrEx>
          <w:tblLayout w:type="fixed"/>
          <w:tblCellMar>
            <w:top w:w="0" w:type="dxa"/>
            <w:left w:w="28" w:type="dxa"/>
            <w:bottom w:w="0" w:type="dxa"/>
            <w:right w:w="28" w:type="dxa"/>
          </w:tblCellMar>
        </w:tblPrEx>
        <w:tc>
          <w:tcPr>
            <w:tcW w:w="159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行业分类</w:t>
            </w:r>
          </w:p>
        </w:tc>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项目</w:t>
            </w:r>
          </w:p>
        </w:tc>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单位</w:t>
            </w:r>
          </w:p>
        </w:tc>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2016</w:t>
            </w:r>
            <w:r>
              <w:rPr>
                <w:rFonts w:hint="eastAsia"/>
                <w:szCs w:val="24"/>
              </w:rPr>
              <w:t>年</w:t>
            </w:r>
          </w:p>
        </w:tc>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2015</w:t>
            </w:r>
            <w:r>
              <w:rPr>
                <w:rFonts w:hint="eastAsia"/>
                <w:szCs w:val="24"/>
              </w:rPr>
              <w:t>年</w:t>
            </w:r>
          </w:p>
        </w:tc>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同比增减</w:t>
            </w:r>
          </w:p>
        </w:tc>
      </w:tr>
      <w:tr>
        <w:tblPrEx>
          <w:tblLayout w:type="fixed"/>
          <w:tblCellMar>
            <w:top w:w="0" w:type="dxa"/>
            <w:left w:w="28" w:type="dxa"/>
            <w:bottom w:w="0" w:type="dxa"/>
            <w:right w:w="28" w:type="dxa"/>
          </w:tblCellMar>
        </w:tblPrEx>
        <w:tc>
          <w:tcPr>
            <w:tcW w:w="15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不适用</w:t>
            </w:r>
          </w:p>
        </w:tc>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销售量</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r>
    </w:tbl>
    <w:p>
      <w:pPr>
        <w:jc w:val="left"/>
        <w:rPr>
          <w:szCs w:val="24"/>
        </w:rPr>
      </w:pPr>
      <w:r>
        <w:rPr>
          <w:rFonts w:hint="eastAsia"/>
          <w:szCs w:val="24"/>
        </w:rPr>
        <w:t>相关数据同比发生变动</w:t>
      </w:r>
      <w:r>
        <w:rPr>
          <w:szCs w:val="24"/>
        </w:rPr>
        <w:t>30%</w:t>
      </w:r>
      <w:r>
        <w:rPr>
          <w:rFonts w:hint="eastAsia"/>
          <w:szCs w:val="24"/>
        </w:rPr>
        <w:t>以上的原因说明</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autoSpaceDE w:val="0"/>
        <w:autoSpaceDN w:val="0"/>
        <w:adjustRightInd w:val="0"/>
        <w:spacing w:before="0" w:after="0"/>
        <w:jc w:val="left"/>
        <w:rPr>
          <w:rFonts w:eastAsia="Times New Roman"/>
          <w:kern w:val="0"/>
          <w:sz w:val="21"/>
          <w:szCs w:val="24"/>
          <w:lang w:val="zh-CN"/>
        </w:rPr>
      </w:pPr>
      <w:r>
        <w:rPr>
          <w:rFonts w:hint="eastAsia" w:ascii="宋体" w:hAnsi="宋体" w:cs="宋体"/>
          <w:kern w:val="0"/>
          <w:sz w:val="21"/>
          <w:szCs w:val="24"/>
          <w:lang w:val="zh-CN"/>
        </w:rPr>
        <w:t>本公司不仅生产和销售自产船舶电子及信息化系列产品，而且为客户提供智能航海与智慧海洋整体解决方案和销售、服务，在环境监测领域提供相关自产产品及运营维护服务。</w:t>
      </w:r>
    </w:p>
    <w:p>
      <w:pPr>
        <w:pStyle w:val="11"/>
        <w:outlineLvl w:val="3"/>
        <w:rPr>
          <w:bCs w:val="0"/>
          <w:szCs w:val="24"/>
        </w:rPr>
      </w:pPr>
      <w:r>
        <w:rPr>
          <w:rFonts w:hint="eastAsia"/>
          <w:bCs w:val="0"/>
          <w:szCs w:val="24"/>
        </w:rPr>
        <w:t>（</w:t>
      </w:r>
      <w:r>
        <w:rPr>
          <w:bCs w:val="0"/>
          <w:szCs w:val="24"/>
        </w:rPr>
        <w:t>4</w:t>
      </w:r>
      <w:r>
        <w:rPr>
          <w:rFonts w:hint="eastAsia"/>
          <w:bCs w:val="0"/>
          <w:szCs w:val="24"/>
        </w:rPr>
        <w:t>）公司已签订的重大销售合同截至本报告期的履行情况</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pStyle w:val="11"/>
        <w:outlineLvl w:val="3"/>
        <w:rPr>
          <w:bCs w:val="0"/>
          <w:szCs w:val="24"/>
        </w:rPr>
      </w:pPr>
      <w:r>
        <w:rPr>
          <w:rFonts w:hint="eastAsia"/>
          <w:bCs w:val="0"/>
          <w:szCs w:val="24"/>
        </w:rPr>
        <w:t>（</w:t>
      </w:r>
      <w:r>
        <w:rPr>
          <w:bCs w:val="0"/>
          <w:szCs w:val="24"/>
        </w:rPr>
        <w:t>5</w:t>
      </w:r>
      <w:r>
        <w:rPr>
          <w:rFonts w:hint="eastAsia"/>
          <w:bCs w:val="0"/>
          <w:szCs w:val="24"/>
        </w:rPr>
        <w:t>）营业成本构成</w:t>
      </w:r>
    </w:p>
    <w:p>
      <w:pPr>
        <w:jc w:val="left"/>
        <w:rPr>
          <w:szCs w:val="24"/>
        </w:rPr>
      </w:pPr>
      <w:r>
        <w:rPr>
          <w:rFonts w:hint="eastAsia"/>
          <w:szCs w:val="24"/>
        </w:rPr>
        <w:t>行业和产品分类</w:t>
      </w:r>
    </w:p>
    <w:p>
      <w:pPr>
        <w:jc w:val="right"/>
        <w:rPr>
          <w:szCs w:val="24"/>
        </w:rPr>
      </w:pPr>
      <w:r>
        <w:rPr>
          <w:rFonts w:hint="eastAsia"/>
          <w:szCs w:val="24"/>
        </w:rPr>
        <w:t>单位：元</w:t>
      </w:r>
    </w:p>
    <w:tbl>
      <w:tblPr>
        <w:tblStyle w:val="8"/>
        <w:tblW w:w="9571" w:type="dxa"/>
        <w:tblInd w:w="28" w:type="dxa"/>
        <w:tblLayout w:type="fixed"/>
        <w:tblCellMar>
          <w:top w:w="0" w:type="dxa"/>
          <w:left w:w="28" w:type="dxa"/>
          <w:bottom w:w="0" w:type="dxa"/>
          <w:right w:w="28" w:type="dxa"/>
        </w:tblCellMar>
      </w:tblPr>
      <w:tblGrid>
        <w:gridCol w:w="1369"/>
        <w:gridCol w:w="1367"/>
        <w:gridCol w:w="1367"/>
        <w:gridCol w:w="1367"/>
        <w:gridCol w:w="1367"/>
        <w:gridCol w:w="1367"/>
        <w:gridCol w:w="1367"/>
      </w:tblGrid>
      <w:tr>
        <w:tblPrEx>
          <w:tblLayout w:type="fixed"/>
          <w:tblCellMar>
            <w:top w:w="0" w:type="dxa"/>
            <w:left w:w="28" w:type="dxa"/>
            <w:bottom w:w="0" w:type="dxa"/>
            <w:right w:w="28" w:type="dxa"/>
          </w:tblCellMar>
        </w:tblPrEx>
        <w:tc>
          <w:tcPr>
            <w:tcW w:w="1369"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行业分类</w:t>
            </w:r>
          </w:p>
        </w:tc>
        <w:tc>
          <w:tcPr>
            <w:tcW w:w="1367"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项目</w:t>
            </w:r>
          </w:p>
        </w:tc>
        <w:tc>
          <w:tcPr>
            <w:tcW w:w="2734"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2016</w:t>
            </w:r>
            <w:r>
              <w:rPr>
                <w:rFonts w:hint="eastAsia"/>
                <w:szCs w:val="24"/>
              </w:rPr>
              <w:t>年</w:t>
            </w:r>
          </w:p>
        </w:tc>
        <w:tc>
          <w:tcPr>
            <w:tcW w:w="2734"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2015</w:t>
            </w:r>
            <w:r>
              <w:rPr>
                <w:rFonts w:hint="eastAsia"/>
                <w:szCs w:val="24"/>
              </w:rPr>
              <w:t>年</w:t>
            </w:r>
          </w:p>
        </w:tc>
        <w:tc>
          <w:tcPr>
            <w:tcW w:w="1367"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同比增减</w:t>
            </w:r>
          </w:p>
        </w:tc>
      </w:tr>
      <w:tr>
        <w:tblPrEx>
          <w:tblLayout w:type="fixed"/>
          <w:tblCellMar>
            <w:top w:w="0" w:type="dxa"/>
            <w:left w:w="28" w:type="dxa"/>
            <w:bottom w:w="0" w:type="dxa"/>
            <w:right w:w="28" w:type="dxa"/>
          </w:tblCellMar>
        </w:tblPrEx>
        <w:tc>
          <w:tcPr>
            <w:tcW w:w="1369" w:type="dxa"/>
            <w:vMerge w:val="continue"/>
            <w:tcBorders>
              <w:top w:val="single" w:color="auto" w:sz="4" w:space="0"/>
              <w:left w:val="single" w:color="auto" w:sz="4" w:space="0"/>
              <w:bottom w:val="single" w:color="auto" w:sz="4" w:space="0"/>
              <w:right w:val="single" w:color="auto" w:sz="4" w:space="0"/>
            </w:tcBorders>
            <w:vAlign w:val="center"/>
          </w:tcPr>
          <w:p>
            <w:pPr>
              <w:jc w:val="center"/>
              <w:rPr>
                <w:szCs w:val="24"/>
              </w:rPr>
            </w:pPr>
          </w:p>
        </w:tc>
        <w:tc>
          <w:tcPr>
            <w:tcW w:w="1367" w:type="dxa"/>
            <w:vMerge w:val="continue"/>
            <w:tcBorders>
              <w:top w:val="single" w:color="auto" w:sz="4" w:space="0"/>
              <w:left w:val="single" w:color="auto" w:sz="4" w:space="0"/>
              <w:bottom w:val="single" w:color="auto" w:sz="4" w:space="0"/>
              <w:right w:val="single" w:color="auto" w:sz="4" w:space="0"/>
            </w:tcBorders>
            <w:vAlign w:val="center"/>
          </w:tcPr>
          <w:p>
            <w:pPr>
              <w:jc w:val="center"/>
              <w:rPr>
                <w:szCs w:val="24"/>
              </w:rPr>
            </w:pPr>
          </w:p>
        </w:tc>
        <w:tc>
          <w:tcPr>
            <w:tcW w:w="136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金额</w:t>
            </w:r>
          </w:p>
        </w:tc>
        <w:tc>
          <w:tcPr>
            <w:tcW w:w="136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占营业成本比重</w:t>
            </w:r>
          </w:p>
        </w:tc>
        <w:tc>
          <w:tcPr>
            <w:tcW w:w="136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金额</w:t>
            </w:r>
          </w:p>
        </w:tc>
        <w:tc>
          <w:tcPr>
            <w:tcW w:w="136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占营业成本比重</w:t>
            </w:r>
          </w:p>
        </w:tc>
        <w:tc>
          <w:tcPr>
            <w:tcW w:w="1367" w:type="dxa"/>
            <w:vMerge w:val="continue"/>
            <w:tcBorders>
              <w:top w:val="single" w:color="auto" w:sz="4" w:space="0"/>
              <w:left w:val="single" w:color="auto" w:sz="4" w:space="0"/>
              <w:bottom w:val="single" w:color="auto" w:sz="4" w:space="0"/>
              <w:right w:val="single" w:color="auto" w:sz="4" w:space="0"/>
            </w:tcBorders>
            <w:vAlign w:val="center"/>
          </w:tcPr>
          <w:p>
            <w:pPr>
              <w:jc w:val="center"/>
              <w:rPr>
                <w:szCs w:val="24"/>
              </w:rPr>
            </w:pPr>
          </w:p>
        </w:tc>
      </w:tr>
      <w:tr>
        <w:tblPrEx>
          <w:tblLayout w:type="fixed"/>
          <w:tblCellMar>
            <w:top w:w="0" w:type="dxa"/>
            <w:left w:w="28" w:type="dxa"/>
            <w:bottom w:w="0" w:type="dxa"/>
            <w:right w:w="28" w:type="dxa"/>
          </w:tblCellMar>
        </w:tblPrEx>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海洋行业</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营业成本</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309,703,172.74</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71.15%</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7,687,664.59</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3.54%</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3,928.57%</w:t>
            </w:r>
          </w:p>
        </w:tc>
      </w:tr>
      <w:tr>
        <w:tblPrEx>
          <w:tblLayout w:type="fixed"/>
          <w:tblCellMar>
            <w:top w:w="0" w:type="dxa"/>
            <w:left w:w="28" w:type="dxa"/>
            <w:bottom w:w="0" w:type="dxa"/>
            <w:right w:w="28" w:type="dxa"/>
          </w:tblCellMar>
        </w:tblPrEx>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海事行业</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营业成本</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110,977,087.89</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25.50%</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197,413,858.80</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90.94%</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-43.78%</w:t>
            </w:r>
          </w:p>
        </w:tc>
      </w:tr>
      <w:tr>
        <w:tblPrEx>
          <w:tblLayout w:type="fixed"/>
          <w:tblCellMar>
            <w:top w:w="0" w:type="dxa"/>
            <w:left w:w="28" w:type="dxa"/>
            <w:bottom w:w="0" w:type="dxa"/>
            <w:right w:w="28" w:type="dxa"/>
          </w:tblCellMar>
        </w:tblPrEx>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环保行业</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营业成本</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14,592,764.14</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3.35%</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11,985,986.10</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5.52%</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21.75%</w:t>
            </w:r>
          </w:p>
        </w:tc>
      </w:tr>
    </w:tbl>
    <w:p>
      <w:pPr>
        <w:jc w:val="right"/>
        <w:rPr>
          <w:szCs w:val="24"/>
        </w:rPr>
      </w:pPr>
      <w:r>
        <w:rPr>
          <w:rFonts w:hint="eastAsia"/>
          <w:szCs w:val="24"/>
        </w:rPr>
        <w:t>单位：元</w:t>
      </w:r>
    </w:p>
    <w:tbl>
      <w:tblPr>
        <w:tblStyle w:val="8"/>
        <w:tblW w:w="9571" w:type="dxa"/>
        <w:tblInd w:w="28" w:type="dxa"/>
        <w:tblLayout w:type="fixed"/>
        <w:tblCellMar>
          <w:top w:w="0" w:type="dxa"/>
          <w:left w:w="28" w:type="dxa"/>
          <w:bottom w:w="0" w:type="dxa"/>
          <w:right w:w="28" w:type="dxa"/>
        </w:tblCellMar>
      </w:tblPr>
      <w:tblGrid>
        <w:gridCol w:w="1369"/>
        <w:gridCol w:w="1367"/>
        <w:gridCol w:w="1367"/>
        <w:gridCol w:w="1367"/>
        <w:gridCol w:w="1367"/>
        <w:gridCol w:w="1367"/>
        <w:gridCol w:w="1367"/>
      </w:tblGrid>
      <w:tr>
        <w:tblPrEx>
          <w:tblLayout w:type="fixed"/>
          <w:tblCellMar>
            <w:top w:w="0" w:type="dxa"/>
            <w:left w:w="28" w:type="dxa"/>
            <w:bottom w:w="0" w:type="dxa"/>
            <w:right w:w="28" w:type="dxa"/>
          </w:tblCellMar>
        </w:tblPrEx>
        <w:tc>
          <w:tcPr>
            <w:tcW w:w="1369"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产品分类</w:t>
            </w:r>
          </w:p>
        </w:tc>
        <w:tc>
          <w:tcPr>
            <w:tcW w:w="1367"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项目</w:t>
            </w:r>
          </w:p>
        </w:tc>
        <w:tc>
          <w:tcPr>
            <w:tcW w:w="2734"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2016</w:t>
            </w:r>
            <w:r>
              <w:rPr>
                <w:rFonts w:hint="eastAsia"/>
                <w:szCs w:val="24"/>
              </w:rPr>
              <w:t>年</w:t>
            </w:r>
          </w:p>
        </w:tc>
        <w:tc>
          <w:tcPr>
            <w:tcW w:w="2734"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2015</w:t>
            </w:r>
            <w:r>
              <w:rPr>
                <w:rFonts w:hint="eastAsia"/>
                <w:szCs w:val="24"/>
              </w:rPr>
              <w:t>年</w:t>
            </w:r>
          </w:p>
        </w:tc>
        <w:tc>
          <w:tcPr>
            <w:tcW w:w="1367"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同比增减</w:t>
            </w:r>
          </w:p>
        </w:tc>
      </w:tr>
      <w:tr>
        <w:tblPrEx>
          <w:tblLayout w:type="fixed"/>
          <w:tblCellMar>
            <w:top w:w="0" w:type="dxa"/>
            <w:left w:w="28" w:type="dxa"/>
            <w:bottom w:w="0" w:type="dxa"/>
            <w:right w:w="28" w:type="dxa"/>
          </w:tblCellMar>
        </w:tblPrEx>
        <w:tc>
          <w:tcPr>
            <w:tcW w:w="1369" w:type="dxa"/>
            <w:vMerge w:val="continue"/>
            <w:tcBorders>
              <w:top w:val="single" w:color="auto" w:sz="4" w:space="0"/>
              <w:left w:val="single" w:color="auto" w:sz="4" w:space="0"/>
              <w:bottom w:val="single" w:color="auto" w:sz="4" w:space="0"/>
              <w:right w:val="single" w:color="auto" w:sz="4" w:space="0"/>
            </w:tcBorders>
            <w:vAlign w:val="center"/>
          </w:tcPr>
          <w:p>
            <w:pPr>
              <w:jc w:val="center"/>
              <w:rPr>
                <w:szCs w:val="24"/>
              </w:rPr>
            </w:pPr>
          </w:p>
        </w:tc>
        <w:tc>
          <w:tcPr>
            <w:tcW w:w="1367" w:type="dxa"/>
            <w:vMerge w:val="continue"/>
            <w:tcBorders>
              <w:top w:val="single" w:color="auto" w:sz="4" w:space="0"/>
              <w:left w:val="single" w:color="auto" w:sz="4" w:space="0"/>
              <w:bottom w:val="single" w:color="auto" w:sz="4" w:space="0"/>
              <w:right w:val="single" w:color="auto" w:sz="4" w:space="0"/>
            </w:tcBorders>
            <w:vAlign w:val="center"/>
          </w:tcPr>
          <w:p>
            <w:pPr>
              <w:jc w:val="center"/>
              <w:rPr>
                <w:szCs w:val="24"/>
              </w:rPr>
            </w:pPr>
          </w:p>
        </w:tc>
        <w:tc>
          <w:tcPr>
            <w:tcW w:w="136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金额</w:t>
            </w:r>
          </w:p>
        </w:tc>
        <w:tc>
          <w:tcPr>
            <w:tcW w:w="136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占营业成本比重</w:t>
            </w:r>
          </w:p>
        </w:tc>
        <w:tc>
          <w:tcPr>
            <w:tcW w:w="136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金额</w:t>
            </w:r>
          </w:p>
        </w:tc>
        <w:tc>
          <w:tcPr>
            <w:tcW w:w="136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占营业成本比重</w:t>
            </w:r>
          </w:p>
        </w:tc>
        <w:tc>
          <w:tcPr>
            <w:tcW w:w="1367" w:type="dxa"/>
            <w:vMerge w:val="continue"/>
            <w:tcBorders>
              <w:top w:val="single" w:color="auto" w:sz="4" w:space="0"/>
              <w:left w:val="single" w:color="auto" w:sz="4" w:space="0"/>
              <w:bottom w:val="single" w:color="auto" w:sz="4" w:space="0"/>
              <w:right w:val="single" w:color="auto" w:sz="4" w:space="0"/>
            </w:tcBorders>
            <w:vAlign w:val="center"/>
          </w:tcPr>
          <w:p>
            <w:pPr>
              <w:jc w:val="center"/>
              <w:rPr>
                <w:szCs w:val="24"/>
              </w:rPr>
            </w:pPr>
          </w:p>
        </w:tc>
      </w:tr>
      <w:tr>
        <w:tblPrEx>
          <w:tblLayout w:type="fixed"/>
          <w:tblCellMar>
            <w:top w:w="0" w:type="dxa"/>
            <w:left w:w="28" w:type="dxa"/>
            <w:bottom w:w="0" w:type="dxa"/>
            <w:right w:w="28" w:type="dxa"/>
          </w:tblCellMar>
        </w:tblPrEx>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海洋观（探）测仪器、装备与系统</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营业成本</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309,703,172.74</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71.15%</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7,687,664.59</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3.54%</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3,928.57%</w:t>
            </w:r>
          </w:p>
        </w:tc>
      </w:tr>
      <w:tr>
        <w:tblPrEx>
          <w:tblLayout w:type="fixed"/>
          <w:tblCellMar>
            <w:top w:w="0" w:type="dxa"/>
            <w:left w:w="28" w:type="dxa"/>
            <w:bottom w:w="0" w:type="dxa"/>
            <w:right w:w="28" w:type="dxa"/>
          </w:tblCellMar>
        </w:tblPrEx>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海事综合导航、智能装备与系统</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营业成本</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110,977,087.89</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25.50%</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197,413,858.80</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90.94%</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-43.78%</w:t>
            </w:r>
          </w:p>
        </w:tc>
      </w:tr>
      <w:tr>
        <w:tblPrEx>
          <w:tblLayout w:type="fixed"/>
          <w:tblCellMar>
            <w:top w:w="0" w:type="dxa"/>
            <w:left w:w="28" w:type="dxa"/>
            <w:bottom w:w="0" w:type="dxa"/>
            <w:right w:w="28" w:type="dxa"/>
          </w:tblCellMar>
        </w:tblPrEx>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环境监测仪器与系统</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营业成本</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14,592,764.14</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3.35%</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11,985,986.10</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5.52%</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21.75%</w:t>
            </w:r>
          </w:p>
        </w:tc>
      </w:tr>
    </w:tbl>
    <w:p>
      <w:pPr>
        <w:jc w:val="left"/>
        <w:rPr>
          <w:szCs w:val="24"/>
        </w:rPr>
      </w:pPr>
      <w:r>
        <w:rPr>
          <w:rFonts w:hint="eastAsia"/>
          <w:szCs w:val="24"/>
        </w:rPr>
        <w:t>说明</w:t>
      </w:r>
    </w:p>
    <w:p>
      <w:pPr>
        <w:pStyle w:val="11"/>
        <w:outlineLvl w:val="3"/>
        <w:rPr>
          <w:bCs w:val="0"/>
          <w:szCs w:val="24"/>
        </w:rPr>
      </w:pPr>
      <w:r>
        <w:rPr>
          <w:rFonts w:hint="eastAsia"/>
          <w:bCs w:val="0"/>
          <w:szCs w:val="24"/>
        </w:rPr>
        <w:t>（</w:t>
      </w:r>
      <w:r>
        <w:rPr>
          <w:bCs w:val="0"/>
          <w:szCs w:val="24"/>
        </w:rPr>
        <w:t>6</w:t>
      </w:r>
      <w:r>
        <w:rPr>
          <w:rFonts w:hint="eastAsia"/>
          <w:bCs w:val="0"/>
          <w:szCs w:val="24"/>
        </w:rPr>
        <w:t>）报告期内合并范围是否发生变动</w:t>
      </w:r>
    </w:p>
    <w:p>
      <w:pPr>
        <w:jc w:val="left"/>
        <w:rPr>
          <w:szCs w:val="24"/>
        </w:rPr>
      </w:pPr>
      <w:r>
        <w:rPr>
          <w:szCs w:val="24"/>
        </w:rPr>
        <w:t xml:space="preserve">√ </w:t>
      </w:r>
      <w:r>
        <w:rPr>
          <w:rFonts w:hint="eastAsia"/>
          <w:szCs w:val="24"/>
        </w:rPr>
        <w:t>是</w:t>
      </w:r>
      <w:r>
        <w:rPr>
          <w:szCs w:val="24"/>
        </w:rPr>
        <w:t xml:space="preserve"> □ </w:t>
      </w:r>
      <w:r>
        <w:rPr>
          <w:rFonts w:hint="eastAsia"/>
          <w:szCs w:val="24"/>
        </w:rPr>
        <w:t>否</w:t>
      </w:r>
      <w:r>
        <w:rPr>
          <w:szCs w:val="24"/>
        </w:rPr>
        <w:t xml:space="preserve"> </w:t>
      </w:r>
    </w:p>
    <w:p>
      <w:pPr>
        <w:autoSpaceDE w:val="0"/>
        <w:autoSpaceDN w:val="0"/>
        <w:adjustRightInd w:val="0"/>
        <w:spacing w:before="240" w:after="240"/>
        <w:ind w:firstLine="198"/>
        <w:jc w:val="left"/>
        <w:rPr>
          <w:rFonts w:eastAsia="Times New Roman"/>
          <w:kern w:val="0"/>
          <w:sz w:val="22"/>
          <w:szCs w:val="24"/>
          <w:lang w:val="zh-CN"/>
        </w:rPr>
      </w:pPr>
      <w:r>
        <w:rPr>
          <w:rFonts w:hint="eastAsia" w:ascii="宋体" w:hAnsi="宋体" w:cs="宋体"/>
          <w:kern w:val="0"/>
          <w:sz w:val="22"/>
          <w:szCs w:val="24"/>
          <w:lang w:val="zh-CN"/>
        </w:rPr>
        <w:t>本年发生的非同一控制下企业合并</w:t>
      </w:r>
    </w:p>
    <w:tbl>
      <w:tblPr>
        <w:tblStyle w:val="8"/>
        <w:tblW w:w="9882" w:type="dxa"/>
        <w:tblInd w:w="10" w:type="dxa"/>
        <w:tblBorders>
          <w:top w:val="single" w:color="auto" w:sz="8" w:space="0"/>
          <w:left w:val="single" w:color="auto" w:sz="6" w:space="0"/>
          <w:bottom w:val="single" w:color="auto" w:sz="8" w:space="0"/>
          <w:right w:val="single" w:color="auto" w:sz="6" w:space="0"/>
          <w:insideH w:val="single" w:color="auto" w:sz="8" w:space="0"/>
          <w:insideV w:val="single" w:color="auto" w:sz="6" w:space="0"/>
        </w:tblBorders>
        <w:tblLayout w:type="fixed"/>
        <w:tblCellMar>
          <w:top w:w="10" w:type="dxa"/>
          <w:left w:w="10" w:type="dxa"/>
          <w:bottom w:w="10" w:type="dxa"/>
          <w:right w:w="10" w:type="dxa"/>
        </w:tblCellMar>
      </w:tblPr>
      <w:tblGrid>
        <w:gridCol w:w="1336"/>
        <w:gridCol w:w="755"/>
        <w:gridCol w:w="1607"/>
        <w:gridCol w:w="776"/>
        <w:gridCol w:w="715"/>
        <w:gridCol w:w="752"/>
        <w:gridCol w:w="727"/>
        <w:gridCol w:w="1607"/>
        <w:gridCol w:w="1607"/>
      </w:tblGrid>
      <w:tr>
        <w:tblPrEx>
          <w:tblBorders>
            <w:top w:val="single" w:color="auto" w:sz="8" w:space="0"/>
            <w:left w:val="single" w:color="auto" w:sz="6" w:space="0"/>
            <w:bottom w:val="single" w:color="auto" w:sz="8" w:space="0"/>
            <w:right w:val="single" w:color="auto" w:sz="6" w:space="0"/>
            <w:insideH w:val="single" w:color="auto" w:sz="8" w:space="0"/>
            <w:insideV w:val="single" w:color="auto" w:sz="6" w:space="0"/>
          </w:tblBorders>
          <w:tblLayout w:type="fixed"/>
          <w:tblCellMar>
            <w:top w:w="10" w:type="dxa"/>
            <w:left w:w="10" w:type="dxa"/>
            <w:bottom w:w="10" w:type="dxa"/>
            <w:right w:w="10" w:type="dxa"/>
          </w:tblCellMar>
        </w:tblPrEx>
        <w:trPr>
          <w:trHeight w:val="850" w:hRule="atLeast"/>
        </w:trPr>
        <w:tc>
          <w:tcPr>
            <w:tcW w:w="1336" w:type="dxa"/>
          </w:tcPr>
          <w:p>
            <w:pPr>
              <w:autoSpaceDE w:val="0"/>
              <w:autoSpaceDN w:val="0"/>
              <w:adjustRightInd w:val="0"/>
              <w:spacing w:before="0" w:after="0"/>
              <w:jc w:val="center"/>
              <w:rPr>
                <w:rFonts w:eastAsia="Times New Roman"/>
                <w:kern w:val="0"/>
                <w:szCs w:val="24"/>
                <w:lang w:val="zh-CN"/>
              </w:rPr>
            </w:pPr>
            <w:r>
              <w:rPr>
                <w:rFonts w:hint="eastAsia" w:ascii="宋体" w:hAnsi="宋体" w:cs="宋体"/>
                <w:b/>
                <w:kern w:val="0"/>
                <w:szCs w:val="24"/>
                <w:lang w:val="zh-CN"/>
              </w:rPr>
              <w:t>被购买方名称</w:t>
            </w:r>
          </w:p>
        </w:tc>
        <w:tc>
          <w:tcPr>
            <w:tcW w:w="755" w:type="dxa"/>
          </w:tcPr>
          <w:p>
            <w:pPr>
              <w:autoSpaceDE w:val="0"/>
              <w:autoSpaceDN w:val="0"/>
              <w:adjustRightInd w:val="0"/>
              <w:spacing w:before="0" w:after="0"/>
              <w:jc w:val="center"/>
              <w:rPr>
                <w:rFonts w:eastAsia="Times New Roman"/>
                <w:kern w:val="0"/>
                <w:szCs w:val="24"/>
                <w:lang w:val="zh-CN"/>
              </w:rPr>
            </w:pPr>
            <w:r>
              <w:rPr>
                <w:rFonts w:hint="eastAsia" w:ascii="宋体" w:hAnsi="宋体" w:cs="宋体"/>
                <w:b/>
                <w:kern w:val="0"/>
                <w:szCs w:val="24"/>
                <w:lang w:val="zh-CN"/>
              </w:rPr>
              <w:t>股权取得时点</w:t>
            </w:r>
          </w:p>
        </w:tc>
        <w:tc>
          <w:tcPr>
            <w:tcW w:w="1607" w:type="dxa"/>
          </w:tcPr>
          <w:p>
            <w:pPr>
              <w:autoSpaceDE w:val="0"/>
              <w:autoSpaceDN w:val="0"/>
              <w:adjustRightInd w:val="0"/>
              <w:spacing w:before="0" w:after="0"/>
              <w:jc w:val="center"/>
              <w:rPr>
                <w:rFonts w:eastAsia="Times New Roman"/>
                <w:kern w:val="0"/>
                <w:szCs w:val="24"/>
                <w:lang w:val="zh-CN"/>
              </w:rPr>
            </w:pPr>
            <w:r>
              <w:rPr>
                <w:rFonts w:hint="eastAsia" w:ascii="宋体" w:hAnsi="宋体" w:cs="宋体"/>
                <w:b/>
                <w:kern w:val="0"/>
                <w:szCs w:val="24"/>
                <w:lang w:val="zh-CN"/>
              </w:rPr>
              <w:t>股权取得成本</w:t>
            </w:r>
          </w:p>
        </w:tc>
        <w:tc>
          <w:tcPr>
            <w:tcW w:w="776" w:type="dxa"/>
          </w:tcPr>
          <w:p>
            <w:pPr>
              <w:autoSpaceDE w:val="0"/>
              <w:autoSpaceDN w:val="0"/>
              <w:adjustRightInd w:val="0"/>
              <w:spacing w:before="0" w:after="0"/>
              <w:jc w:val="center"/>
              <w:rPr>
                <w:rFonts w:eastAsia="Times New Roman"/>
                <w:kern w:val="0"/>
                <w:szCs w:val="24"/>
                <w:lang w:val="zh-CN"/>
              </w:rPr>
            </w:pPr>
            <w:r>
              <w:rPr>
                <w:rFonts w:hint="eastAsia" w:ascii="宋体" w:hAnsi="宋体" w:cs="宋体"/>
                <w:b/>
                <w:kern w:val="0"/>
                <w:szCs w:val="24"/>
                <w:lang w:val="zh-CN"/>
              </w:rPr>
              <w:t>股权取得比例</w:t>
            </w:r>
          </w:p>
          <w:p>
            <w:pPr>
              <w:autoSpaceDE w:val="0"/>
              <w:autoSpaceDN w:val="0"/>
              <w:adjustRightInd w:val="0"/>
              <w:spacing w:before="0" w:after="0"/>
              <w:jc w:val="center"/>
              <w:rPr>
                <w:rFonts w:eastAsia="Times New Roman"/>
                <w:kern w:val="0"/>
                <w:szCs w:val="24"/>
                <w:lang w:val="zh-CN"/>
              </w:rPr>
            </w:pPr>
            <w:r>
              <w:rPr>
                <w:rFonts w:hint="eastAsia" w:ascii="宋体" w:hAnsi="宋体" w:cs="宋体"/>
                <w:b/>
                <w:kern w:val="0"/>
                <w:szCs w:val="24"/>
                <w:lang w:val="zh-CN"/>
              </w:rPr>
              <w:t>（</w:t>
            </w:r>
            <w:r>
              <w:rPr>
                <w:rFonts w:eastAsia="Times New Roman"/>
                <w:b/>
                <w:kern w:val="0"/>
                <w:szCs w:val="24"/>
                <w:lang w:val="en-GB"/>
              </w:rPr>
              <w:t>%</w:t>
            </w:r>
            <w:r>
              <w:rPr>
                <w:rFonts w:hint="eastAsia" w:ascii="宋体" w:hAnsi="宋体" w:cs="宋体"/>
                <w:b/>
                <w:kern w:val="0"/>
                <w:szCs w:val="24"/>
                <w:lang w:val="zh-CN"/>
              </w:rPr>
              <w:t>）</w:t>
            </w:r>
          </w:p>
        </w:tc>
        <w:tc>
          <w:tcPr>
            <w:tcW w:w="715" w:type="dxa"/>
          </w:tcPr>
          <w:p>
            <w:pPr>
              <w:autoSpaceDE w:val="0"/>
              <w:autoSpaceDN w:val="0"/>
              <w:adjustRightInd w:val="0"/>
              <w:spacing w:before="0" w:after="0"/>
              <w:jc w:val="center"/>
              <w:rPr>
                <w:rFonts w:eastAsia="Times New Roman"/>
                <w:kern w:val="0"/>
                <w:szCs w:val="24"/>
                <w:lang w:val="zh-CN"/>
              </w:rPr>
            </w:pPr>
            <w:r>
              <w:rPr>
                <w:rFonts w:hint="eastAsia" w:ascii="宋体" w:hAnsi="宋体" w:cs="宋体"/>
                <w:b/>
                <w:kern w:val="0"/>
                <w:szCs w:val="24"/>
                <w:lang w:val="zh-CN"/>
              </w:rPr>
              <w:t>股权取得方式</w:t>
            </w:r>
          </w:p>
        </w:tc>
        <w:tc>
          <w:tcPr>
            <w:tcW w:w="752" w:type="dxa"/>
          </w:tcPr>
          <w:p>
            <w:pPr>
              <w:autoSpaceDE w:val="0"/>
              <w:autoSpaceDN w:val="0"/>
              <w:adjustRightInd w:val="0"/>
              <w:spacing w:before="0" w:after="0"/>
              <w:jc w:val="center"/>
              <w:rPr>
                <w:rFonts w:eastAsia="Times New Roman"/>
                <w:kern w:val="0"/>
                <w:szCs w:val="24"/>
                <w:lang w:val="zh-CN"/>
              </w:rPr>
            </w:pPr>
            <w:r>
              <w:rPr>
                <w:rFonts w:hint="eastAsia" w:ascii="宋体" w:hAnsi="宋体" w:cs="宋体"/>
                <w:b/>
                <w:kern w:val="0"/>
                <w:szCs w:val="24"/>
                <w:lang w:val="zh-CN"/>
              </w:rPr>
              <w:t>购买日</w:t>
            </w:r>
          </w:p>
        </w:tc>
        <w:tc>
          <w:tcPr>
            <w:tcW w:w="727" w:type="dxa"/>
          </w:tcPr>
          <w:p>
            <w:pPr>
              <w:autoSpaceDE w:val="0"/>
              <w:autoSpaceDN w:val="0"/>
              <w:adjustRightInd w:val="0"/>
              <w:spacing w:before="0" w:after="0"/>
              <w:jc w:val="center"/>
              <w:rPr>
                <w:rFonts w:eastAsia="Times New Roman"/>
                <w:kern w:val="0"/>
                <w:szCs w:val="24"/>
                <w:lang w:val="zh-CN"/>
              </w:rPr>
            </w:pPr>
            <w:r>
              <w:rPr>
                <w:rFonts w:hint="eastAsia" w:ascii="宋体" w:hAnsi="宋体" w:cs="宋体"/>
                <w:b/>
                <w:kern w:val="0"/>
                <w:szCs w:val="24"/>
                <w:lang w:val="zh-CN"/>
              </w:rPr>
              <w:t>购买日的确定依据</w:t>
            </w:r>
          </w:p>
        </w:tc>
        <w:tc>
          <w:tcPr>
            <w:tcW w:w="1607" w:type="dxa"/>
          </w:tcPr>
          <w:p>
            <w:pPr>
              <w:autoSpaceDE w:val="0"/>
              <w:autoSpaceDN w:val="0"/>
              <w:adjustRightInd w:val="0"/>
              <w:spacing w:before="0" w:after="0"/>
              <w:jc w:val="center"/>
              <w:rPr>
                <w:rFonts w:eastAsia="Times New Roman"/>
                <w:kern w:val="0"/>
                <w:szCs w:val="24"/>
                <w:lang w:val="zh-CN"/>
              </w:rPr>
            </w:pPr>
            <w:r>
              <w:rPr>
                <w:rFonts w:hint="eastAsia" w:ascii="宋体" w:hAnsi="宋体" w:cs="宋体"/>
                <w:b/>
                <w:kern w:val="0"/>
                <w:szCs w:val="24"/>
                <w:lang w:val="zh-CN"/>
              </w:rPr>
              <w:t>购买日至年末被购买方的收入</w:t>
            </w:r>
          </w:p>
        </w:tc>
        <w:tc>
          <w:tcPr>
            <w:tcW w:w="1607" w:type="dxa"/>
          </w:tcPr>
          <w:p>
            <w:pPr>
              <w:autoSpaceDE w:val="0"/>
              <w:autoSpaceDN w:val="0"/>
              <w:adjustRightInd w:val="0"/>
              <w:spacing w:before="0" w:after="0"/>
              <w:jc w:val="center"/>
              <w:rPr>
                <w:rFonts w:eastAsia="Times New Roman"/>
                <w:kern w:val="0"/>
                <w:szCs w:val="24"/>
                <w:lang w:val="zh-CN"/>
              </w:rPr>
            </w:pPr>
            <w:r>
              <w:rPr>
                <w:rFonts w:hint="eastAsia" w:ascii="宋体" w:hAnsi="宋体" w:cs="宋体"/>
                <w:b/>
                <w:kern w:val="0"/>
                <w:szCs w:val="24"/>
                <w:lang w:val="zh-CN"/>
              </w:rPr>
              <w:t>购买日至年末被购买方的净利润</w:t>
            </w:r>
          </w:p>
        </w:tc>
      </w:tr>
      <w:tr>
        <w:tblPrEx>
          <w:tblBorders>
            <w:top w:val="single" w:color="auto" w:sz="8" w:space="0"/>
            <w:left w:val="single" w:color="auto" w:sz="6" w:space="0"/>
            <w:bottom w:val="single" w:color="auto" w:sz="8" w:space="0"/>
            <w:right w:val="single" w:color="auto" w:sz="6" w:space="0"/>
            <w:insideH w:val="single" w:color="auto" w:sz="8" w:space="0"/>
            <w:insideV w:val="single" w:color="auto" w:sz="6" w:space="0"/>
          </w:tblBorders>
          <w:tblLayout w:type="fixed"/>
          <w:tblCellMar>
            <w:top w:w="10" w:type="dxa"/>
            <w:left w:w="10" w:type="dxa"/>
            <w:bottom w:w="10" w:type="dxa"/>
            <w:right w:w="10" w:type="dxa"/>
          </w:tblCellMar>
        </w:tblPrEx>
        <w:trPr>
          <w:trHeight w:val="840" w:hRule="atLeast"/>
        </w:trPr>
        <w:tc>
          <w:tcPr>
            <w:tcW w:w="1336" w:type="dxa"/>
          </w:tcPr>
          <w:p>
            <w:pPr>
              <w:autoSpaceDE w:val="0"/>
              <w:autoSpaceDN w:val="0"/>
              <w:adjustRightInd w:val="0"/>
              <w:spacing w:before="0" w:after="0"/>
              <w:rPr>
                <w:rFonts w:eastAsia="Times New Roman"/>
                <w:kern w:val="0"/>
                <w:szCs w:val="24"/>
                <w:lang w:val="zh-CN"/>
              </w:rPr>
            </w:pPr>
            <w:r>
              <w:rPr>
                <w:rFonts w:hint="eastAsia" w:ascii="宋体" w:hAnsi="宋体" w:cs="宋体"/>
                <w:kern w:val="0"/>
                <w:szCs w:val="24"/>
                <w:lang w:val="zh-CN"/>
              </w:rPr>
              <w:t>广东蓝图信息技术有限公司（注</w:t>
            </w:r>
            <w:r>
              <w:rPr>
                <w:rFonts w:eastAsia="Times New Roman"/>
                <w:kern w:val="0"/>
                <w:szCs w:val="24"/>
                <w:lang w:val="en-GB"/>
              </w:rPr>
              <w:t>1</w:t>
            </w:r>
            <w:r>
              <w:rPr>
                <w:rFonts w:hint="eastAsia" w:ascii="宋体" w:hAnsi="宋体" w:cs="宋体"/>
                <w:kern w:val="0"/>
                <w:szCs w:val="24"/>
                <w:lang w:val="zh-CN"/>
              </w:rPr>
              <w:t>）</w:t>
            </w:r>
          </w:p>
        </w:tc>
        <w:tc>
          <w:tcPr>
            <w:tcW w:w="755" w:type="dxa"/>
          </w:tcPr>
          <w:p>
            <w:pPr>
              <w:autoSpaceDE w:val="0"/>
              <w:autoSpaceDN w:val="0"/>
              <w:adjustRightInd w:val="0"/>
              <w:spacing w:before="0" w:after="0"/>
              <w:rPr>
                <w:rFonts w:eastAsia="Times New Roman"/>
                <w:kern w:val="0"/>
                <w:szCs w:val="24"/>
                <w:lang w:val="zh-CN"/>
              </w:rPr>
            </w:pPr>
            <w:r>
              <w:rPr>
                <w:rFonts w:eastAsia="Times New Roman"/>
                <w:kern w:val="0"/>
                <w:szCs w:val="24"/>
                <w:lang w:val="en-GB"/>
              </w:rPr>
              <w:t>2016</w:t>
            </w:r>
            <w:r>
              <w:rPr>
                <w:rFonts w:hint="eastAsia" w:ascii="宋体" w:hAnsi="宋体" w:cs="宋体"/>
                <w:kern w:val="0"/>
                <w:szCs w:val="24"/>
                <w:lang w:val="zh-CN"/>
              </w:rPr>
              <w:t>年</w:t>
            </w:r>
            <w:r>
              <w:rPr>
                <w:rFonts w:eastAsia="Times New Roman"/>
                <w:kern w:val="0"/>
                <w:szCs w:val="24"/>
                <w:lang w:val="en-GB"/>
              </w:rPr>
              <w:t>12</w:t>
            </w:r>
            <w:r>
              <w:rPr>
                <w:rFonts w:hint="eastAsia" w:ascii="宋体" w:hAnsi="宋体" w:cs="宋体"/>
                <w:kern w:val="0"/>
                <w:szCs w:val="24"/>
                <w:lang w:val="zh-CN"/>
              </w:rPr>
              <w:t>月</w:t>
            </w:r>
            <w:r>
              <w:rPr>
                <w:rFonts w:eastAsia="Times New Roman"/>
                <w:kern w:val="0"/>
                <w:szCs w:val="24"/>
                <w:lang w:val="en-GB"/>
              </w:rPr>
              <w:t>13</w:t>
            </w:r>
            <w:r>
              <w:rPr>
                <w:rFonts w:hint="eastAsia" w:ascii="宋体" w:hAnsi="宋体" w:cs="宋体"/>
                <w:kern w:val="0"/>
                <w:szCs w:val="24"/>
                <w:lang w:val="zh-CN"/>
              </w:rPr>
              <w:t>日</w:t>
            </w:r>
          </w:p>
        </w:tc>
        <w:tc>
          <w:tcPr>
            <w:tcW w:w="1607" w:type="dxa"/>
          </w:tcPr>
          <w:p>
            <w:pPr>
              <w:autoSpaceDE w:val="0"/>
              <w:autoSpaceDN w:val="0"/>
              <w:adjustRightInd w:val="0"/>
              <w:spacing w:before="0" w:after="0"/>
              <w:jc w:val="right"/>
              <w:rPr>
                <w:rFonts w:eastAsia="Times New Roman"/>
                <w:kern w:val="0"/>
                <w:szCs w:val="24"/>
                <w:lang w:val="zh-CN"/>
              </w:rPr>
            </w:pPr>
            <w:r>
              <w:rPr>
                <w:rFonts w:eastAsia="Times New Roman"/>
                <w:kern w:val="0"/>
                <w:szCs w:val="24"/>
                <w:lang w:val="en-GB"/>
              </w:rPr>
              <w:t>62,664,033.77</w:t>
            </w:r>
          </w:p>
        </w:tc>
        <w:tc>
          <w:tcPr>
            <w:tcW w:w="776" w:type="dxa"/>
          </w:tcPr>
          <w:p>
            <w:pPr>
              <w:autoSpaceDE w:val="0"/>
              <w:autoSpaceDN w:val="0"/>
              <w:adjustRightInd w:val="0"/>
              <w:spacing w:before="0" w:after="0"/>
              <w:jc w:val="right"/>
              <w:rPr>
                <w:rFonts w:eastAsia="Times New Roman"/>
                <w:kern w:val="0"/>
                <w:szCs w:val="24"/>
                <w:lang w:val="zh-CN"/>
              </w:rPr>
            </w:pPr>
            <w:r>
              <w:rPr>
                <w:rFonts w:eastAsia="Times New Roman"/>
                <w:kern w:val="0"/>
                <w:szCs w:val="24"/>
                <w:lang w:val="en-GB"/>
              </w:rPr>
              <w:t>65</w:t>
            </w:r>
          </w:p>
        </w:tc>
        <w:tc>
          <w:tcPr>
            <w:tcW w:w="715" w:type="dxa"/>
          </w:tcPr>
          <w:p>
            <w:pPr>
              <w:autoSpaceDE w:val="0"/>
              <w:autoSpaceDN w:val="0"/>
              <w:adjustRightInd w:val="0"/>
              <w:spacing w:before="0" w:after="0"/>
              <w:rPr>
                <w:rFonts w:eastAsia="Times New Roman"/>
                <w:kern w:val="0"/>
                <w:szCs w:val="24"/>
                <w:lang w:val="zh-CN"/>
              </w:rPr>
            </w:pPr>
            <w:r>
              <w:rPr>
                <w:rFonts w:hint="eastAsia" w:ascii="宋体" w:hAnsi="宋体" w:cs="宋体"/>
                <w:kern w:val="0"/>
                <w:szCs w:val="24"/>
                <w:lang w:val="zh-CN"/>
              </w:rPr>
              <w:t>现金购买</w:t>
            </w:r>
          </w:p>
        </w:tc>
        <w:tc>
          <w:tcPr>
            <w:tcW w:w="752" w:type="dxa"/>
          </w:tcPr>
          <w:p>
            <w:pPr>
              <w:autoSpaceDE w:val="0"/>
              <w:autoSpaceDN w:val="0"/>
              <w:adjustRightInd w:val="0"/>
              <w:spacing w:before="0" w:after="0"/>
              <w:rPr>
                <w:rFonts w:eastAsia="Times New Roman"/>
                <w:kern w:val="0"/>
                <w:szCs w:val="24"/>
                <w:lang w:val="zh-CN"/>
              </w:rPr>
            </w:pPr>
            <w:r>
              <w:rPr>
                <w:rFonts w:eastAsia="Times New Roman"/>
                <w:kern w:val="0"/>
                <w:szCs w:val="24"/>
                <w:lang w:val="en-GB"/>
              </w:rPr>
              <w:t>2016</w:t>
            </w:r>
            <w:r>
              <w:rPr>
                <w:rFonts w:hint="eastAsia" w:ascii="宋体" w:hAnsi="宋体" w:cs="宋体"/>
                <w:kern w:val="0"/>
                <w:szCs w:val="24"/>
                <w:lang w:val="zh-CN"/>
              </w:rPr>
              <w:t>年</w:t>
            </w:r>
            <w:r>
              <w:rPr>
                <w:rFonts w:eastAsia="Times New Roman"/>
                <w:kern w:val="0"/>
                <w:szCs w:val="24"/>
                <w:lang w:val="en-GB"/>
              </w:rPr>
              <w:t>12</w:t>
            </w:r>
            <w:r>
              <w:rPr>
                <w:rFonts w:hint="eastAsia" w:ascii="宋体" w:hAnsi="宋体" w:cs="宋体"/>
                <w:kern w:val="0"/>
                <w:szCs w:val="24"/>
                <w:lang w:val="zh-CN"/>
              </w:rPr>
              <w:t>月</w:t>
            </w:r>
            <w:r>
              <w:rPr>
                <w:rFonts w:eastAsia="Times New Roman"/>
                <w:kern w:val="0"/>
                <w:szCs w:val="24"/>
                <w:lang w:val="en-GB"/>
              </w:rPr>
              <w:t>13</w:t>
            </w:r>
            <w:r>
              <w:rPr>
                <w:rFonts w:hint="eastAsia" w:ascii="宋体" w:hAnsi="宋体" w:cs="宋体"/>
                <w:kern w:val="0"/>
                <w:szCs w:val="24"/>
                <w:lang w:val="zh-CN"/>
              </w:rPr>
              <w:t>日</w:t>
            </w:r>
          </w:p>
        </w:tc>
        <w:tc>
          <w:tcPr>
            <w:tcW w:w="727" w:type="dxa"/>
          </w:tcPr>
          <w:p>
            <w:pPr>
              <w:autoSpaceDE w:val="0"/>
              <w:autoSpaceDN w:val="0"/>
              <w:adjustRightInd w:val="0"/>
              <w:spacing w:before="0" w:after="0"/>
              <w:rPr>
                <w:rFonts w:eastAsia="Times New Roman"/>
                <w:kern w:val="0"/>
                <w:szCs w:val="24"/>
                <w:lang w:val="zh-CN"/>
              </w:rPr>
            </w:pPr>
            <w:r>
              <w:rPr>
                <w:rFonts w:hint="eastAsia" w:ascii="宋体" w:hAnsi="宋体" w:cs="宋体"/>
                <w:kern w:val="0"/>
                <w:szCs w:val="24"/>
                <w:lang w:val="zh-CN"/>
              </w:rPr>
              <w:t>工商登记变更完成</w:t>
            </w:r>
          </w:p>
        </w:tc>
        <w:tc>
          <w:tcPr>
            <w:tcW w:w="1607" w:type="dxa"/>
          </w:tcPr>
          <w:p>
            <w:pPr>
              <w:autoSpaceDE w:val="0"/>
              <w:autoSpaceDN w:val="0"/>
              <w:adjustRightInd w:val="0"/>
              <w:spacing w:before="0" w:after="0"/>
              <w:jc w:val="right"/>
              <w:rPr>
                <w:rFonts w:eastAsia="Times New Roman"/>
                <w:kern w:val="0"/>
                <w:szCs w:val="24"/>
                <w:lang w:val="zh-CN"/>
              </w:rPr>
            </w:pPr>
            <w:r>
              <w:rPr>
                <w:rFonts w:eastAsia="Times New Roman"/>
                <w:kern w:val="0"/>
                <w:szCs w:val="24"/>
                <w:lang w:val="en-GB"/>
              </w:rPr>
              <w:t>16,448,247.35</w:t>
            </w:r>
          </w:p>
        </w:tc>
        <w:tc>
          <w:tcPr>
            <w:tcW w:w="1607" w:type="dxa"/>
          </w:tcPr>
          <w:p>
            <w:pPr>
              <w:autoSpaceDE w:val="0"/>
              <w:autoSpaceDN w:val="0"/>
              <w:adjustRightInd w:val="0"/>
              <w:spacing w:before="0" w:after="0"/>
              <w:jc w:val="right"/>
              <w:rPr>
                <w:rFonts w:eastAsia="Times New Roman"/>
                <w:kern w:val="0"/>
                <w:szCs w:val="24"/>
                <w:lang w:val="zh-CN"/>
              </w:rPr>
            </w:pPr>
            <w:r>
              <w:rPr>
                <w:rFonts w:eastAsia="Times New Roman"/>
                <w:kern w:val="0"/>
                <w:szCs w:val="24"/>
                <w:lang w:val="en-GB"/>
              </w:rPr>
              <w:t>10,234,979.19</w:t>
            </w:r>
          </w:p>
        </w:tc>
      </w:tr>
      <w:tr>
        <w:tblPrEx>
          <w:tblBorders>
            <w:top w:val="single" w:color="auto" w:sz="8" w:space="0"/>
            <w:left w:val="single" w:color="auto" w:sz="6" w:space="0"/>
            <w:bottom w:val="single" w:color="auto" w:sz="8" w:space="0"/>
            <w:right w:val="single" w:color="auto" w:sz="6" w:space="0"/>
            <w:insideH w:val="single" w:color="auto" w:sz="8" w:space="0"/>
            <w:insideV w:val="single" w:color="auto" w:sz="6" w:space="0"/>
          </w:tblBorders>
          <w:tblLayout w:type="fixed"/>
          <w:tblCellMar>
            <w:top w:w="10" w:type="dxa"/>
            <w:left w:w="10" w:type="dxa"/>
            <w:bottom w:w="10" w:type="dxa"/>
            <w:right w:w="10" w:type="dxa"/>
          </w:tblCellMar>
        </w:tblPrEx>
        <w:trPr>
          <w:trHeight w:val="850" w:hRule="atLeast"/>
        </w:trPr>
        <w:tc>
          <w:tcPr>
            <w:tcW w:w="1336" w:type="dxa"/>
          </w:tcPr>
          <w:p>
            <w:pPr>
              <w:autoSpaceDE w:val="0"/>
              <w:autoSpaceDN w:val="0"/>
              <w:adjustRightInd w:val="0"/>
              <w:spacing w:before="0" w:after="0"/>
              <w:rPr>
                <w:rFonts w:eastAsia="Times New Roman"/>
                <w:kern w:val="0"/>
                <w:szCs w:val="24"/>
              </w:rPr>
            </w:pPr>
            <w:r>
              <w:rPr>
                <w:rFonts w:eastAsia="Times New Roman"/>
                <w:kern w:val="0"/>
                <w:szCs w:val="24"/>
                <w:lang w:val="en-GB"/>
              </w:rPr>
              <w:t>Rockson Automation GmbH</w:t>
            </w:r>
            <w:r>
              <w:rPr>
                <w:rFonts w:hint="eastAsia" w:ascii="宋体" w:hAnsi="宋体" w:cs="宋体"/>
                <w:kern w:val="0"/>
                <w:szCs w:val="24"/>
              </w:rPr>
              <w:t>（</w:t>
            </w:r>
            <w:r>
              <w:rPr>
                <w:rFonts w:hint="eastAsia" w:ascii="宋体" w:hAnsi="宋体" w:cs="宋体"/>
                <w:kern w:val="0"/>
                <w:szCs w:val="24"/>
                <w:lang w:val="zh-CN"/>
              </w:rPr>
              <w:t>注</w:t>
            </w:r>
            <w:r>
              <w:rPr>
                <w:rFonts w:eastAsia="Times New Roman"/>
                <w:kern w:val="0"/>
                <w:szCs w:val="24"/>
                <w:lang w:val="en-GB"/>
              </w:rPr>
              <w:t>2</w:t>
            </w:r>
            <w:r>
              <w:rPr>
                <w:rFonts w:hint="eastAsia" w:ascii="宋体" w:hAnsi="宋体" w:cs="宋体"/>
                <w:kern w:val="0"/>
                <w:szCs w:val="24"/>
              </w:rPr>
              <w:t>）</w:t>
            </w:r>
          </w:p>
        </w:tc>
        <w:tc>
          <w:tcPr>
            <w:tcW w:w="755" w:type="dxa"/>
          </w:tcPr>
          <w:p>
            <w:pPr>
              <w:autoSpaceDE w:val="0"/>
              <w:autoSpaceDN w:val="0"/>
              <w:adjustRightInd w:val="0"/>
              <w:spacing w:before="0" w:after="0"/>
              <w:rPr>
                <w:rFonts w:eastAsia="Times New Roman"/>
                <w:kern w:val="0"/>
                <w:szCs w:val="24"/>
                <w:lang w:val="zh-CN"/>
              </w:rPr>
            </w:pPr>
            <w:r>
              <w:rPr>
                <w:rFonts w:eastAsia="Times New Roman"/>
                <w:kern w:val="0"/>
                <w:szCs w:val="24"/>
                <w:lang w:val="en-GB"/>
              </w:rPr>
              <w:t>2016</w:t>
            </w:r>
            <w:r>
              <w:rPr>
                <w:rFonts w:hint="eastAsia" w:ascii="宋体" w:hAnsi="宋体" w:cs="宋体"/>
                <w:kern w:val="0"/>
                <w:szCs w:val="24"/>
                <w:lang w:val="zh-CN"/>
              </w:rPr>
              <w:t>年</w:t>
            </w:r>
            <w:r>
              <w:rPr>
                <w:rFonts w:eastAsia="Times New Roman"/>
                <w:kern w:val="0"/>
                <w:szCs w:val="24"/>
                <w:lang w:val="en-GB"/>
              </w:rPr>
              <w:t>10</w:t>
            </w:r>
            <w:r>
              <w:rPr>
                <w:rFonts w:hint="eastAsia" w:ascii="宋体" w:hAnsi="宋体" w:cs="宋体"/>
                <w:kern w:val="0"/>
                <w:szCs w:val="24"/>
                <w:lang w:val="zh-CN"/>
              </w:rPr>
              <w:t>月</w:t>
            </w:r>
            <w:r>
              <w:rPr>
                <w:rFonts w:eastAsia="Times New Roman"/>
                <w:kern w:val="0"/>
                <w:szCs w:val="24"/>
                <w:lang w:val="en-GB"/>
              </w:rPr>
              <w:t>28</w:t>
            </w:r>
            <w:r>
              <w:rPr>
                <w:rFonts w:hint="eastAsia" w:ascii="宋体" w:hAnsi="宋体" w:cs="宋体"/>
                <w:kern w:val="0"/>
                <w:szCs w:val="24"/>
                <w:lang w:val="zh-CN"/>
              </w:rPr>
              <w:t>日</w:t>
            </w:r>
          </w:p>
        </w:tc>
        <w:tc>
          <w:tcPr>
            <w:tcW w:w="1607" w:type="dxa"/>
          </w:tcPr>
          <w:p>
            <w:pPr>
              <w:autoSpaceDE w:val="0"/>
              <w:autoSpaceDN w:val="0"/>
              <w:adjustRightInd w:val="0"/>
              <w:spacing w:before="0" w:after="0"/>
              <w:jc w:val="right"/>
              <w:rPr>
                <w:rFonts w:eastAsia="Times New Roman"/>
                <w:kern w:val="0"/>
                <w:szCs w:val="24"/>
                <w:lang w:val="zh-CN"/>
              </w:rPr>
            </w:pPr>
            <w:r>
              <w:rPr>
                <w:rFonts w:eastAsia="Times New Roman"/>
                <w:kern w:val="0"/>
                <w:szCs w:val="24"/>
                <w:lang w:val="en-GB"/>
              </w:rPr>
              <w:t>16,142,399.00</w:t>
            </w:r>
          </w:p>
        </w:tc>
        <w:tc>
          <w:tcPr>
            <w:tcW w:w="776" w:type="dxa"/>
          </w:tcPr>
          <w:p>
            <w:pPr>
              <w:autoSpaceDE w:val="0"/>
              <w:autoSpaceDN w:val="0"/>
              <w:adjustRightInd w:val="0"/>
              <w:spacing w:before="0" w:after="0"/>
              <w:jc w:val="right"/>
              <w:rPr>
                <w:rFonts w:eastAsia="Times New Roman"/>
                <w:kern w:val="0"/>
                <w:szCs w:val="24"/>
                <w:lang w:val="zh-CN"/>
              </w:rPr>
            </w:pPr>
            <w:r>
              <w:rPr>
                <w:rFonts w:eastAsia="Times New Roman"/>
                <w:kern w:val="0"/>
                <w:szCs w:val="24"/>
                <w:lang w:val="en-GB"/>
              </w:rPr>
              <w:t>51</w:t>
            </w:r>
          </w:p>
        </w:tc>
        <w:tc>
          <w:tcPr>
            <w:tcW w:w="715" w:type="dxa"/>
          </w:tcPr>
          <w:p>
            <w:pPr>
              <w:autoSpaceDE w:val="0"/>
              <w:autoSpaceDN w:val="0"/>
              <w:adjustRightInd w:val="0"/>
              <w:spacing w:before="0" w:after="0"/>
              <w:rPr>
                <w:rFonts w:eastAsia="Times New Roman"/>
                <w:kern w:val="0"/>
                <w:szCs w:val="24"/>
                <w:lang w:val="zh-CN"/>
              </w:rPr>
            </w:pPr>
            <w:r>
              <w:rPr>
                <w:rFonts w:hint="eastAsia" w:ascii="宋体" w:hAnsi="宋体" w:cs="宋体"/>
                <w:kern w:val="0"/>
                <w:szCs w:val="24"/>
                <w:lang w:val="zh-CN"/>
              </w:rPr>
              <w:t>现金购买</w:t>
            </w:r>
          </w:p>
        </w:tc>
        <w:tc>
          <w:tcPr>
            <w:tcW w:w="752" w:type="dxa"/>
          </w:tcPr>
          <w:p>
            <w:pPr>
              <w:autoSpaceDE w:val="0"/>
              <w:autoSpaceDN w:val="0"/>
              <w:adjustRightInd w:val="0"/>
              <w:spacing w:before="0" w:after="0"/>
              <w:rPr>
                <w:rFonts w:eastAsia="Times New Roman"/>
                <w:kern w:val="0"/>
                <w:szCs w:val="24"/>
                <w:lang w:val="zh-CN"/>
              </w:rPr>
            </w:pPr>
            <w:r>
              <w:rPr>
                <w:rFonts w:eastAsia="Times New Roman"/>
                <w:kern w:val="0"/>
                <w:szCs w:val="24"/>
                <w:lang w:val="en-GB"/>
              </w:rPr>
              <w:t>2016</w:t>
            </w:r>
            <w:r>
              <w:rPr>
                <w:rFonts w:hint="eastAsia" w:ascii="宋体" w:hAnsi="宋体" w:cs="宋体"/>
                <w:kern w:val="0"/>
                <w:szCs w:val="24"/>
                <w:lang w:val="zh-CN"/>
              </w:rPr>
              <w:t>年</w:t>
            </w:r>
            <w:r>
              <w:rPr>
                <w:rFonts w:eastAsia="Times New Roman"/>
                <w:kern w:val="0"/>
                <w:szCs w:val="24"/>
                <w:lang w:val="en-GB"/>
              </w:rPr>
              <w:t>10</w:t>
            </w:r>
            <w:r>
              <w:rPr>
                <w:rFonts w:hint="eastAsia" w:ascii="宋体" w:hAnsi="宋体" w:cs="宋体"/>
                <w:kern w:val="0"/>
                <w:szCs w:val="24"/>
                <w:lang w:val="zh-CN"/>
              </w:rPr>
              <w:t>月</w:t>
            </w:r>
            <w:r>
              <w:rPr>
                <w:rFonts w:eastAsia="Times New Roman"/>
                <w:kern w:val="0"/>
                <w:szCs w:val="24"/>
                <w:lang w:val="en-GB"/>
              </w:rPr>
              <w:t>28</w:t>
            </w:r>
            <w:r>
              <w:rPr>
                <w:rFonts w:hint="eastAsia" w:ascii="宋体" w:hAnsi="宋体" w:cs="宋体"/>
                <w:kern w:val="0"/>
                <w:szCs w:val="24"/>
                <w:lang w:val="zh-CN"/>
              </w:rPr>
              <w:t>日</w:t>
            </w:r>
          </w:p>
        </w:tc>
        <w:tc>
          <w:tcPr>
            <w:tcW w:w="727" w:type="dxa"/>
          </w:tcPr>
          <w:p>
            <w:pPr>
              <w:autoSpaceDE w:val="0"/>
              <w:autoSpaceDN w:val="0"/>
              <w:adjustRightInd w:val="0"/>
              <w:spacing w:before="0" w:after="0"/>
              <w:rPr>
                <w:rFonts w:eastAsia="Times New Roman"/>
                <w:kern w:val="0"/>
                <w:szCs w:val="24"/>
                <w:lang w:val="zh-CN"/>
              </w:rPr>
            </w:pPr>
            <w:r>
              <w:rPr>
                <w:rFonts w:hint="eastAsia" w:ascii="宋体" w:hAnsi="宋体" w:cs="宋体"/>
                <w:kern w:val="0"/>
                <w:szCs w:val="24"/>
                <w:lang w:val="zh-CN"/>
              </w:rPr>
              <w:t>董事会批准</w:t>
            </w:r>
          </w:p>
        </w:tc>
        <w:tc>
          <w:tcPr>
            <w:tcW w:w="1607" w:type="dxa"/>
          </w:tcPr>
          <w:p>
            <w:pPr>
              <w:autoSpaceDE w:val="0"/>
              <w:autoSpaceDN w:val="0"/>
              <w:adjustRightInd w:val="0"/>
              <w:spacing w:before="0" w:after="0"/>
              <w:jc w:val="right"/>
              <w:rPr>
                <w:rFonts w:eastAsia="Times New Roman"/>
                <w:kern w:val="0"/>
                <w:szCs w:val="24"/>
                <w:lang w:val="zh-CN"/>
              </w:rPr>
            </w:pPr>
            <w:r>
              <w:rPr>
                <w:rFonts w:eastAsia="Times New Roman"/>
                <w:kern w:val="0"/>
                <w:szCs w:val="24"/>
                <w:lang w:val="en-GB"/>
              </w:rPr>
              <w:t>802,070.19</w:t>
            </w:r>
          </w:p>
        </w:tc>
        <w:tc>
          <w:tcPr>
            <w:tcW w:w="1607" w:type="dxa"/>
          </w:tcPr>
          <w:p>
            <w:pPr>
              <w:autoSpaceDE w:val="0"/>
              <w:autoSpaceDN w:val="0"/>
              <w:adjustRightInd w:val="0"/>
              <w:spacing w:before="0" w:after="0"/>
              <w:jc w:val="right"/>
              <w:rPr>
                <w:rFonts w:eastAsia="Times New Roman"/>
                <w:kern w:val="0"/>
                <w:szCs w:val="24"/>
                <w:lang w:val="zh-CN"/>
              </w:rPr>
            </w:pPr>
            <w:r>
              <w:rPr>
                <w:rFonts w:eastAsia="Times New Roman"/>
                <w:kern w:val="0"/>
                <w:szCs w:val="24"/>
                <w:lang w:val="en-GB"/>
              </w:rPr>
              <w:t>-1,121,392.41</w:t>
            </w:r>
          </w:p>
        </w:tc>
      </w:tr>
    </w:tbl>
    <w:p>
      <w:pPr>
        <w:autoSpaceDE w:val="0"/>
        <w:autoSpaceDN w:val="0"/>
        <w:adjustRightInd w:val="0"/>
        <w:spacing w:before="240" w:after="240"/>
        <w:ind w:firstLine="440"/>
        <w:jc w:val="left"/>
        <w:rPr>
          <w:rFonts w:eastAsia="Times New Roman"/>
          <w:kern w:val="0"/>
          <w:sz w:val="22"/>
          <w:szCs w:val="24"/>
          <w:lang w:val="zh-CN"/>
        </w:rPr>
      </w:pPr>
      <w:r>
        <w:rPr>
          <w:rFonts w:hint="eastAsia" w:ascii="宋体" w:hAnsi="宋体" w:cs="宋体"/>
          <w:kern w:val="0"/>
          <w:sz w:val="22"/>
          <w:szCs w:val="24"/>
          <w:lang w:val="zh-CN"/>
        </w:rPr>
        <w:t>注</w:t>
      </w:r>
      <w:r>
        <w:rPr>
          <w:rFonts w:eastAsia="Times New Roman"/>
          <w:kern w:val="0"/>
          <w:sz w:val="22"/>
          <w:szCs w:val="24"/>
          <w:lang w:val="en-GB"/>
        </w:rPr>
        <w:t>1</w:t>
      </w:r>
      <w:r>
        <w:rPr>
          <w:rFonts w:hint="eastAsia" w:ascii="宋体" w:hAnsi="宋体" w:cs="宋体"/>
          <w:kern w:val="0"/>
          <w:sz w:val="22"/>
          <w:szCs w:val="24"/>
          <w:lang w:val="zh-CN"/>
        </w:rPr>
        <w:t>：</w:t>
      </w:r>
      <w:r>
        <w:rPr>
          <w:rFonts w:eastAsia="Times New Roman"/>
          <w:kern w:val="0"/>
          <w:sz w:val="22"/>
          <w:szCs w:val="24"/>
          <w:lang w:val="en-GB"/>
        </w:rPr>
        <w:t>2016</w:t>
      </w:r>
      <w:r>
        <w:rPr>
          <w:rFonts w:hint="eastAsia" w:ascii="宋体" w:hAnsi="宋体" w:cs="宋体"/>
          <w:kern w:val="0"/>
          <w:sz w:val="22"/>
          <w:szCs w:val="24"/>
          <w:lang w:val="zh-CN"/>
        </w:rPr>
        <w:t>年</w:t>
      </w:r>
      <w:r>
        <w:rPr>
          <w:rFonts w:eastAsia="Times New Roman"/>
          <w:kern w:val="0"/>
          <w:sz w:val="22"/>
          <w:szCs w:val="24"/>
          <w:lang w:val="en-GB"/>
        </w:rPr>
        <w:t>12</w:t>
      </w:r>
      <w:r>
        <w:rPr>
          <w:rFonts w:hint="eastAsia" w:ascii="宋体" w:hAnsi="宋体" w:cs="宋体"/>
          <w:kern w:val="0"/>
          <w:sz w:val="22"/>
          <w:szCs w:val="24"/>
          <w:lang w:val="zh-CN"/>
        </w:rPr>
        <w:t>月</w:t>
      </w:r>
      <w:r>
        <w:rPr>
          <w:rFonts w:eastAsia="Times New Roman"/>
          <w:kern w:val="0"/>
          <w:sz w:val="22"/>
          <w:szCs w:val="24"/>
          <w:lang w:val="en-GB"/>
        </w:rPr>
        <w:t>11</w:t>
      </w:r>
      <w:r>
        <w:rPr>
          <w:rFonts w:hint="eastAsia" w:ascii="宋体" w:hAnsi="宋体" w:cs="宋体"/>
          <w:kern w:val="0"/>
          <w:sz w:val="22"/>
          <w:szCs w:val="24"/>
          <w:lang w:val="zh-CN"/>
        </w:rPr>
        <w:t>日，上海劳雷、吉波与杨政、邱江华、张日锋、新余睿海投资合伙企业（有限合伙）及新余慧海投资合伙企业（有限合伙）（杨政、邱江华、张日锋、新余睿海投资合伙企业（有限合伙）及新余慧海投资合伙企业（有限合伙）合称为原股东）关于买卖广东蓝图信息技术有限公司股权签订了协议，上海劳雷购买原股东</w:t>
      </w:r>
      <w:r>
        <w:rPr>
          <w:rFonts w:eastAsia="Times New Roman"/>
          <w:kern w:val="0"/>
          <w:sz w:val="22"/>
          <w:szCs w:val="24"/>
          <w:lang w:val="zh-CN"/>
        </w:rPr>
        <w:t>65%</w:t>
      </w:r>
      <w:r>
        <w:rPr>
          <w:rFonts w:hint="eastAsia" w:ascii="宋体" w:hAnsi="宋体" w:cs="宋体"/>
          <w:kern w:val="0"/>
          <w:sz w:val="22"/>
          <w:szCs w:val="24"/>
          <w:lang w:val="zh-CN"/>
        </w:rPr>
        <w:t>的股权，交易对价</w:t>
      </w:r>
      <w:r>
        <w:rPr>
          <w:rFonts w:eastAsia="Times New Roman"/>
          <w:kern w:val="0"/>
          <w:sz w:val="22"/>
          <w:szCs w:val="24"/>
          <w:lang w:val="zh-CN"/>
        </w:rPr>
        <w:t>4,875</w:t>
      </w:r>
      <w:r>
        <w:rPr>
          <w:rFonts w:hint="eastAsia" w:ascii="宋体" w:hAnsi="宋体" w:cs="宋体"/>
          <w:kern w:val="0"/>
          <w:sz w:val="22"/>
          <w:szCs w:val="24"/>
          <w:lang w:val="zh-CN"/>
        </w:rPr>
        <w:t>万元。同时约定，广东蓝图信息技术有限公司在业绩承诺期间（</w:t>
      </w:r>
      <w:r>
        <w:rPr>
          <w:rFonts w:eastAsia="Times New Roman"/>
          <w:kern w:val="0"/>
          <w:sz w:val="22"/>
          <w:szCs w:val="24"/>
          <w:lang w:val="zh-CN"/>
        </w:rPr>
        <w:t>2016</w:t>
      </w:r>
      <w:r>
        <w:rPr>
          <w:rFonts w:hint="eastAsia" w:ascii="宋体" w:hAnsi="宋体" w:cs="宋体"/>
          <w:kern w:val="0"/>
          <w:sz w:val="22"/>
          <w:szCs w:val="24"/>
          <w:lang w:val="zh-CN"/>
        </w:rPr>
        <w:t>年度至</w:t>
      </w:r>
      <w:r>
        <w:rPr>
          <w:rFonts w:eastAsia="Times New Roman"/>
          <w:kern w:val="0"/>
          <w:sz w:val="22"/>
          <w:szCs w:val="24"/>
          <w:lang w:val="zh-CN"/>
        </w:rPr>
        <w:t>2018</w:t>
      </w:r>
      <w:r>
        <w:rPr>
          <w:rFonts w:hint="eastAsia" w:ascii="宋体" w:hAnsi="宋体" w:cs="宋体"/>
          <w:kern w:val="0"/>
          <w:sz w:val="22"/>
          <w:szCs w:val="24"/>
          <w:lang w:val="zh-CN"/>
        </w:rPr>
        <w:t>年度）的年度平均净利润大于</w:t>
      </w:r>
      <w:r>
        <w:rPr>
          <w:rFonts w:eastAsia="Times New Roman"/>
          <w:kern w:val="0"/>
          <w:sz w:val="22"/>
          <w:szCs w:val="24"/>
          <w:lang w:val="zh-CN"/>
        </w:rPr>
        <w:t>849.3</w:t>
      </w:r>
      <w:r>
        <w:rPr>
          <w:rFonts w:hint="eastAsia" w:ascii="宋体" w:hAnsi="宋体" w:cs="宋体"/>
          <w:kern w:val="0"/>
          <w:sz w:val="22"/>
          <w:szCs w:val="24"/>
          <w:lang w:val="zh-CN"/>
        </w:rPr>
        <w:t>万元但小于或等于</w:t>
      </w:r>
      <w:r>
        <w:rPr>
          <w:rFonts w:eastAsia="Times New Roman"/>
          <w:kern w:val="0"/>
          <w:sz w:val="22"/>
          <w:szCs w:val="24"/>
          <w:lang w:val="zh-CN"/>
        </w:rPr>
        <w:t>1,000</w:t>
      </w:r>
      <w:r>
        <w:rPr>
          <w:rFonts w:hint="eastAsia" w:ascii="宋体" w:hAnsi="宋体" w:cs="宋体"/>
          <w:kern w:val="0"/>
          <w:sz w:val="22"/>
          <w:szCs w:val="24"/>
          <w:lang w:val="zh-CN"/>
        </w:rPr>
        <w:t>万元，则上海劳雷按照其业绩承诺期内的实际年度平均净利润的</w:t>
      </w:r>
      <w:r>
        <w:rPr>
          <w:rFonts w:eastAsia="Times New Roman"/>
          <w:kern w:val="0"/>
          <w:sz w:val="22"/>
          <w:szCs w:val="24"/>
          <w:lang w:val="zh-CN"/>
        </w:rPr>
        <w:t>10</w:t>
      </w:r>
      <w:r>
        <w:rPr>
          <w:rFonts w:hint="eastAsia" w:ascii="宋体" w:hAnsi="宋体" w:cs="宋体"/>
          <w:kern w:val="0"/>
          <w:sz w:val="22"/>
          <w:szCs w:val="24"/>
          <w:lang w:val="zh-CN"/>
        </w:rPr>
        <w:t>倍</w:t>
      </w:r>
      <w:r>
        <w:rPr>
          <w:rFonts w:eastAsia="Times New Roman"/>
          <w:kern w:val="0"/>
          <w:sz w:val="22"/>
          <w:szCs w:val="24"/>
          <w:lang w:val="zh-CN"/>
        </w:rPr>
        <w:t>PE</w:t>
      </w:r>
      <w:r>
        <w:rPr>
          <w:rFonts w:hint="eastAsia" w:ascii="宋体" w:hAnsi="宋体" w:cs="宋体"/>
          <w:kern w:val="0"/>
          <w:sz w:val="22"/>
          <w:szCs w:val="24"/>
          <w:lang w:val="zh-CN"/>
        </w:rPr>
        <w:t>所对应的估值（即使年度平均净利润超过</w:t>
      </w:r>
      <w:r>
        <w:rPr>
          <w:rFonts w:eastAsia="Times New Roman"/>
          <w:kern w:val="0"/>
          <w:sz w:val="22"/>
          <w:szCs w:val="24"/>
          <w:lang w:val="zh-CN"/>
        </w:rPr>
        <w:t>1,000</w:t>
      </w:r>
      <w:r>
        <w:rPr>
          <w:rFonts w:hint="eastAsia" w:ascii="宋体" w:hAnsi="宋体" w:cs="宋体"/>
          <w:kern w:val="0"/>
          <w:sz w:val="22"/>
          <w:szCs w:val="24"/>
          <w:lang w:val="zh-CN"/>
        </w:rPr>
        <w:t>万元，最高估值仍以</w:t>
      </w:r>
      <w:r>
        <w:rPr>
          <w:rFonts w:eastAsia="Times New Roman"/>
          <w:kern w:val="0"/>
          <w:sz w:val="22"/>
          <w:szCs w:val="24"/>
          <w:lang w:val="zh-CN"/>
        </w:rPr>
        <w:t>1</w:t>
      </w:r>
      <w:r>
        <w:rPr>
          <w:rFonts w:hint="eastAsia" w:ascii="宋体" w:hAnsi="宋体" w:cs="宋体"/>
          <w:kern w:val="0"/>
          <w:sz w:val="22"/>
          <w:szCs w:val="24"/>
          <w:lang w:val="zh-CN"/>
        </w:rPr>
        <w:t>亿元为限），以现金向广东蓝图信息技术有限公司支付股权届时的估值与本次交易对价之差额。</w:t>
      </w:r>
    </w:p>
    <w:p>
      <w:pPr>
        <w:autoSpaceDE w:val="0"/>
        <w:autoSpaceDN w:val="0"/>
        <w:adjustRightInd w:val="0"/>
        <w:spacing w:before="240" w:after="240"/>
        <w:ind w:firstLine="440"/>
        <w:jc w:val="left"/>
        <w:rPr>
          <w:rFonts w:ascii="宋体" w:hAnsi="宋体" w:cs="宋体"/>
          <w:kern w:val="0"/>
          <w:sz w:val="22"/>
          <w:szCs w:val="24"/>
          <w:lang w:val="zh-CN"/>
        </w:rPr>
      </w:pPr>
      <w:r>
        <w:rPr>
          <w:rFonts w:hint="eastAsia" w:ascii="宋体" w:hAnsi="宋体" w:cs="宋体"/>
          <w:kern w:val="0"/>
          <w:sz w:val="22"/>
          <w:szCs w:val="24"/>
          <w:lang w:val="zh-CN"/>
        </w:rPr>
        <w:t>注</w:t>
      </w:r>
      <w:r>
        <w:rPr>
          <w:rFonts w:ascii="宋体" w:hAnsi="宋体" w:cs="宋体"/>
          <w:kern w:val="0"/>
          <w:sz w:val="22"/>
          <w:szCs w:val="24"/>
          <w:lang w:val="zh-CN"/>
        </w:rPr>
        <w:t>2</w:t>
      </w:r>
      <w:r>
        <w:rPr>
          <w:rFonts w:hint="eastAsia" w:ascii="宋体" w:hAnsi="宋体" w:cs="宋体"/>
          <w:kern w:val="0"/>
          <w:sz w:val="22"/>
          <w:szCs w:val="24"/>
          <w:lang w:val="zh-CN"/>
        </w:rPr>
        <w:t>：</w:t>
      </w:r>
      <w:r>
        <w:rPr>
          <w:rFonts w:ascii="宋体" w:hAnsi="宋体" w:cs="宋体"/>
          <w:kern w:val="0"/>
          <w:sz w:val="22"/>
          <w:szCs w:val="24"/>
          <w:lang w:val="zh-CN"/>
        </w:rPr>
        <w:t>2016</w:t>
      </w:r>
      <w:r>
        <w:rPr>
          <w:rFonts w:hint="eastAsia" w:ascii="宋体" w:hAnsi="宋体" w:cs="宋体"/>
          <w:kern w:val="0"/>
          <w:sz w:val="22"/>
          <w:szCs w:val="24"/>
          <w:lang w:val="zh-CN"/>
        </w:rPr>
        <w:t>年</w:t>
      </w:r>
      <w:r>
        <w:rPr>
          <w:rFonts w:ascii="宋体" w:hAnsi="宋体" w:cs="宋体"/>
          <w:kern w:val="0"/>
          <w:sz w:val="22"/>
          <w:szCs w:val="24"/>
          <w:lang w:val="zh-CN"/>
        </w:rPr>
        <w:t>10</w:t>
      </w:r>
      <w:r>
        <w:rPr>
          <w:rFonts w:hint="eastAsia" w:ascii="宋体" w:hAnsi="宋体" w:cs="宋体"/>
          <w:kern w:val="0"/>
          <w:sz w:val="22"/>
          <w:szCs w:val="24"/>
          <w:lang w:val="zh-CN"/>
        </w:rPr>
        <w:t>月，香港海兰船舶电气系统科技有限公司与香港海兰信海洋工程技术开发有限公司签订股权转让协议，香港海兰船舶电气系统科技有限公司购买其持有的</w:t>
      </w:r>
      <w:r>
        <w:rPr>
          <w:rFonts w:ascii="宋体" w:hAnsi="宋体" w:cs="宋体"/>
          <w:kern w:val="0"/>
          <w:sz w:val="22"/>
          <w:szCs w:val="24"/>
          <w:lang w:val="zh-CN"/>
        </w:rPr>
        <w:t>Rockson Automation GmbH 51%</w:t>
      </w:r>
      <w:r>
        <w:rPr>
          <w:rFonts w:hint="eastAsia" w:ascii="宋体" w:hAnsi="宋体" w:cs="宋体"/>
          <w:kern w:val="0"/>
          <w:sz w:val="22"/>
          <w:szCs w:val="24"/>
          <w:lang w:val="zh-CN"/>
        </w:rPr>
        <w:t>股权，交易对价为</w:t>
      </w:r>
      <w:r>
        <w:rPr>
          <w:rFonts w:ascii="宋体" w:hAnsi="宋体" w:cs="宋体"/>
          <w:kern w:val="0"/>
          <w:sz w:val="22"/>
          <w:szCs w:val="24"/>
          <w:lang w:val="zh-CN"/>
        </w:rPr>
        <w:t>16,142,399.00</w:t>
      </w:r>
      <w:r>
        <w:rPr>
          <w:rFonts w:hint="eastAsia" w:ascii="宋体" w:hAnsi="宋体" w:cs="宋体"/>
          <w:kern w:val="0"/>
          <w:sz w:val="22"/>
          <w:szCs w:val="24"/>
          <w:lang w:val="zh-CN"/>
        </w:rPr>
        <w:t>元。该交易事项</w:t>
      </w:r>
      <w:r>
        <w:rPr>
          <w:rFonts w:ascii="宋体" w:hAnsi="宋体" w:cs="宋体"/>
          <w:kern w:val="0"/>
          <w:sz w:val="22"/>
          <w:szCs w:val="24"/>
          <w:lang w:val="zh-CN"/>
        </w:rPr>
        <w:t>2016</w:t>
      </w:r>
      <w:r>
        <w:rPr>
          <w:rFonts w:hint="eastAsia" w:ascii="宋体" w:hAnsi="宋体" w:cs="宋体"/>
          <w:kern w:val="0"/>
          <w:sz w:val="22"/>
          <w:szCs w:val="24"/>
          <w:lang w:val="zh-CN"/>
        </w:rPr>
        <w:t>年</w:t>
      </w:r>
      <w:r>
        <w:rPr>
          <w:rFonts w:ascii="宋体" w:hAnsi="宋体" w:cs="宋体"/>
          <w:kern w:val="0"/>
          <w:sz w:val="22"/>
          <w:szCs w:val="24"/>
          <w:lang w:val="zh-CN"/>
        </w:rPr>
        <w:t>10</w:t>
      </w:r>
      <w:r>
        <w:rPr>
          <w:rFonts w:hint="eastAsia" w:ascii="宋体" w:hAnsi="宋体" w:cs="宋体"/>
          <w:kern w:val="0"/>
          <w:sz w:val="22"/>
          <w:szCs w:val="24"/>
          <w:lang w:val="zh-CN"/>
        </w:rPr>
        <w:t>月经公司董事会批准通过。</w:t>
      </w:r>
    </w:p>
    <w:p>
      <w:pPr>
        <w:autoSpaceDE w:val="0"/>
        <w:autoSpaceDN w:val="0"/>
        <w:adjustRightInd w:val="0"/>
        <w:spacing w:before="0" w:after="0"/>
        <w:jc w:val="left"/>
        <w:rPr>
          <w:rFonts w:eastAsia="Times New Roman"/>
          <w:kern w:val="0"/>
          <w:szCs w:val="24"/>
          <w:lang w:val="zh-CN"/>
        </w:rPr>
      </w:pPr>
    </w:p>
    <w:p>
      <w:pPr>
        <w:pStyle w:val="11"/>
        <w:outlineLvl w:val="3"/>
        <w:rPr>
          <w:bCs w:val="0"/>
          <w:szCs w:val="24"/>
        </w:rPr>
      </w:pPr>
      <w:r>
        <w:rPr>
          <w:rFonts w:hint="eastAsia"/>
          <w:bCs w:val="0"/>
          <w:szCs w:val="24"/>
        </w:rPr>
        <w:t>（</w:t>
      </w:r>
      <w:r>
        <w:rPr>
          <w:bCs w:val="0"/>
          <w:szCs w:val="24"/>
        </w:rPr>
        <w:t>7</w:t>
      </w:r>
      <w:r>
        <w:rPr>
          <w:rFonts w:hint="eastAsia"/>
          <w:bCs w:val="0"/>
          <w:szCs w:val="24"/>
        </w:rPr>
        <w:t>）公司报告期内业务、产品或服务发生重大变化或调整有关情况</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pStyle w:val="11"/>
        <w:outlineLvl w:val="3"/>
        <w:rPr>
          <w:bCs w:val="0"/>
          <w:szCs w:val="24"/>
        </w:rPr>
      </w:pPr>
      <w:r>
        <w:rPr>
          <w:rFonts w:hint="eastAsia"/>
          <w:bCs w:val="0"/>
          <w:szCs w:val="24"/>
        </w:rPr>
        <w:t>（</w:t>
      </w:r>
      <w:r>
        <w:rPr>
          <w:bCs w:val="0"/>
          <w:szCs w:val="24"/>
        </w:rPr>
        <w:t>8</w:t>
      </w:r>
      <w:r>
        <w:rPr>
          <w:rFonts w:hint="eastAsia"/>
          <w:bCs w:val="0"/>
          <w:szCs w:val="24"/>
        </w:rPr>
        <w:t>）主要销售客户和主要供应商情况</w:t>
      </w:r>
    </w:p>
    <w:p>
      <w:pPr>
        <w:jc w:val="left"/>
        <w:rPr>
          <w:szCs w:val="24"/>
        </w:rPr>
      </w:pPr>
      <w:r>
        <w:rPr>
          <w:rFonts w:hint="eastAsia"/>
          <w:szCs w:val="24"/>
        </w:rPr>
        <w:t>公司主要销售客户情况</w:t>
      </w:r>
    </w:p>
    <w:tbl>
      <w:tblPr>
        <w:tblStyle w:val="8"/>
        <w:tblW w:w="9568" w:type="dxa"/>
        <w:tblInd w:w="28" w:type="dxa"/>
        <w:tblLayout w:type="fixed"/>
        <w:tblCellMar>
          <w:top w:w="0" w:type="dxa"/>
          <w:left w:w="28" w:type="dxa"/>
          <w:bottom w:w="0" w:type="dxa"/>
          <w:right w:w="28" w:type="dxa"/>
        </w:tblCellMar>
      </w:tblPr>
      <w:tblGrid>
        <w:gridCol w:w="4257"/>
        <w:gridCol w:w="5311"/>
      </w:tblGrid>
      <w:tr>
        <w:tblPrEx>
          <w:tblLayout w:type="fixed"/>
          <w:tblCellMar>
            <w:top w:w="0" w:type="dxa"/>
            <w:left w:w="28" w:type="dxa"/>
            <w:bottom w:w="0" w:type="dxa"/>
            <w:right w:w="28" w:type="dxa"/>
          </w:tblCellMar>
        </w:tblPrEx>
        <w:tc>
          <w:tcPr>
            <w:tcW w:w="425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前五名客户合计销售金额（元）</w:t>
            </w:r>
          </w:p>
        </w:tc>
        <w:tc>
          <w:tcPr>
            <w:tcW w:w="531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168,923,118.22</w:t>
            </w:r>
          </w:p>
        </w:tc>
      </w:tr>
      <w:tr>
        <w:tblPrEx>
          <w:tblLayout w:type="fixed"/>
          <w:tblCellMar>
            <w:top w:w="0" w:type="dxa"/>
            <w:left w:w="28" w:type="dxa"/>
            <w:bottom w:w="0" w:type="dxa"/>
            <w:right w:w="28" w:type="dxa"/>
          </w:tblCellMar>
        </w:tblPrEx>
        <w:tc>
          <w:tcPr>
            <w:tcW w:w="425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前五名客户合计销售金额占年度销售总额比例</w:t>
            </w:r>
          </w:p>
        </w:tc>
        <w:tc>
          <w:tcPr>
            <w:tcW w:w="531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23.57%</w:t>
            </w:r>
          </w:p>
        </w:tc>
      </w:tr>
      <w:tr>
        <w:tblPrEx>
          <w:tblLayout w:type="fixed"/>
          <w:tblCellMar>
            <w:top w:w="0" w:type="dxa"/>
            <w:left w:w="28" w:type="dxa"/>
            <w:bottom w:w="0" w:type="dxa"/>
            <w:right w:w="28" w:type="dxa"/>
          </w:tblCellMar>
        </w:tblPrEx>
        <w:tc>
          <w:tcPr>
            <w:tcW w:w="425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前五名客户销售额中关联方销售额占年度销售总额比例</w:t>
            </w:r>
          </w:p>
        </w:tc>
        <w:tc>
          <w:tcPr>
            <w:tcW w:w="531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4.15%</w:t>
            </w:r>
          </w:p>
        </w:tc>
      </w:tr>
    </w:tbl>
    <w:p>
      <w:pPr>
        <w:jc w:val="left"/>
        <w:rPr>
          <w:szCs w:val="24"/>
        </w:rPr>
      </w:pPr>
      <w:r>
        <w:rPr>
          <w:rFonts w:hint="eastAsia"/>
          <w:szCs w:val="24"/>
        </w:rPr>
        <w:t>公司前</w:t>
      </w:r>
      <w:r>
        <w:rPr>
          <w:szCs w:val="24"/>
        </w:rPr>
        <w:t>5</w:t>
      </w:r>
      <w:r>
        <w:rPr>
          <w:rFonts w:hint="eastAsia"/>
          <w:szCs w:val="24"/>
        </w:rPr>
        <w:t>大客户资料</w:t>
      </w:r>
    </w:p>
    <w:tbl>
      <w:tblPr>
        <w:tblStyle w:val="8"/>
        <w:tblW w:w="9568" w:type="dxa"/>
        <w:tblInd w:w="28" w:type="dxa"/>
        <w:tblLayout w:type="fixed"/>
        <w:tblCellMar>
          <w:top w:w="0" w:type="dxa"/>
          <w:left w:w="28" w:type="dxa"/>
          <w:bottom w:w="0" w:type="dxa"/>
          <w:right w:w="28" w:type="dxa"/>
        </w:tblCellMar>
      </w:tblPr>
      <w:tblGrid>
        <w:gridCol w:w="802"/>
        <w:gridCol w:w="3301"/>
        <w:gridCol w:w="2322"/>
        <w:gridCol w:w="3143"/>
      </w:tblGrid>
      <w:tr>
        <w:tblPrEx>
          <w:tblLayout w:type="fixed"/>
          <w:tblCellMar>
            <w:top w:w="0" w:type="dxa"/>
            <w:left w:w="28" w:type="dxa"/>
            <w:bottom w:w="0" w:type="dxa"/>
            <w:right w:w="28" w:type="dxa"/>
          </w:tblCellMar>
        </w:tblPrEx>
        <w:tc>
          <w:tcPr>
            <w:tcW w:w="80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序号</w:t>
            </w:r>
          </w:p>
        </w:tc>
        <w:tc>
          <w:tcPr>
            <w:tcW w:w="330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客户名称</w:t>
            </w:r>
          </w:p>
        </w:tc>
        <w:tc>
          <w:tcPr>
            <w:tcW w:w="232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销售额（元）</w:t>
            </w:r>
          </w:p>
        </w:tc>
        <w:tc>
          <w:tcPr>
            <w:tcW w:w="314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占年度销售总额比例</w:t>
            </w:r>
          </w:p>
        </w:tc>
      </w:tr>
      <w:tr>
        <w:tblPrEx>
          <w:tblLayout w:type="fixed"/>
          <w:tblCellMar>
            <w:top w:w="0" w:type="dxa"/>
            <w:left w:w="28" w:type="dxa"/>
            <w:bottom w:w="0" w:type="dxa"/>
            <w:right w:w="28" w:type="dxa"/>
          </w:tblCellMar>
        </w:tblPrEx>
        <w:tc>
          <w:tcPr>
            <w:tcW w:w="80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szCs w:val="24"/>
              </w:rPr>
              <w:t>1</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客户一</w:t>
            </w:r>
          </w:p>
        </w:tc>
        <w:tc>
          <w:tcPr>
            <w:tcW w:w="232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59,335,691.12</w:t>
            </w:r>
          </w:p>
        </w:tc>
        <w:tc>
          <w:tcPr>
            <w:tcW w:w="314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8.28%</w:t>
            </w:r>
          </w:p>
        </w:tc>
      </w:tr>
      <w:tr>
        <w:tblPrEx>
          <w:tblLayout w:type="fixed"/>
          <w:tblCellMar>
            <w:top w:w="0" w:type="dxa"/>
            <w:left w:w="28" w:type="dxa"/>
            <w:bottom w:w="0" w:type="dxa"/>
            <w:right w:w="28" w:type="dxa"/>
          </w:tblCellMar>
        </w:tblPrEx>
        <w:tc>
          <w:tcPr>
            <w:tcW w:w="80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szCs w:val="24"/>
              </w:rPr>
              <w:t>2</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客户二</w:t>
            </w:r>
          </w:p>
        </w:tc>
        <w:tc>
          <w:tcPr>
            <w:tcW w:w="232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31,968,100.30</w:t>
            </w:r>
          </w:p>
        </w:tc>
        <w:tc>
          <w:tcPr>
            <w:tcW w:w="314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4.46%</w:t>
            </w:r>
          </w:p>
        </w:tc>
      </w:tr>
      <w:tr>
        <w:tblPrEx>
          <w:tblLayout w:type="fixed"/>
          <w:tblCellMar>
            <w:top w:w="0" w:type="dxa"/>
            <w:left w:w="28" w:type="dxa"/>
            <w:bottom w:w="0" w:type="dxa"/>
            <w:right w:w="28" w:type="dxa"/>
          </w:tblCellMar>
        </w:tblPrEx>
        <w:tc>
          <w:tcPr>
            <w:tcW w:w="80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szCs w:val="24"/>
              </w:rPr>
              <w:t>3</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客户三</w:t>
            </w:r>
          </w:p>
        </w:tc>
        <w:tc>
          <w:tcPr>
            <w:tcW w:w="232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29,721,794.87</w:t>
            </w:r>
          </w:p>
        </w:tc>
        <w:tc>
          <w:tcPr>
            <w:tcW w:w="314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4.15%</w:t>
            </w:r>
          </w:p>
        </w:tc>
      </w:tr>
      <w:tr>
        <w:tblPrEx>
          <w:tblLayout w:type="fixed"/>
          <w:tblCellMar>
            <w:top w:w="0" w:type="dxa"/>
            <w:left w:w="28" w:type="dxa"/>
            <w:bottom w:w="0" w:type="dxa"/>
            <w:right w:w="28" w:type="dxa"/>
          </w:tblCellMar>
        </w:tblPrEx>
        <w:tc>
          <w:tcPr>
            <w:tcW w:w="80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szCs w:val="24"/>
              </w:rPr>
              <w:t>4</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客户四</w:t>
            </w:r>
          </w:p>
        </w:tc>
        <w:tc>
          <w:tcPr>
            <w:tcW w:w="232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24,247,059.91</w:t>
            </w:r>
          </w:p>
        </w:tc>
        <w:tc>
          <w:tcPr>
            <w:tcW w:w="314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3.38%</w:t>
            </w:r>
          </w:p>
        </w:tc>
      </w:tr>
      <w:tr>
        <w:tblPrEx>
          <w:tblLayout w:type="fixed"/>
          <w:tblCellMar>
            <w:top w:w="0" w:type="dxa"/>
            <w:left w:w="28" w:type="dxa"/>
            <w:bottom w:w="0" w:type="dxa"/>
            <w:right w:w="28" w:type="dxa"/>
          </w:tblCellMar>
        </w:tblPrEx>
        <w:tc>
          <w:tcPr>
            <w:tcW w:w="80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szCs w:val="24"/>
              </w:rPr>
              <w:t>5</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客户五</w:t>
            </w:r>
          </w:p>
        </w:tc>
        <w:tc>
          <w:tcPr>
            <w:tcW w:w="232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23,650,472.02</w:t>
            </w:r>
          </w:p>
        </w:tc>
        <w:tc>
          <w:tcPr>
            <w:tcW w:w="314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3.30%</w:t>
            </w:r>
          </w:p>
        </w:tc>
      </w:tr>
      <w:tr>
        <w:tblPrEx>
          <w:tblLayout w:type="fixed"/>
          <w:tblCellMar>
            <w:top w:w="0" w:type="dxa"/>
            <w:left w:w="28" w:type="dxa"/>
            <w:bottom w:w="0" w:type="dxa"/>
            <w:right w:w="28" w:type="dxa"/>
          </w:tblCellMar>
        </w:tblPrEx>
        <w:tc>
          <w:tcPr>
            <w:tcW w:w="80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合计</w:t>
            </w:r>
          </w:p>
        </w:tc>
        <w:tc>
          <w:tcPr>
            <w:tcW w:w="330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232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168,923,118.22</w:t>
            </w:r>
          </w:p>
        </w:tc>
        <w:tc>
          <w:tcPr>
            <w:tcW w:w="314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23.57%</w:t>
            </w:r>
          </w:p>
        </w:tc>
      </w:tr>
    </w:tbl>
    <w:p>
      <w:pPr>
        <w:jc w:val="left"/>
        <w:rPr>
          <w:szCs w:val="24"/>
        </w:rPr>
      </w:pPr>
      <w:r>
        <w:rPr>
          <w:rFonts w:hint="eastAsia"/>
          <w:szCs w:val="24"/>
        </w:rPr>
        <w:t>主要客户其他情况说明</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autoSpaceDE w:val="0"/>
        <w:autoSpaceDN w:val="0"/>
        <w:adjustRightInd w:val="0"/>
        <w:spacing w:before="240" w:after="240"/>
        <w:ind w:firstLine="440"/>
        <w:jc w:val="left"/>
        <w:rPr>
          <w:rFonts w:ascii="宋体" w:hAnsi="宋体" w:cs="宋体"/>
          <w:kern w:val="0"/>
          <w:sz w:val="22"/>
          <w:szCs w:val="24"/>
          <w:lang w:val="zh-CN"/>
        </w:rPr>
      </w:pPr>
      <w:r>
        <w:rPr>
          <w:rFonts w:hint="eastAsia" w:ascii="宋体" w:hAnsi="宋体" w:cs="宋体"/>
          <w:kern w:val="0"/>
          <w:sz w:val="22"/>
          <w:szCs w:val="24"/>
          <w:lang w:val="zh-CN"/>
        </w:rPr>
        <w:t>客户三：三亚海兰寰宇海洋信息科技有限公司是本公司的关联公司，公司实际控制人申万秋控制的无锡欧特海洋科技有限公司持有三亚海兰寰宇</w:t>
      </w:r>
      <w:r>
        <w:rPr>
          <w:rFonts w:ascii="宋体" w:hAnsi="宋体" w:cs="宋体"/>
          <w:kern w:val="0"/>
          <w:sz w:val="22"/>
          <w:szCs w:val="24"/>
          <w:lang w:val="zh-CN"/>
        </w:rPr>
        <w:t>30%</w:t>
      </w:r>
      <w:r>
        <w:rPr>
          <w:rFonts w:hint="eastAsia" w:ascii="宋体" w:hAnsi="宋体" w:cs="宋体"/>
          <w:kern w:val="0"/>
          <w:sz w:val="22"/>
          <w:szCs w:val="24"/>
          <w:lang w:val="zh-CN"/>
        </w:rPr>
        <w:t>股权。</w:t>
      </w:r>
    </w:p>
    <w:p>
      <w:pPr>
        <w:jc w:val="left"/>
        <w:rPr>
          <w:szCs w:val="24"/>
        </w:rPr>
      </w:pPr>
      <w:r>
        <w:rPr>
          <w:rFonts w:hint="eastAsia"/>
          <w:szCs w:val="24"/>
        </w:rPr>
        <w:t>公司主要供应商情况</w:t>
      </w:r>
    </w:p>
    <w:tbl>
      <w:tblPr>
        <w:tblStyle w:val="8"/>
        <w:tblW w:w="9568" w:type="dxa"/>
        <w:tblInd w:w="28" w:type="dxa"/>
        <w:tblLayout w:type="fixed"/>
        <w:tblCellMar>
          <w:top w:w="0" w:type="dxa"/>
          <w:left w:w="28" w:type="dxa"/>
          <w:bottom w:w="0" w:type="dxa"/>
          <w:right w:w="28" w:type="dxa"/>
        </w:tblCellMar>
      </w:tblPr>
      <w:tblGrid>
        <w:gridCol w:w="4257"/>
        <w:gridCol w:w="5311"/>
      </w:tblGrid>
      <w:tr>
        <w:tblPrEx>
          <w:tblLayout w:type="fixed"/>
          <w:tblCellMar>
            <w:top w:w="0" w:type="dxa"/>
            <w:left w:w="28" w:type="dxa"/>
            <w:bottom w:w="0" w:type="dxa"/>
            <w:right w:w="28" w:type="dxa"/>
          </w:tblCellMar>
        </w:tblPrEx>
        <w:tc>
          <w:tcPr>
            <w:tcW w:w="425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前五名供应商合计采购金额（元）</w:t>
            </w:r>
          </w:p>
        </w:tc>
        <w:tc>
          <w:tcPr>
            <w:tcW w:w="531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154,522,083.39</w:t>
            </w:r>
          </w:p>
        </w:tc>
      </w:tr>
      <w:tr>
        <w:tblPrEx>
          <w:tblLayout w:type="fixed"/>
          <w:tblCellMar>
            <w:top w:w="0" w:type="dxa"/>
            <w:left w:w="28" w:type="dxa"/>
            <w:bottom w:w="0" w:type="dxa"/>
            <w:right w:w="28" w:type="dxa"/>
          </w:tblCellMar>
        </w:tblPrEx>
        <w:tc>
          <w:tcPr>
            <w:tcW w:w="425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前五名供应商合计采购金额占年度采购总额比例</w:t>
            </w:r>
          </w:p>
        </w:tc>
        <w:tc>
          <w:tcPr>
            <w:tcW w:w="531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42.64%</w:t>
            </w:r>
          </w:p>
        </w:tc>
      </w:tr>
      <w:tr>
        <w:tblPrEx>
          <w:tblLayout w:type="fixed"/>
          <w:tblCellMar>
            <w:top w:w="0" w:type="dxa"/>
            <w:left w:w="28" w:type="dxa"/>
            <w:bottom w:w="0" w:type="dxa"/>
            <w:right w:w="28" w:type="dxa"/>
          </w:tblCellMar>
        </w:tblPrEx>
        <w:tc>
          <w:tcPr>
            <w:tcW w:w="425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前五名供应商采购额中关联方采购额占年度采购总额比例</w:t>
            </w:r>
          </w:p>
        </w:tc>
        <w:tc>
          <w:tcPr>
            <w:tcW w:w="531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0.00%</w:t>
            </w:r>
          </w:p>
        </w:tc>
      </w:tr>
    </w:tbl>
    <w:p>
      <w:pPr>
        <w:jc w:val="left"/>
        <w:rPr>
          <w:szCs w:val="24"/>
        </w:rPr>
      </w:pPr>
      <w:r>
        <w:rPr>
          <w:rFonts w:hint="eastAsia"/>
          <w:szCs w:val="24"/>
        </w:rPr>
        <w:t>公司前</w:t>
      </w:r>
      <w:r>
        <w:rPr>
          <w:szCs w:val="24"/>
        </w:rPr>
        <w:t>5</w:t>
      </w:r>
      <w:r>
        <w:rPr>
          <w:rFonts w:hint="eastAsia"/>
          <w:szCs w:val="24"/>
        </w:rPr>
        <w:t>名供应商资料</w:t>
      </w:r>
    </w:p>
    <w:tbl>
      <w:tblPr>
        <w:tblStyle w:val="8"/>
        <w:tblW w:w="9568" w:type="dxa"/>
        <w:tblInd w:w="28" w:type="dxa"/>
        <w:tblLayout w:type="fixed"/>
        <w:tblCellMar>
          <w:top w:w="0" w:type="dxa"/>
          <w:left w:w="28" w:type="dxa"/>
          <w:bottom w:w="0" w:type="dxa"/>
          <w:right w:w="28" w:type="dxa"/>
        </w:tblCellMar>
      </w:tblPr>
      <w:tblGrid>
        <w:gridCol w:w="935"/>
        <w:gridCol w:w="3168"/>
        <w:gridCol w:w="2322"/>
        <w:gridCol w:w="3143"/>
      </w:tblGrid>
      <w:tr>
        <w:tblPrEx>
          <w:tblLayout w:type="fixed"/>
          <w:tblCellMar>
            <w:top w:w="0" w:type="dxa"/>
            <w:left w:w="28" w:type="dxa"/>
            <w:bottom w:w="0" w:type="dxa"/>
            <w:right w:w="28" w:type="dxa"/>
          </w:tblCellMar>
        </w:tblPrEx>
        <w:tc>
          <w:tcPr>
            <w:tcW w:w="93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序号</w:t>
            </w:r>
          </w:p>
        </w:tc>
        <w:tc>
          <w:tcPr>
            <w:tcW w:w="3168"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供应商名称</w:t>
            </w:r>
          </w:p>
        </w:tc>
        <w:tc>
          <w:tcPr>
            <w:tcW w:w="232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采购额（元）</w:t>
            </w:r>
          </w:p>
        </w:tc>
        <w:tc>
          <w:tcPr>
            <w:tcW w:w="314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占年度采购总额比例</w:t>
            </w:r>
          </w:p>
        </w:tc>
      </w:tr>
      <w:tr>
        <w:tblPrEx>
          <w:tblLayout w:type="fixed"/>
          <w:tblCellMar>
            <w:top w:w="0" w:type="dxa"/>
            <w:left w:w="28" w:type="dxa"/>
            <w:bottom w:w="0" w:type="dxa"/>
            <w:right w:w="28" w:type="dxa"/>
          </w:tblCellMar>
        </w:tblPrEx>
        <w:tc>
          <w:tcPr>
            <w:tcW w:w="93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szCs w:val="24"/>
              </w:rPr>
              <w:t>1</w:t>
            </w:r>
          </w:p>
        </w:tc>
        <w:tc>
          <w:tcPr>
            <w:tcW w:w="316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供应商一</w:t>
            </w:r>
          </w:p>
        </w:tc>
        <w:tc>
          <w:tcPr>
            <w:tcW w:w="232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62,998,194.53</w:t>
            </w:r>
          </w:p>
        </w:tc>
        <w:tc>
          <w:tcPr>
            <w:tcW w:w="314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17.38%</w:t>
            </w:r>
          </w:p>
        </w:tc>
      </w:tr>
      <w:tr>
        <w:tblPrEx>
          <w:tblLayout w:type="fixed"/>
          <w:tblCellMar>
            <w:top w:w="0" w:type="dxa"/>
            <w:left w:w="28" w:type="dxa"/>
            <w:bottom w:w="0" w:type="dxa"/>
            <w:right w:w="28" w:type="dxa"/>
          </w:tblCellMar>
        </w:tblPrEx>
        <w:tc>
          <w:tcPr>
            <w:tcW w:w="93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szCs w:val="24"/>
              </w:rPr>
              <w:t>2</w:t>
            </w:r>
          </w:p>
        </w:tc>
        <w:tc>
          <w:tcPr>
            <w:tcW w:w="316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供应商二</w:t>
            </w:r>
          </w:p>
        </w:tc>
        <w:tc>
          <w:tcPr>
            <w:tcW w:w="232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29,600,899.97</w:t>
            </w:r>
          </w:p>
        </w:tc>
        <w:tc>
          <w:tcPr>
            <w:tcW w:w="314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8.17%</w:t>
            </w:r>
          </w:p>
        </w:tc>
      </w:tr>
      <w:tr>
        <w:tblPrEx>
          <w:tblLayout w:type="fixed"/>
          <w:tblCellMar>
            <w:top w:w="0" w:type="dxa"/>
            <w:left w:w="28" w:type="dxa"/>
            <w:bottom w:w="0" w:type="dxa"/>
            <w:right w:w="28" w:type="dxa"/>
          </w:tblCellMar>
        </w:tblPrEx>
        <w:tc>
          <w:tcPr>
            <w:tcW w:w="93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szCs w:val="24"/>
              </w:rPr>
              <w:t>3</w:t>
            </w:r>
          </w:p>
        </w:tc>
        <w:tc>
          <w:tcPr>
            <w:tcW w:w="316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供应商三</w:t>
            </w:r>
          </w:p>
        </w:tc>
        <w:tc>
          <w:tcPr>
            <w:tcW w:w="232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24,926,181.08</w:t>
            </w:r>
          </w:p>
        </w:tc>
        <w:tc>
          <w:tcPr>
            <w:tcW w:w="314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6.88%</w:t>
            </w:r>
          </w:p>
        </w:tc>
      </w:tr>
      <w:tr>
        <w:tblPrEx>
          <w:tblLayout w:type="fixed"/>
          <w:tblCellMar>
            <w:top w:w="0" w:type="dxa"/>
            <w:left w:w="28" w:type="dxa"/>
            <w:bottom w:w="0" w:type="dxa"/>
            <w:right w:w="28" w:type="dxa"/>
          </w:tblCellMar>
        </w:tblPrEx>
        <w:tc>
          <w:tcPr>
            <w:tcW w:w="93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szCs w:val="24"/>
              </w:rPr>
              <w:t>4</w:t>
            </w:r>
          </w:p>
        </w:tc>
        <w:tc>
          <w:tcPr>
            <w:tcW w:w="316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供应商四</w:t>
            </w:r>
          </w:p>
        </w:tc>
        <w:tc>
          <w:tcPr>
            <w:tcW w:w="232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24,019,901.54</w:t>
            </w:r>
          </w:p>
        </w:tc>
        <w:tc>
          <w:tcPr>
            <w:tcW w:w="314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6.63%</w:t>
            </w:r>
          </w:p>
        </w:tc>
      </w:tr>
      <w:tr>
        <w:tblPrEx>
          <w:tblLayout w:type="fixed"/>
          <w:tblCellMar>
            <w:top w:w="0" w:type="dxa"/>
            <w:left w:w="28" w:type="dxa"/>
            <w:bottom w:w="0" w:type="dxa"/>
            <w:right w:w="28" w:type="dxa"/>
          </w:tblCellMar>
        </w:tblPrEx>
        <w:tc>
          <w:tcPr>
            <w:tcW w:w="93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szCs w:val="24"/>
              </w:rPr>
              <w:t>5</w:t>
            </w:r>
          </w:p>
        </w:tc>
        <w:tc>
          <w:tcPr>
            <w:tcW w:w="316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供应商五</w:t>
            </w:r>
          </w:p>
        </w:tc>
        <w:tc>
          <w:tcPr>
            <w:tcW w:w="232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12,976,906.27</w:t>
            </w:r>
          </w:p>
        </w:tc>
        <w:tc>
          <w:tcPr>
            <w:tcW w:w="314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3.58%</w:t>
            </w:r>
          </w:p>
        </w:tc>
      </w:tr>
      <w:tr>
        <w:tblPrEx>
          <w:tblLayout w:type="fixed"/>
          <w:tblCellMar>
            <w:top w:w="0" w:type="dxa"/>
            <w:left w:w="28" w:type="dxa"/>
            <w:bottom w:w="0" w:type="dxa"/>
            <w:right w:w="28" w:type="dxa"/>
          </w:tblCellMar>
        </w:tblPrEx>
        <w:tc>
          <w:tcPr>
            <w:tcW w:w="93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合计</w:t>
            </w:r>
          </w:p>
        </w:tc>
        <w:tc>
          <w:tcPr>
            <w:tcW w:w="3168"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232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154,522,083.39</w:t>
            </w:r>
          </w:p>
        </w:tc>
        <w:tc>
          <w:tcPr>
            <w:tcW w:w="314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42.64%</w:t>
            </w:r>
          </w:p>
        </w:tc>
      </w:tr>
    </w:tbl>
    <w:p>
      <w:pPr>
        <w:jc w:val="left"/>
        <w:rPr>
          <w:szCs w:val="24"/>
        </w:rPr>
      </w:pPr>
      <w:r>
        <w:rPr>
          <w:rFonts w:hint="eastAsia"/>
          <w:szCs w:val="24"/>
        </w:rPr>
        <w:t>主要供应商其他情况说明</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pStyle w:val="11"/>
        <w:outlineLvl w:val="2"/>
        <w:rPr>
          <w:bCs w:val="0"/>
          <w:szCs w:val="24"/>
        </w:rPr>
      </w:pPr>
      <w:r>
        <w:rPr>
          <w:bCs w:val="0"/>
          <w:szCs w:val="24"/>
        </w:rPr>
        <w:t>3</w:t>
      </w:r>
      <w:r>
        <w:rPr>
          <w:rFonts w:hint="eastAsia"/>
          <w:bCs w:val="0"/>
          <w:szCs w:val="24"/>
        </w:rPr>
        <w:t>、费用</w:t>
      </w:r>
    </w:p>
    <w:p>
      <w:pPr>
        <w:jc w:val="right"/>
        <w:rPr>
          <w:szCs w:val="24"/>
        </w:rPr>
      </w:pPr>
      <w:r>
        <w:rPr>
          <w:rFonts w:hint="eastAsia"/>
          <w:szCs w:val="24"/>
        </w:rPr>
        <w:t>单位：元</w:t>
      </w:r>
    </w:p>
    <w:tbl>
      <w:tblPr>
        <w:tblStyle w:val="8"/>
        <w:tblW w:w="9568" w:type="dxa"/>
        <w:tblInd w:w="28" w:type="dxa"/>
        <w:tblLayout w:type="fixed"/>
        <w:tblCellMar>
          <w:top w:w="0" w:type="dxa"/>
          <w:left w:w="28" w:type="dxa"/>
          <w:bottom w:w="0" w:type="dxa"/>
          <w:right w:w="28" w:type="dxa"/>
        </w:tblCellMar>
      </w:tblPr>
      <w:tblGrid>
        <w:gridCol w:w="1915"/>
        <w:gridCol w:w="1637"/>
        <w:gridCol w:w="1637"/>
        <w:gridCol w:w="1461"/>
        <w:gridCol w:w="2918"/>
      </w:tblGrid>
      <w:tr>
        <w:tblPrEx>
          <w:tblLayout w:type="fixed"/>
          <w:tblCellMar>
            <w:top w:w="0" w:type="dxa"/>
            <w:left w:w="28" w:type="dxa"/>
            <w:bottom w:w="0" w:type="dxa"/>
            <w:right w:w="28" w:type="dxa"/>
          </w:tblCellMar>
        </w:tblPrEx>
        <w:tc>
          <w:tcPr>
            <w:tcW w:w="191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p>
        </w:tc>
        <w:tc>
          <w:tcPr>
            <w:tcW w:w="163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2016</w:t>
            </w:r>
            <w:r>
              <w:rPr>
                <w:rFonts w:hint="eastAsia"/>
                <w:szCs w:val="24"/>
              </w:rPr>
              <w:t>年</w:t>
            </w:r>
          </w:p>
        </w:tc>
        <w:tc>
          <w:tcPr>
            <w:tcW w:w="163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2015</w:t>
            </w:r>
            <w:r>
              <w:rPr>
                <w:rFonts w:hint="eastAsia"/>
                <w:szCs w:val="24"/>
              </w:rPr>
              <w:t>年</w:t>
            </w:r>
          </w:p>
        </w:tc>
        <w:tc>
          <w:tcPr>
            <w:tcW w:w="146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同比增减</w:t>
            </w:r>
          </w:p>
        </w:tc>
        <w:tc>
          <w:tcPr>
            <w:tcW w:w="2918"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重大变动说明</w:t>
            </w:r>
          </w:p>
        </w:tc>
      </w:tr>
      <w:tr>
        <w:tblPrEx>
          <w:tblLayout w:type="fixed"/>
          <w:tblCellMar>
            <w:top w:w="0" w:type="dxa"/>
            <w:left w:w="28" w:type="dxa"/>
            <w:bottom w:w="0" w:type="dxa"/>
            <w:right w:w="28" w:type="dxa"/>
          </w:tblCellMar>
        </w:tblPrEx>
        <w:tc>
          <w:tcPr>
            <w:tcW w:w="191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销售费用</w:t>
            </w:r>
          </w:p>
        </w:tc>
        <w:tc>
          <w:tcPr>
            <w:tcW w:w="1637" w:type="dxa"/>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85,808,344.10</w:t>
            </w:r>
          </w:p>
        </w:tc>
        <w:tc>
          <w:tcPr>
            <w:tcW w:w="1637" w:type="dxa"/>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32,113,442.44</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167.20%</w:t>
            </w:r>
          </w:p>
        </w:tc>
        <w:tc>
          <w:tcPr>
            <w:tcW w:w="291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本年度新增合并公司所致</w:t>
            </w:r>
          </w:p>
        </w:tc>
      </w:tr>
      <w:tr>
        <w:tblPrEx>
          <w:tblLayout w:type="fixed"/>
          <w:tblCellMar>
            <w:top w:w="0" w:type="dxa"/>
            <w:left w:w="28" w:type="dxa"/>
            <w:bottom w:w="0" w:type="dxa"/>
            <w:right w:w="28" w:type="dxa"/>
          </w:tblCellMar>
        </w:tblPrEx>
        <w:tc>
          <w:tcPr>
            <w:tcW w:w="191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管理费用</w:t>
            </w:r>
          </w:p>
        </w:tc>
        <w:tc>
          <w:tcPr>
            <w:tcW w:w="1637" w:type="dxa"/>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78,084,668.32</w:t>
            </w:r>
          </w:p>
        </w:tc>
        <w:tc>
          <w:tcPr>
            <w:tcW w:w="1637" w:type="dxa"/>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62,433,406.28</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25.07%</w:t>
            </w:r>
          </w:p>
        </w:tc>
        <w:tc>
          <w:tcPr>
            <w:tcW w:w="291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本年度新增合并公司所致</w:t>
            </w:r>
          </w:p>
        </w:tc>
      </w:tr>
      <w:tr>
        <w:tblPrEx>
          <w:tblLayout w:type="fixed"/>
          <w:tblCellMar>
            <w:top w:w="0" w:type="dxa"/>
            <w:left w:w="28" w:type="dxa"/>
            <w:bottom w:w="0" w:type="dxa"/>
            <w:right w:w="28" w:type="dxa"/>
          </w:tblCellMar>
        </w:tblPrEx>
        <w:tc>
          <w:tcPr>
            <w:tcW w:w="191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财务费用</w:t>
            </w:r>
          </w:p>
        </w:tc>
        <w:tc>
          <w:tcPr>
            <w:tcW w:w="1637" w:type="dxa"/>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6,476,827.73</w:t>
            </w:r>
          </w:p>
        </w:tc>
        <w:tc>
          <w:tcPr>
            <w:tcW w:w="1637" w:type="dxa"/>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-79,833.05</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8,212.97%</w:t>
            </w:r>
          </w:p>
        </w:tc>
        <w:tc>
          <w:tcPr>
            <w:tcW w:w="291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本年度新增合并公司汇兑损失所致</w:t>
            </w:r>
          </w:p>
        </w:tc>
      </w:tr>
    </w:tbl>
    <w:p>
      <w:pPr>
        <w:pStyle w:val="11"/>
        <w:outlineLvl w:val="2"/>
        <w:rPr>
          <w:bCs w:val="0"/>
          <w:szCs w:val="24"/>
        </w:rPr>
      </w:pPr>
      <w:r>
        <w:rPr>
          <w:bCs w:val="0"/>
          <w:szCs w:val="24"/>
        </w:rPr>
        <w:t>4</w:t>
      </w:r>
      <w:r>
        <w:rPr>
          <w:rFonts w:hint="eastAsia"/>
          <w:bCs w:val="0"/>
          <w:szCs w:val="24"/>
        </w:rPr>
        <w:t>、研发投入</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autoSpaceDE w:val="0"/>
        <w:autoSpaceDN w:val="0"/>
        <w:adjustRightInd w:val="0"/>
        <w:ind w:firstLine="420"/>
        <w:rPr>
          <w:rFonts w:eastAsia="Times New Roman"/>
          <w:kern w:val="0"/>
          <w:sz w:val="21"/>
          <w:szCs w:val="24"/>
          <w:lang w:val="zh-CN"/>
        </w:rPr>
      </w:pPr>
      <w:r>
        <w:rPr>
          <w:rFonts w:eastAsia="Times New Roman"/>
          <w:kern w:val="0"/>
          <w:sz w:val="21"/>
          <w:szCs w:val="24"/>
          <w:lang w:val="zh-CN"/>
        </w:rPr>
        <w:t>2016</w:t>
      </w:r>
      <w:r>
        <w:rPr>
          <w:rFonts w:hint="eastAsia" w:ascii="宋体" w:hAnsi="宋体" w:cs="宋体"/>
          <w:kern w:val="0"/>
          <w:sz w:val="21"/>
          <w:szCs w:val="24"/>
          <w:lang w:val="zh-CN"/>
        </w:rPr>
        <w:t>年度公司进一步加大研发投入，本年研发投入</w:t>
      </w:r>
      <w:r>
        <w:rPr>
          <w:rFonts w:eastAsia="Times New Roman"/>
          <w:kern w:val="0"/>
          <w:sz w:val="21"/>
          <w:szCs w:val="24"/>
          <w:lang w:val="zh-CN"/>
        </w:rPr>
        <w:t>4528.20</w:t>
      </w:r>
      <w:r>
        <w:rPr>
          <w:rFonts w:hint="eastAsia" w:ascii="宋体" w:hAnsi="宋体" w:cs="宋体"/>
          <w:kern w:val="0"/>
          <w:sz w:val="21"/>
          <w:szCs w:val="24"/>
          <w:lang w:val="zh-CN"/>
        </w:rPr>
        <w:t>万元，较上年增长</w:t>
      </w:r>
      <w:r>
        <w:rPr>
          <w:rFonts w:eastAsia="Times New Roman"/>
          <w:kern w:val="0"/>
          <w:sz w:val="21"/>
          <w:szCs w:val="24"/>
          <w:lang w:val="zh-CN"/>
        </w:rPr>
        <w:t>15.81%</w:t>
      </w:r>
      <w:r>
        <w:rPr>
          <w:rFonts w:hint="eastAsia" w:ascii="宋体" w:hAnsi="宋体" w:cs="宋体"/>
          <w:kern w:val="0"/>
          <w:sz w:val="21"/>
          <w:szCs w:val="24"/>
          <w:lang w:val="zh-CN"/>
        </w:rPr>
        <w:t>，占营业收入的</w:t>
      </w:r>
      <w:r>
        <w:rPr>
          <w:rFonts w:eastAsia="Times New Roman"/>
          <w:kern w:val="0"/>
          <w:sz w:val="21"/>
          <w:szCs w:val="24"/>
          <w:lang w:val="zh-CN"/>
        </w:rPr>
        <w:t>6.32%</w:t>
      </w:r>
      <w:r>
        <w:rPr>
          <w:rFonts w:hint="eastAsia" w:ascii="宋体" w:hAnsi="宋体" w:cs="宋体"/>
          <w:kern w:val="0"/>
          <w:sz w:val="21"/>
          <w:szCs w:val="24"/>
          <w:lang w:val="zh-CN"/>
        </w:rPr>
        <w:t>。研发投入主要用于系列雷达项目、</w:t>
      </w:r>
      <w:r>
        <w:rPr>
          <w:rFonts w:eastAsia="Times New Roman"/>
          <w:kern w:val="0"/>
          <w:sz w:val="21"/>
          <w:szCs w:val="24"/>
          <w:lang w:val="zh-CN"/>
        </w:rPr>
        <w:t>INS</w:t>
      </w:r>
      <w:r>
        <w:rPr>
          <w:rFonts w:hint="eastAsia" w:ascii="宋体" w:hAnsi="宋体" w:cs="宋体"/>
          <w:kern w:val="0"/>
          <w:sz w:val="21"/>
          <w:szCs w:val="24"/>
          <w:lang w:val="zh-CN"/>
        </w:rPr>
        <w:t>项目、</w:t>
      </w:r>
      <w:r>
        <w:rPr>
          <w:rFonts w:eastAsia="Times New Roman"/>
          <w:kern w:val="0"/>
          <w:sz w:val="21"/>
          <w:szCs w:val="24"/>
          <w:lang w:val="zh-CN"/>
        </w:rPr>
        <w:t>Hi-CLOUD</w:t>
      </w:r>
      <w:r>
        <w:rPr>
          <w:rFonts w:hint="eastAsia" w:ascii="宋体" w:hAnsi="宋体" w:cs="宋体"/>
          <w:kern w:val="0"/>
          <w:sz w:val="21"/>
          <w:szCs w:val="24"/>
          <w:lang w:val="zh-CN"/>
        </w:rPr>
        <w:t>项目、</w:t>
      </w:r>
      <w:r>
        <w:rPr>
          <w:rFonts w:eastAsia="Times New Roman"/>
          <w:kern w:val="0"/>
          <w:sz w:val="21"/>
          <w:szCs w:val="24"/>
          <w:lang w:val="zh-CN"/>
        </w:rPr>
        <w:t>JP</w:t>
      </w:r>
      <w:r>
        <w:rPr>
          <w:rFonts w:hint="eastAsia" w:ascii="宋体" w:hAnsi="宋体" w:cs="宋体"/>
          <w:kern w:val="0"/>
          <w:sz w:val="21"/>
          <w:szCs w:val="24"/>
          <w:lang w:val="zh-CN"/>
        </w:rPr>
        <w:t>系列项目、智能化、高端传感器等研发项目。公司继续秉承</w:t>
      </w:r>
      <w:r>
        <w:rPr>
          <w:rFonts w:eastAsia="Times New Roman"/>
          <w:kern w:val="0"/>
          <w:sz w:val="21"/>
          <w:szCs w:val="24"/>
          <w:lang w:val="zh-CN"/>
        </w:rPr>
        <w:t>“</w:t>
      </w:r>
      <w:r>
        <w:rPr>
          <w:rFonts w:hint="eastAsia" w:ascii="宋体" w:hAnsi="宋体" w:cs="宋体"/>
          <w:kern w:val="0"/>
          <w:sz w:val="21"/>
          <w:szCs w:val="24"/>
          <w:lang w:val="zh-CN"/>
        </w:rPr>
        <w:t>自主队伍为基础，国际合作创一流</w:t>
      </w:r>
      <w:r>
        <w:rPr>
          <w:rFonts w:eastAsia="Times New Roman"/>
          <w:kern w:val="0"/>
          <w:sz w:val="21"/>
          <w:szCs w:val="24"/>
          <w:lang w:val="zh-CN"/>
        </w:rPr>
        <w:t>”</w:t>
      </w:r>
      <w:r>
        <w:rPr>
          <w:rFonts w:hint="eastAsia" w:ascii="宋体" w:hAnsi="宋体" w:cs="宋体"/>
          <w:kern w:val="0"/>
          <w:sz w:val="21"/>
          <w:szCs w:val="24"/>
          <w:lang w:val="zh-CN"/>
        </w:rPr>
        <w:t>的研发思路，强调国际领先性，通过自主开发、对外合作等方式快速积累核心技术，快速推出、完善和升级自主产品，巩固和保持公司在行业中的技术优势。</w:t>
      </w:r>
    </w:p>
    <w:p>
      <w:pPr>
        <w:autoSpaceDE w:val="0"/>
        <w:autoSpaceDN w:val="0"/>
        <w:adjustRightInd w:val="0"/>
        <w:ind w:firstLine="420"/>
        <w:rPr>
          <w:rFonts w:eastAsia="Times New Roman"/>
          <w:kern w:val="0"/>
          <w:sz w:val="21"/>
          <w:szCs w:val="24"/>
          <w:lang w:val="zh-CN"/>
        </w:rPr>
      </w:pPr>
      <w:r>
        <w:rPr>
          <w:rFonts w:hint="eastAsia" w:ascii="宋体" w:hAnsi="宋体" w:cs="宋体"/>
          <w:kern w:val="0"/>
          <w:sz w:val="21"/>
          <w:szCs w:val="24"/>
          <w:lang w:val="zh-CN"/>
        </w:rPr>
        <w:t>本报告期研发投入金额</w:t>
      </w:r>
      <w:r>
        <w:rPr>
          <w:rFonts w:eastAsia="Times New Roman"/>
          <w:kern w:val="0"/>
          <w:sz w:val="21"/>
          <w:szCs w:val="24"/>
          <w:lang w:val="zh-CN"/>
        </w:rPr>
        <w:t>4,528.20</w:t>
      </w:r>
      <w:r>
        <w:rPr>
          <w:rFonts w:hint="eastAsia" w:ascii="宋体" w:hAnsi="宋体" w:cs="宋体"/>
          <w:kern w:val="0"/>
          <w:sz w:val="21"/>
          <w:szCs w:val="24"/>
          <w:lang w:val="zh-CN"/>
        </w:rPr>
        <w:t>万元中包括委托外部研发直接支付的</w:t>
      </w:r>
      <w:r>
        <w:rPr>
          <w:rFonts w:eastAsia="Times New Roman"/>
          <w:kern w:val="0"/>
          <w:sz w:val="21"/>
          <w:szCs w:val="24"/>
          <w:lang w:val="zh-CN"/>
        </w:rPr>
        <w:t>1,318.49</w:t>
      </w:r>
      <w:r>
        <w:rPr>
          <w:rFonts w:hint="eastAsia" w:ascii="宋体" w:hAnsi="宋体" w:cs="宋体"/>
          <w:kern w:val="0"/>
          <w:sz w:val="21"/>
          <w:szCs w:val="24"/>
          <w:lang w:val="zh-CN"/>
        </w:rPr>
        <w:t>万元研发投入，研发支出资本化金额包括</w:t>
      </w:r>
      <w:r>
        <w:rPr>
          <w:rFonts w:eastAsia="Times New Roman"/>
          <w:kern w:val="0"/>
          <w:sz w:val="21"/>
          <w:szCs w:val="24"/>
          <w:lang w:val="zh-CN"/>
        </w:rPr>
        <w:t>828.82</w:t>
      </w:r>
      <w:r>
        <w:rPr>
          <w:rFonts w:hint="eastAsia" w:ascii="宋体" w:hAnsi="宋体" w:cs="宋体"/>
          <w:kern w:val="0"/>
          <w:sz w:val="21"/>
          <w:szCs w:val="24"/>
          <w:lang w:val="zh-CN"/>
        </w:rPr>
        <w:t>万元委托开发软件系统。</w:t>
      </w:r>
    </w:p>
    <w:p>
      <w:pPr>
        <w:jc w:val="left"/>
        <w:rPr>
          <w:szCs w:val="24"/>
        </w:rPr>
      </w:pPr>
      <w:r>
        <w:rPr>
          <w:rFonts w:hint="eastAsia"/>
          <w:szCs w:val="24"/>
        </w:rPr>
        <w:t>近三年公司研发投入金额及占营业收入的比例</w:t>
      </w:r>
    </w:p>
    <w:tbl>
      <w:tblPr>
        <w:tblStyle w:val="8"/>
        <w:tblW w:w="9568" w:type="dxa"/>
        <w:tblInd w:w="28" w:type="dxa"/>
        <w:tblLayout w:type="fixed"/>
        <w:tblCellMar>
          <w:top w:w="0" w:type="dxa"/>
          <w:left w:w="28" w:type="dxa"/>
          <w:bottom w:w="0" w:type="dxa"/>
          <w:right w:w="28" w:type="dxa"/>
        </w:tblCellMar>
      </w:tblPr>
      <w:tblGrid>
        <w:gridCol w:w="2392"/>
        <w:gridCol w:w="2392"/>
        <w:gridCol w:w="2392"/>
        <w:gridCol w:w="2392"/>
      </w:tblGrid>
      <w:tr>
        <w:tblPrEx>
          <w:tblLayout w:type="fixed"/>
          <w:tblCellMar>
            <w:top w:w="0" w:type="dxa"/>
            <w:left w:w="28" w:type="dxa"/>
            <w:bottom w:w="0" w:type="dxa"/>
            <w:right w:w="28" w:type="dxa"/>
          </w:tblCellMar>
        </w:tblPrEx>
        <w:tc>
          <w:tcPr>
            <w:tcW w:w="239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p>
        </w:tc>
        <w:tc>
          <w:tcPr>
            <w:tcW w:w="239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2016</w:t>
            </w:r>
            <w:r>
              <w:rPr>
                <w:rFonts w:hint="eastAsia"/>
                <w:szCs w:val="24"/>
              </w:rPr>
              <w:t>年</w:t>
            </w:r>
          </w:p>
        </w:tc>
        <w:tc>
          <w:tcPr>
            <w:tcW w:w="239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2015</w:t>
            </w:r>
            <w:r>
              <w:rPr>
                <w:rFonts w:hint="eastAsia"/>
                <w:szCs w:val="24"/>
              </w:rPr>
              <w:t>年</w:t>
            </w:r>
          </w:p>
        </w:tc>
        <w:tc>
          <w:tcPr>
            <w:tcW w:w="239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2014</w:t>
            </w:r>
            <w:r>
              <w:rPr>
                <w:rFonts w:hint="eastAsia"/>
                <w:szCs w:val="24"/>
              </w:rPr>
              <w:t>年</w:t>
            </w:r>
          </w:p>
        </w:tc>
      </w:tr>
      <w:tr>
        <w:tblPrEx>
          <w:tblLayout w:type="fixed"/>
          <w:tblCellMar>
            <w:top w:w="0" w:type="dxa"/>
            <w:left w:w="28" w:type="dxa"/>
            <w:bottom w:w="0" w:type="dxa"/>
            <w:right w:w="28" w:type="dxa"/>
          </w:tblCellMar>
        </w:tblPrEx>
        <w:tc>
          <w:tcPr>
            <w:tcW w:w="239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研发人员数量（人）</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217</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147</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114</w:t>
            </w:r>
          </w:p>
        </w:tc>
      </w:tr>
      <w:tr>
        <w:tblPrEx>
          <w:tblLayout w:type="fixed"/>
          <w:tblCellMar>
            <w:top w:w="0" w:type="dxa"/>
            <w:left w:w="28" w:type="dxa"/>
            <w:bottom w:w="0" w:type="dxa"/>
            <w:right w:w="28" w:type="dxa"/>
          </w:tblCellMar>
        </w:tblPrEx>
        <w:tc>
          <w:tcPr>
            <w:tcW w:w="239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研发人员数量占比</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43.14%</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17.99%</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28.15%</w:t>
            </w:r>
          </w:p>
        </w:tc>
      </w:tr>
      <w:tr>
        <w:tblPrEx>
          <w:tblLayout w:type="fixed"/>
          <w:tblCellMar>
            <w:top w:w="0" w:type="dxa"/>
            <w:left w:w="28" w:type="dxa"/>
            <w:bottom w:w="0" w:type="dxa"/>
            <w:right w:w="28" w:type="dxa"/>
          </w:tblCellMar>
        </w:tblPrEx>
        <w:tc>
          <w:tcPr>
            <w:tcW w:w="239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研发投入金额（元）</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45,281,950.51</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39,098,801.34</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31,461,755.64</w:t>
            </w:r>
          </w:p>
        </w:tc>
      </w:tr>
      <w:tr>
        <w:tblPrEx>
          <w:tblLayout w:type="fixed"/>
          <w:tblCellMar>
            <w:top w:w="0" w:type="dxa"/>
            <w:left w:w="28" w:type="dxa"/>
            <w:bottom w:w="0" w:type="dxa"/>
            <w:right w:w="28" w:type="dxa"/>
          </w:tblCellMar>
        </w:tblPrEx>
        <w:tc>
          <w:tcPr>
            <w:tcW w:w="239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研发投入占营业收入比例</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6.32%</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11.93%</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8.01%</w:t>
            </w:r>
          </w:p>
        </w:tc>
      </w:tr>
      <w:tr>
        <w:tblPrEx>
          <w:tblLayout w:type="fixed"/>
          <w:tblCellMar>
            <w:top w:w="0" w:type="dxa"/>
            <w:left w:w="28" w:type="dxa"/>
            <w:bottom w:w="0" w:type="dxa"/>
            <w:right w:w="28" w:type="dxa"/>
          </w:tblCellMar>
        </w:tblPrEx>
        <w:tc>
          <w:tcPr>
            <w:tcW w:w="239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研发支出资本化的金额（元）</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19,994,832.43</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14,521,842.10</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10,848,019.97</w:t>
            </w:r>
          </w:p>
        </w:tc>
      </w:tr>
      <w:tr>
        <w:tblPrEx>
          <w:tblLayout w:type="fixed"/>
          <w:tblCellMar>
            <w:top w:w="0" w:type="dxa"/>
            <w:left w:w="28" w:type="dxa"/>
            <w:bottom w:w="0" w:type="dxa"/>
            <w:right w:w="28" w:type="dxa"/>
          </w:tblCellMar>
        </w:tblPrEx>
        <w:tc>
          <w:tcPr>
            <w:tcW w:w="239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资本化研发支出占研发投入的比例</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44.16%</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37.14%</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34.48%</w:t>
            </w:r>
          </w:p>
        </w:tc>
      </w:tr>
      <w:tr>
        <w:tblPrEx>
          <w:tblLayout w:type="fixed"/>
          <w:tblCellMar>
            <w:top w:w="0" w:type="dxa"/>
            <w:left w:w="28" w:type="dxa"/>
            <w:bottom w:w="0" w:type="dxa"/>
            <w:right w:w="28" w:type="dxa"/>
          </w:tblCellMar>
        </w:tblPrEx>
        <w:tc>
          <w:tcPr>
            <w:tcW w:w="239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资本化研发支出占当期净利润的比重</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18.04%</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40.10%</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59.82%</w:t>
            </w:r>
          </w:p>
        </w:tc>
      </w:tr>
    </w:tbl>
    <w:p>
      <w:pPr>
        <w:jc w:val="left"/>
        <w:rPr>
          <w:szCs w:val="24"/>
        </w:rPr>
      </w:pPr>
      <w:r>
        <w:rPr>
          <w:rFonts w:hint="eastAsia"/>
          <w:szCs w:val="24"/>
        </w:rPr>
        <w:t>研发投入总额占营业收入的比重较上年发生显著变化的原因</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autoSpaceDE w:val="0"/>
        <w:autoSpaceDN w:val="0"/>
        <w:adjustRightInd w:val="0"/>
        <w:spacing w:before="0" w:after="0"/>
        <w:jc w:val="left"/>
        <w:rPr>
          <w:rFonts w:eastAsia="Times New Roman"/>
          <w:kern w:val="0"/>
          <w:szCs w:val="24"/>
          <w:lang w:val="zh-CN"/>
        </w:rPr>
      </w:pPr>
      <w:r>
        <w:rPr>
          <w:rFonts w:hint="eastAsia" w:ascii="宋体" w:hAnsi="宋体" w:cs="宋体"/>
          <w:kern w:val="0"/>
          <w:szCs w:val="24"/>
          <w:lang w:val="zh-CN"/>
        </w:rPr>
        <w:t>本年度新增合并劳雷产业，营业收入大幅增长，但劳雷产业未单独立项核算研发投入，导致研发投入占营业收入比重明显下降。</w:t>
      </w:r>
    </w:p>
    <w:p>
      <w:pPr>
        <w:jc w:val="left"/>
        <w:rPr>
          <w:szCs w:val="24"/>
        </w:rPr>
      </w:pPr>
      <w:r>
        <w:rPr>
          <w:rFonts w:hint="eastAsia"/>
          <w:szCs w:val="24"/>
        </w:rPr>
        <w:t>研发投入资本化率大幅变动的原因及其合理性说明</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pStyle w:val="11"/>
        <w:outlineLvl w:val="2"/>
        <w:rPr>
          <w:bCs w:val="0"/>
          <w:szCs w:val="24"/>
        </w:rPr>
      </w:pPr>
      <w:r>
        <w:rPr>
          <w:bCs w:val="0"/>
          <w:szCs w:val="24"/>
        </w:rPr>
        <w:t>5</w:t>
      </w:r>
      <w:r>
        <w:rPr>
          <w:rFonts w:hint="eastAsia"/>
          <w:bCs w:val="0"/>
          <w:szCs w:val="24"/>
        </w:rPr>
        <w:t>、现金流</w:t>
      </w:r>
    </w:p>
    <w:p>
      <w:pPr>
        <w:jc w:val="right"/>
        <w:rPr>
          <w:szCs w:val="24"/>
        </w:rPr>
      </w:pPr>
      <w:r>
        <w:rPr>
          <w:rFonts w:hint="eastAsia"/>
          <w:szCs w:val="24"/>
        </w:rPr>
        <w:t>单位：元</w:t>
      </w:r>
    </w:p>
    <w:tbl>
      <w:tblPr>
        <w:tblStyle w:val="8"/>
        <w:tblW w:w="9568" w:type="dxa"/>
        <w:tblInd w:w="28" w:type="dxa"/>
        <w:tblLayout w:type="fixed"/>
        <w:tblCellMar>
          <w:top w:w="0" w:type="dxa"/>
          <w:left w:w="28" w:type="dxa"/>
          <w:bottom w:w="0" w:type="dxa"/>
          <w:right w:w="28" w:type="dxa"/>
        </w:tblCellMar>
      </w:tblPr>
      <w:tblGrid>
        <w:gridCol w:w="2392"/>
        <w:gridCol w:w="2392"/>
        <w:gridCol w:w="2392"/>
        <w:gridCol w:w="2392"/>
      </w:tblGrid>
      <w:tr>
        <w:tblPrEx>
          <w:tblLayout w:type="fixed"/>
          <w:tblCellMar>
            <w:top w:w="0" w:type="dxa"/>
            <w:left w:w="28" w:type="dxa"/>
            <w:bottom w:w="0" w:type="dxa"/>
            <w:right w:w="28" w:type="dxa"/>
          </w:tblCellMar>
        </w:tblPrEx>
        <w:tc>
          <w:tcPr>
            <w:tcW w:w="239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项目</w:t>
            </w:r>
          </w:p>
        </w:tc>
        <w:tc>
          <w:tcPr>
            <w:tcW w:w="239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2016</w:t>
            </w:r>
            <w:r>
              <w:rPr>
                <w:rFonts w:hint="eastAsia"/>
                <w:szCs w:val="24"/>
              </w:rPr>
              <w:t>年</w:t>
            </w:r>
          </w:p>
        </w:tc>
        <w:tc>
          <w:tcPr>
            <w:tcW w:w="239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2015</w:t>
            </w:r>
            <w:r>
              <w:rPr>
                <w:rFonts w:hint="eastAsia"/>
                <w:szCs w:val="24"/>
              </w:rPr>
              <w:t>年</w:t>
            </w:r>
          </w:p>
        </w:tc>
        <w:tc>
          <w:tcPr>
            <w:tcW w:w="239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同比增减</w:t>
            </w:r>
          </w:p>
        </w:tc>
      </w:tr>
      <w:tr>
        <w:tblPrEx>
          <w:tblLayout w:type="fixed"/>
          <w:tblCellMar>
            <w:top w:w="0" w:type="dxa"/>
            <w:left w:w="28" w:type="dxa"/>
            <w:bottom w:w="0" w:type="dxa"/>
            <w:right w:w="28" w:type="dxa"/>
          </w:tblCellMar>
        </w:tblPrEx>
        <w:tc>
          <w:tcPr>
            <w:tcW w:w="239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经营活动现金流入小计</w:t>
            </w:r>
          </w:p>
        </w:tc>
        <w:tc>
          <w:tcPr>
            <w:tcW w:w="2392" w:type="dxa"/>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841,186,870.58</w:t>
            </w:r>
          </w:p>
        </w:tc>
        <w:tc>
          <w:tcPr>
            <w:tcW w:w="2392" w:type="dxa"/>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346,361,664.24</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142.86%</w:t>
            </w:r>
          </w:p>
        </w:tc>
      </w:tr>
      <w:tr>
        <w:tblPrEx>
          <w:tblLayout w:type="fixed"/>
          <w:tblCellMar>
            <w:top w:w="0" w:type="dxa"/>
            <w:left w:w="28" w:type="dxa"/>
            <w:bottom w:w="0" w:type="dxa"/>
            <w:right w:w="28" w:type="dxa"/>
          </w:tblCellMar>
        </w:tblPrEx>
        <w:tc>
          <w:tcPr>
            <w:tcW w:w="239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经营活动现金流出小计</w:t>
            </w:r>
          </w:p>
        </w:tc>
        <w:tc>
          <w:tcPr>
            <w:tcW w:w="2392" w:type="dxa"/>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684,101,582.41</w:t>
            </w:r>
          </w:p>
        </w:tc>
        <w:tc>
          <w:tcPr>
            <w:tcW w:w="2392" w:type="dxa"/>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290,676,416.27</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135.35%</w:t>
            </w:r>
          </w:p>
        </w:tc>
      </w:tr>
      <w:tr>
        <w:tblPrEx>
          <w:tblLayout w:type="fixed"/>
          <w:tblCellMar>
            <w:top w:w="0" w:type="dxa"/>
            <w:left w:w="28" w:type="dxa"/>
            <w:bottom w:w="0" w:type="dxa"/>
            <w:right w:w="28" w:type="dxa"/>
          </w:tblCellMar>
        </w:tblPrEx>
        <w:tc>
          <w:tcPr>
            <w:tcW w:w="239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经营活动产生的现金流量净额</w:t>
            </w:r>
          </w:p>
        </w:tc>
        <w:tc>
          <w:tcPr>
            <w:tcW w:w="2392" w:type="dxa"/>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157,085,288.17</w:t>
            </w:r>
          </w:p>
        </w:tc>
        <w:tc>
          <w:tcPr>
            <w:tcW w:w="2392" w:type="dxa"/>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55,685,247.97</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182.09%</w:t>
            </w:r>
          </w:p>
        </w:tc>
      </w:tr>
      <w:tr>
        <w:tblPrEx>
          <w:tblLayout w:type="fixed"/>
          <w:tblCellMar>
            <w:top w:w="0" w:type="dxa"/>
            <w:left w:w="28" w:type="dxa"/>
            <w:bottom w:w="0" w:type="dxa"/>
            <w:right w:w="28" w:type="dxa"/>
          </w:tblCellMar>
        </w:tblPrEx>
        <w:tc>
          <w:tcPr>
            <w:tcW w:w="239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投资活动现金流入小计</w:t>
            </w:r>
          </w:p>
        </w:tc>
        <w:tc>
          <w:tcPr>
            <w:tcW w:w="2392" w:type="dxa"/>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778,445,942.99</w:t>
            </w:r>
          </w:p>
        </w:tc>
        <w:tc>
          <w:tcPr>
            <w:tcW w:w="2392" w:type="dxa"/>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295,273,114.29</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163.64%</w:t>
            </w:r>
          </w:p>
        </w:tc>
      </w:tr>
      <w:tr>
        <w:tblPrEx>
          <w:tblLayout w:type="fixed"/>
          <w:tblCellMar>
            <w:top w:w="0" w:type="dxa"/>
            <w:left w:w="28" w:type="dxa"/>
            <w:bottom w:w="0" w:type="dxa"/>
            <w:right w:w="28" w:type="dxa"/>
          </w:tblCellMar>
        </w:tblPrEx>
        <w:tc>
          <w:tcPr>
            <w:tcW w:w="239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投资活动现金流出小计</w:t>
            </w:r>
          </w:p>
        </w:tc>
        <w:tc>
          <w:tcPr>
            <w:tcW w:w="2392" w:type="dxa"/>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1,017,873,134.10</w:t>
            </w:r>
          </w:p>
        </w:tc>
        <w:tc>
          <w:tcPr>
            <w:tcW w:w="2392" w:type="dxa"/>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91,585,811.81</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1,011.39%</w:t>
            </w:r>
          </w:p>
        </w:tc>
      </w:tr>
      <w:tr>
        <w:tblPrEx>
          <w:tblLayout w:type="fixed"/>
          <w:tblCellMar>
            <w:top w:w="0" w:type="dxa"/>
            <w:left w:w="28" w:type="dxa"/>
            <w:bottom w:w="0" w:type="dxa"/>
            <w:right w:w="28" w:type="dxa"/>
          </w:tblCellMar>
        </w:tblPrEx>
        <w:tc>
          <w:tcPr>
            <w:tcW w:w="239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投资活动产生的现金流量净额</w:t>
            </w:r>
          </w:p>
        </w:tc>
        <w:tc>
          <w:tcPr>
            <w:tcW w:w="2392" w:type="dxa"/>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-239,427,191.11</w:t>
            </w:r>
          </w:p>
        </w:tc>
        <w:tc>
          <w:tcPr>
            <w:tcW w:w="2392" w:type="dxa"/>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203,687,302.48</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-217.55%</w:t>
            </w:r>
          </w:p>
        </w:tc>
      </w:tr>
      <w:tr>
        <w:tblPrEx>
          <w:tblLayout w:type="fixed"/>
          <w:tblCellMar>
            <w:top w:w="0" w:type="dxa"/>
            <w:left w:w="28" w:type="dxa"/>
            <w:bottom w:w="0" w:type="dxa"/>
            <w:right w:w="28" w:type="dxa"/>
          </w:tblCellMar>
        </w:tblPrEx>
        <w:tc>
          <w:tcPr>
            <w:tcW w:w="239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筹资活动现金流入小计</w:t>
            </w:r>
          </w:p>
        </w:tc>
        <w:tc>
          <w:tcPr>
            <w:tcW w:w="2392" w:type="dxa"/>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56,772,597.82</w:t>
            </w:r>
          </w:p>
        </w:tc>
        <w:tc>
          <w:tcPr>
            <w:tcW w:w="2392" w:type="dxa"/>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64,000,000.00</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-11.29%</w:t>
            </w:r>
          </w:p>
        </w:tc>
      </w:tr>
      <w:tr>
        <w:tblPrEx>
          <w:tblLayout w:type="fixed"/>
          <w:tblCellMar>
            <w:top w:w="0" w:type="dxa"/>
            <w:left w:w="28" w:type="dxa"/>
            <w:bottom w:w="0" w:type="dxa"/>
            <w:right w:w="28" w:type="dxa"/>
          </w:tblCellMar>
        </w:tblPrEx>
        <w:tc>
          <w:tcPr>
            <w:tcW w:w="239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筹资活动现金流出小计</w:t>
            </w:r>
          </w:p>
        </w:tc>
        <w:tc>
          <w:tcPr>
            <w:tcW w:w="2392" w:type="dxa"/>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132,241,946.79</w:t>
            </w:r>
          </w:p>
        </w:tc>
        <w:tc>
          <w:tcPr>
            <w:tcW w:w="2392" w:type="dxa"/>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53,311,252.80</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148.06%</w:t>
            </w:r>
          </w:p>
        </w:tc>
      </w:tr>
      <w:tr>
        <w:tblPrEx>
          <w:tblLayout w:type="fixed"/>
          <w:tblCellMar>
            <w:top w:w="0" w:type="dxa"/>
            <w:left w:w="28" w:type="dxa"/>
            <w:bottom w:w="0" w:type="dxa"/>
            <w:right w:w="28" w:type="dxa"/>
          </w:tblCellMar>
        </w:tblPrEx>
        <w:tc>
          <w:tcPr>
            <w:tcW w:w="239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筹资活动产生的现金流量净额</w:t>
            </w:r>
          </w:p>
        </w:tc>
        <w:tc>
          <w:tcPr>
            <w:tcW w:w="2392" w:type="dxa"/>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-75,469,348.97</w:t>
            </w:r>
          </w:p>
        </w:tc>
        <w:tc>
          <w:tcPr>
            <w:tcW w:w="2392" w:type="dxa"/>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10,688,747.20</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-806.06%</w:t>
            </w:r>
          </w:p>
        </w:tc>
      </w:tr>
      <w:tr>
        <w:tblPrEx>
          <w:tblLayout w:type="fixed"/>
          <w:tblCellMar>
            <w:top w:w="0" w:type="dxa"/>
            <w:left w:w="28" w:type="dxa"/>
            <w:bottom w:w="0" w:type="dxa"/>
            <w:right w:w="28" w:type="dxa"/>
          </w:tblCellMar>
        </w:tblPrEx>
        <w:tc>
          <w:tcPr>
            <w:tcW w:w="239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现金及现金等价物净增加额</w:t>
            </w:r>
          </w:p>
        </w:tc>
        <w:tc>
          <w:tcPr>
            <w:tcW w:w="2392" w:type="dxa"/>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-154,984,513.50</w:t>
            </w:r>
          </w:p>
        </w:tc>
        <w:tc>
          <w:tcPr>
            <w:tcW w:w="2392" w:type="dxa"/>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270,500,791.64</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-157.30%</w:t>
            </w:r>
          </w:p>
        </w:tc>
      </w:tr>
    </w:tbl>
    <w:p>
      <w:pPr>
        <w:jc w:val="left"/>
        <w:rPr>
          <w:szCs w:val="24"/>
        </w:rPr>
      </w:pPr>
      <w:r>
        <w:rPr>
          <w:rFonts w:hint="eastAsia"/>
          <w:szCs w:val="24"/>
        </w:rPr>
        <w:t>相关数据同比发生重大变动的主要影响因素说明</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autoSpaceDE w:val="0"/>
        <w:autoSpaceDN w:val="0"/>
        <w:adjustRightInd w:val="0"/>
        <w:spacing w:before="0" w:after="0"/>
        <w:jc w:val="left"/>
        <w:rPr>
          <w:rFonts w:eastAsia="Times New Roman"/>
          <w:kern w:val="0"/>
          <w:szCs w:val="24"/>
          <w:lang w:val="zh-CN"/>
        </w:rPr>
      </w:pPr>
      <w:r>
        <w:rPr>
          <w:rFonts w:eastAsia="Times New Roman"/>
          <w:kern w:val="0"/>
          <w:szCs w:val="24"/>
          <w:lang w:val="zh-CN"/>
        </w:rPr>
        <w:t>1</w:t>
      </w:r>
      <w:r>
        <w:rPr>
          <w:rFonts w:hint="eastAsia" w:ascii="宋体" w:hAnsi="宋体" w:cs="宋体"/>
          <w:kern w:val="0"/>
          <w:szCs w:val="24"/>
          <w:lang w:val="zh-CN"/>
        </w:rPr>
        <w:t>、经营活动产生的现金流量净额较去年同期增长</w:t>
      </w:r>
      <w:r>
        <w:rPr>
          <w:rFonts w:eastAsia="Times New Roman"/>
          <w:kern w:val="0"/>
          <w:szCs w:val="24"/>
          <w:lang w:val="zh-CN"/>
        </w:rPr>
        <w:t>182.09%</w:t>
      </w:r>
      <w:r>
        <w:rPr>
          <w:rFonts w:hint="eastAsia" w:ascii="宋体" w:hAnsi="宋体" w:cs="宋体"/>
          <w:kern w:val="0"/>
          <w:szCs w:val="24"/>
          <w:lang w:val="zh-CN"/>
        </w:rPr>
        <w:t>，其主要原因是本年度新增合并劳雷产业，且公司提高资金运营效率，改善销售和采购付款条件所致。</w:t>
      </w:r>
    </w:p>
    <w:p>
      <w:pPr>
        <w:autoSpaceDE w:val="0"/>
        <w:autoSpaceDN w:val="0"/>
        <w:adjustRightInd w:val="0"/>
        <w:spacing w:before="0" w:after="0"/>
        <w:jc w:val="left"/>
        <w:rPr>
          <w:rFonts w:eastAsia="Times New Roman"/>
          <w:kern w:val="0"/>
          <w:szCs w:val="24"/>
          <w:lang w:val="zh-CN"/>
        </w:rPr>
      </w:pPr>
      <w:r>
        <w:rPr>
          <w:rFonts w:eastAsia="Times New Roman"/>
          <w:kern w:val="0"/>
          <w:szCs w:val="24"/>
          <w:lang w:val="zh-CN"/>
        </w:rPr>
        <w:t>2</w:t>
      </w:r>
      <w:r>
        <w:rPr>
          <w:rFonts w:hint="eastAsia" w:ascii="宋体" w:hAnsi="宋体" w:cs="宋体"/>
          <w:kern w:val="0"/>
          <w:szCs w:val="24"/>
          <w:lang w:val="zh-CN"/>
        </w:rPr>
        <w:t>、投资活动产生的现金流量净额较去年同期降低</w:t>
      </w:r>
      <w:r>
        <w:rPr>
          <w:rFonts w:eastAsia="Times New Roman"/>
          <w:kern w:val="0"/>
          <w:szCs w:val="24"/>
          <w:lang w:val="zh-CN"/>
        </w:rPr>
        <w:t>217.55%</w:t>
      </w:r>
      <w:r>
        <w:rPr>
          <w:rFonts w:hint="eastAsia" w:ascii="宋体" w:hAnsi="宋体" w:cs="宋体"/>
          <w:kern w:val="0"/>
          <w:szCs w:val="24"/>
          <w:lang w:val="zh-CN"/>
        </w:rPr>
        <w:t>，其主要原因是本年度购买银行理财产品现金流出，和去年发行股份购买上海海兰劳雷取得的现金净额增加所致。</w:t>
      </w:r>
    </w:p>
    <w:p>
      <w:pPr>
        <w:autoSpaceDE w:val="0"/>
        <w:autoSpaceDN w:val="0"/>
        <w:adjustRightInd w:val="0"/>
        <w:spacing w:before="0" w:after="0"/>
        <w:jc w:val="left"/>
        <w:rPr>
          <w:rFonts w:eastAsia="Times New Roman"/>
          <w:kern w:val="0"/>
          <w:szCs w:val="24"/>
          <w:lang w:val="zh-CN"/>
        </w:rPr>
      </w:pPr>
      <w:r>
        <w:rPr>
          <w:rFonts w:eastAsia="Times New Roman"/>
          <w:kern w:val="0"/>
          <w:szCs w:val="24"/>
          <w:lang w:val="zh-CN"/>
        </w:rPr>
        <w:t>3</w:t>
      </w:r>
      <w:r>
        <w:rPr>
          <w:rFonts w:hint="eastAsia" w:ascii="宋体" w:hAnsi="宋体" w:cs="宋体"/>
          <w:kern w:val="0"/>
          <w:szCs w:val="24"/>
          <w:lang w:val="zh-CN"/>
        </w:rPr>
        <w:t>、筹资活动产生的现金流量净额较去年同期降低</w:t>
      </w:r>
      <w:r>
        <w:rPr>
          <w:rFonts w:eastAsia="Times New Roman"/>
          <w:kern w:val="0"/>
          <w:szCs w:val="24"/>
          <w:lang w:val="zh-CN"/>
        </w:rPr>
        <w:t>806.06%</w:t>
      </w:r>
      <w:r>
        <w:rPr>
          <w:rFonts w:hint="eastAsia" w:ascii="宋体" w:hAnsi="宋体" w:cs="宋体"/>
          <w:kern w:val="0"/>
          <w:szCs w:val="24"/>
          <w:lang w:val="zh-CN"/>
        </w:rPr>
        <w:t>，其主要原因是本年度归还银行短期借款和劳雷产业支付少数股东分红款所致。</w:t>
      </w:r>
    </w:p>
    <w:p>
      <w:pPr>
        <w:jc w:val="left"/>
        <w:rPr>
          <w:szCs w:val="24"/>
        </w:rPr>
      </w:pPr>
      <w:r>
        <w:rPr>
          <w:rFonts w:hint="eastAsia"/>
          <w:szCs w:val="24"/>
        </w:rPr>
        <w:t>报告期内公司经营活动产生的现金净流量与本年度净利润存在重大差异的原因说明</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pStyle w:val="10"/>
        <w:outlineLvl w:val="1"/>
        <w:rPr>
          <w:bCs w:val="0"/>
        </w:rPr>
      </w:pPr>
      <w:r>
        <w:rPr>
          <w:rFonts w:hint="eastAsia"/>
          <w:bCs w:val="0"/>
        </w:rPr>
        <w:t>三、非主营业务情况</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jc w:val="right"/>
        <w:rPr>
          <w:szCs w:val="24"/>
        </w:rPr>
      </w:pPr>
      <w:r>
        <w:rPr>
          <w:rFonts w:hint="eastAsia"/>
          <w:szCs w:val="24"/>
        </w:rPr>
        <w:t>单位：元</w:t>
      </w:r>
    </w:p>
    <w:tbl>
      <w:tblPr>
        <w:tblStyle w:val="8"/>
        <w:tblW w:w="9568" w:type="dxa"/>
        <w:tblInd w:w="28" w:type="dxa"/>
        <w:tblLayout w:type="fixed"/>
        <w:tblCellMar>
          <w:top w:w="0" w:type="dxa"/>
          <w:left w:w="28" w:type="dxa"/>
          <w:bottom w:w="0" w:type="dxa"/>
          <w:right w:w="28" w:type="dxa"/>
        </w:tblCellMar>
      </w:tblPr>
      <w:tblGrid>
        <w:gridCol w:w="1523"/>
        <w:gridCol w:w="1916"/>
        <w:gridCol w:w="1623"/>
        <w:gridCol w:w="2166"/>
        <w:gridCol w:w="2340"/>
      </w:tblGrid>
      <w:tr>
        <w:tblPrEx>
          <w:tblLayout w:type="fixed"/>
          <w:tblCellMar>
            <w:top w:w="0" w:type="dxa"/>
            <w:left w:w="28" w:type="dxa"/>
            <w:bottom w:w="0" w:type="dxa"/>
            <w:right w:w="28" w:type="dxa"/>
          </w:tblCellMar>
        </w:tblPrEx>
        <w:tc>
          <w:tcPr>
            <w:tcW w:w="152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p>
        </w:tc>
        <w:tc>
          <w:tcPr>
            <w:tcW w:w="191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金额</w:t>
            </w:r>
          </w:p>
        </w:tc>
        <w:tc>
          <w:tcPr>
            <w:tcW w:w="162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占利润总额比例</w:t>
            </w:r>
          </w:p>
        </w:tc>
        <w:tc>
          <w:tcPr>
            <w:tcW w:w="216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形成原因说明</w:t>
            </w:r>
          </w:p>
        </w:tc>
        <w:tc>
          <w:tcPr>
            <w:tcW w:w="234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是否具有可持续性</w:t>
            </w:r>
          </w:p>
        </w:tc>
      </w:tr>
      <w:tr>
        <w:tblPrEx>
          <w:tblLayout w:type="fixed"/>
          <w:tblCellMar>
            <w:top w:w="0" w:type="dxa"/>
            <w:left w:w="28" w:type="dxa"/>
            <w:bottom w:w="0" w:type="dxa"/>
            <w:right w:w="28" w:type="dxa"/>
          </w:tblCellMar>
        </w:tblPrEx>
        <w:tc>
          <w:tcPr>
            <w:tcW w:w="152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投资收益</w:t>
            </w:r>
          </w:p>
        </w:tc>
        <w:tc>
          <w:tcPr>
            <w:tcW w:w="191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871,304.91</w:t>
            </w:r>
          </w:p>
        </w:tc>
        <w:tc>
          <w:tcPr>
            <w:tcW w:w="162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0.64%</w:t>
            </w:r>
          </w:p>
        </w:tc>
        <w:tc>
          <w:tcPr>
            <w:tcW w:w="216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参股公司投资收益</w:t>
            </w:r>
          </w:p>
        </w:tc>
        <w:tc>
          <w:tcPr>
            <w:tcW w:w="234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52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公允价值变动损益</w:t>
            </w:r>
          </w:p>
        </w:tc>
        <w:tc>
          <w:tcPr>
            <w:tcW w:w="191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162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0.00%</w:t>
            </w:r>
          </w:p>
        </w:tc>
        <w:tc>
          <w:tcPr>
            <w:tcW w:w="216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234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r>
      <w:tr>
        <w:tblPrEx>
          <w:tblLayout w:type="fixed"/>
          <w:tblCellMar>
            <w:top w:w="0" w:type="dxa"/>
            <w:left w:w="28" w:type="dxa"/>
            <w:bottom w:w="0" w:type="dxa"/>
            <w:right w:w="28" w:type="dxa"/>
          </w:tblCellMar>
        </w:tblPrEx>
        <w:tc>
          <w:tcPr>
            <w:tcW w:w="152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资产减值</w:t>
            </w:r>
          </w:p>
        </w:tc>
        <w:tc>
          <w:tcPr>
            <w:tcW w:w="191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2,734,866.76</w:t>
            </w:r>
          </w:p>
        </w:tc>
        <w:tc>
          <w:tcPr>
            <w:tcW w:w="162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2.00%</w:t>
            </w:r>
          </w:p>
        </w:tc>
        <w:tc>
          <w:tcPr>
            <w:tcW w:w="216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应收账款计提坏账准备</w:t>
            </w:r>
          </w:p>
        </w:tc>
        <w:tc>
          <w:tcPr>
            <w:tcW w:w="234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52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营业外收入</w:t>
            </w:r>
          </w:p>
        </w:tc>
        <w:tc>
          <w:tcPr>
            <w:tcW w:w="191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30,784,297.11</w:t>
            </w:r>
          </w:p>
        </w:tc>
        <w:tc>
          <w:tcPr>
            <w:tcW w:w="162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22.49%</w:t>
            </w:r>
          </w:p>
        </w:tc>
        <w:tc>
          <w:tcPr>
            <w:tcW w:w="216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政府补助收入</w:t>
            </w:r>
            <w:r>
              <w:rPr>
                <w:szCs w:val="24"/>
              </w:rPr>
              <w:t xml:space="preserve"> </w:t>
            </w:r>
          </w:p>
        </w:tc>
        <w:tc>
          <w:tcPr>
            <w:tcW w:w="234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是</w:t>
            </w:r>
          </w:p>
        </w:tc>
      </w:tr>
      <w:tr>
        <w:tblPrEx>
          <w:tblLayout w:type="fixed"/>
          <w:tblCellMar>
            <w:top w:w="0" w:type="dxa"/>
            <w:left w:w="28" w:type="dxa"/>
            <w:bottom w:w="0" w:type="dxa"/>
            <w:right w:w="28" w:type="dxa"/>
          </w:tblCellMar>
        </w:tblPrEx>
        <w:tc>
          <w:tcPr>
            <w:tcW w:w="152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营业外支出</w:t>
            </w:r>
          </w:p>
        </w:tc>
        <w:tc>
          <w:tcPr>
            <w:tcW w:w="191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439,968.14</w:t>
            </w:r>
          </w:p>
        </w:tc>
        <w:tc>
          <w:tcPr>
            <w:tcW w:w="162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0.32%</w:t>
            </w:r>
          </w:p>
        </w:tc>
        <w:tc>
          <w:tcPr>
            <w:tcW w:w="216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处置固定资产和对外捐赠</w:t>
            </w:r>
          </w:p>
        </w:tc>
        <w:tc>
          <w:tcPr>
            <w:tcW w:w="234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bl>
    <w:p>
      <w:pPr>
        <w:pStyle w:val="10"/>
        <w:outlineLvl w:val="1"/>
        <w:rPr>
          <w:bCs w:val="0"/>
        </w:rPr>
      </w:pPr>
      <w:r>
        <w:rPr>
          <w:rFonts w:hint="eastAsia"/>
          <w:bCs w:val="0"/>
        </w:rPr>
        <w:t>四、资产及负债状况</w:t>
      </w:r>
    </w:p>
    <w:p>
      <w:pPr>
        <w:pStyle w:val="11"/>
        <w:outlineLvl w:val="2"/>
        <w:rPr>
          <w:bCs w:val="0"/>
          <w:szCs w:val="24"/>
        </w:rPr>
      </w:pPr>
      <w:r>
        <w:rPr>
          <w:bCs w:val="0"/>
          <w:szCs w:val="24"/>
        </w:rPr>
        <w:t>1</w:t>
      </w:r>
      <w:r>
        <w:rPr>
          <w:rFonts w:hint="eastAsia"/>
          <w:bCs w:val="0"/>
          <w:szCs w:val="24"/>
        </w:rPr>
        <w:t>、资产构成重大变动情况</w:t>
      </w:r>
    </w:p>
    <w:p>
      <w:pPr>
        <w:jc w:val="right"/>
        <w:rPr>
          <w:szCs w:val="24"/>
        </w:rPr>
      </w:pPr>
      <w:r>
        <w:rPr>
          <w:rFonts w:hint="eastAsia"/>
          <w:szCs w:val="24"/>
        </w:rPr>
        <w:t>单位：元</w:t>
      </w:r>
    </w:p>
    <w:tbl>
      <w:tblPr>
        <w:tblStyle w:val="8"/>
        <w:tblW w:w="9569" w:type="dxa"/>
        <w:tblInd w:w="28" w:type="dxa"/>
        <w:tblLayout w:type="fixed"/>
        <w:tblCellMar>
          <w:top w:w="0" w:type="dxa"/>
          <w:left w:w="28" w:type="dxa"/>
          <w:bottom w:w="0" w:type="dxa"/>
          <w:right w:w="28" w:type="dxa"/>
        </w:tblCellMar>
      </w:tblPr>
      <w:tblGrid>
        <w:gridCol w:w="1368"/>
        <w:gridCol w:w="1164"/>
        <w:gridCol w:w="1063"/>
        <w:gridCol w:w="1195"/>
        <w:gridCol w:w="1063"/>
        <w:gridCol w:w="798"/>
        <w:gridCol w:w="2918"/>
      </w:tblGrid>
      <w:tr>
        <w:tblPrEx>
          <w:tblLayout w:type="fixed"/>
          <w:tblCellMar>
            <w:top w:w="0" w:type="dxa"/>
            <w:left w:w="28" w:type="dxa"/>
            <w:bottom w:w="0" w:type="dxa"/>
            <w:right w:w="28" w:type="dxa"/>
          </w:tblCellMar>
        </w:tblPrEx>
        <w:tc>
          <w:tcPr>
            <w:tcW w:w="1368"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p>
        </w:tc>
        <w:tc>
          <w:tcPr>
            <w:tcW w:w="2227"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2016</w:t>
            </w:r>
            <w:r>
              <w:rPr>
                <w:rFonts w:hint="eastAsia"/>
                <w:szCs w:val="24"/>
              </w:rPr>
              <w:t>年末</w:t>
            </w:r>
          </w:p>
        </w:tc>
        <w:tc>
          <w:tcPr>
            <w:tcW w:w="2258"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2015</w:t>
            </w:r>
            <w:r>
              <w:rPr>
                <w:rFonts w:hint="eastAsia"/>
                <w:szCs w:val="24"/>
              </w:rPr>
              <w:t>年末</w:t>
            </w:r>
          </w:p>
        </w:tc>
        <w:tc>
          <w:tcPr>
            <w:tcW w:w="798"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比重增减</w:t>
            </w:r>
          </w:p>
        </w:tc>
        <w:tc>
          <w:tcPr>
            <w:tcW w:w="2918"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重大变动说明</w:t>
            </w:r>
          </w:p>
        </w:tc>
      </w:tr>
      <w:tr>
        <w:tblPrEx>
          <w:tblLayout w:type="fixed"/>
          <w:tblCellMar>
            <w:top w:w="0" w:type="dxa"/>
            <w:left w:w="28" w:type="dxa"/>
            <w:bottom w:w="0" w:type="dxa"/>
            <w:right w:w="28" w:type="dxa"/>
          </w:tblCellMar>
        </w:tblPrEx>
        <w:tc>
          <w:tcPr>
            <w:tcW w:w="1368" w:type="dxa"/>
            <w:vMerge w:val="continue"/>
            <w:tcBorders>
              <w:top w:val="single" w:color="auto" w:sz="4" w:space="0"/>
              <w:left w:val="single" w:color="auto" w:sz="4" w:space="0"/>
              <w:bottom w:val="single" w:color="auto" w:sz="4" w:space="0"/>
              <w:right w:val="single" w:color="auto" w:sz="4" w:space="0"/>
            </w:tcBorders>
            <w:vAlign w:val="center"/>
          </w:tcPr>
          <w:p>
            <w:pPr>
              <w:jc w:val="center"/>
              <w:rPr>
                <w:szCs w:val="24"/>
              </w:rPr>
            </w:pPr>
          </w:p>
        </w:tc>
        <w:tc>
          <w:tcPr>
            <w:tcW w:w="116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金额</w:t>
            </w:r>
          </w:p>
        </w:tc>
        <w:tc>
          <w:tcPr>
            <w:tcW w:w="106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占总资产比例</w:t>
            </w:r>
          </w:p>
        </w:tc>
        <w:tc>
          <w:tcPr>
            <w:tcW w:w="119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金额</w:t>
            </w:r>
          </w:p>
        </w:tc>
        <w:tc>
          <w:tcPr>
            <w:tcW w:w="106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占总资产比例</w:t>
            </w:r>
          </w:p>
        </w:tc>
        <w:tc>
          <w:tcPr>
            <w:tcW w:w="798" w:type="dxa"/>
            <w:vMerge w:val="continue"/>
            <w:tcBorders>
              <w:top w:val="single" w:color="auto" w:sz="4" w:space="0"/>
              <w:left w:val="single" w:color="auto" w:sz="4" w:space="0"/>
              <w:bottom w:val="single" w:color="auto" w:sz="4" w:space="0"/>
              <w:right w:val="single" w:color="auto" w:sz="4" w:space="0"/>
            </w:tcBorders>
            <w:vAlign w:val="center"/>
          </w:tcPr>
          <w:p>
            <w:pPr>
              <w:jc w:val="center"/>
              <w:rPr>
                <w:szCs w:val="24"/>
              </w:rPr>
            </w:pPr>
          </w:p>
        </w:tc>
        <w:tc>
          <w:tcPr>
            <w:tcW w:w="2918" w:type="dxa"/>
            <w:vMerge w:val="continue"/>
            <w:tcBorders>
              <w:top w:val="single" w:color="auto" w:sz="4" w:space="0"/>
              <w:left w:val="single" w:color="auto" w:sz="4" w:space="0"/>
              <w:bottom w:val="single" w:color="auto" w:sz="4" w:space="0"/>
              <w:right w:val="single" w:color="auto" w:sz="4" w:space="0"/>
            </w:tcBorders>
            <w:vAlign w:val="center"/>
          </w:tcPr>
          <w:p>
            <w:pPr>
              <w:jc w:val="center"/>
              <w:rPr>
                <w:szCs w:val="24"/>
              </w:rPr>
            </w:pPr>
          </w:p>
        </w:tc>
      </w:tr>
      <w:tr>
        <w:tblPrEx>
          <w:tblLayout w:type="fixed"/>
          <w:tblCellMar>
            <w:top w:w="0" w:type="dxa"/>
            <w:left w:w="28" w:type="dxa"/>
            <w:bottom w:w="0" w:type="dxa"/>
            <w:right w:w="28" w:type="dxa"/>
          </w:tblCellMar>
        </w:tblPrEx>
        <w:tc>
          <w:tcPr>
            <w:tcW w:w="1368"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货币资金</w:t>
            </w:r>
          </w:p>
        </w:tc>
        <w:tc>
          <w:tcPr>
            <w:tcW w:w="1164" w:type="dxa"/>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293,315,225.29</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16.22%</w:t>
            </w:r>
          </w:p>
        </w:tc>
        <w:tc>
          <w:tcPr>
            <w:tcW w:w="1195" w:type="dxa"/>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449,327,106.93</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27.11%</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-10.89%</w:t>
            </w:r>
          </w:p>
        </w:tc>
        <w:tc>
          <w:tcPr>
            <w:tcW w:w="291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购买银行理财产品所致</w:t>
            </w:r>
          </w:p>
        </w:tc>
      </w:tr>
      <w:tr>
        <w:tblPrEx>
          <w:tblLayout w:type="fixed"/>
          <w:tblCellMar>
            <w:top w:w="0" w:type="dxa"/>
            <w:left w:w="28" w:type="dxa"/>
            <w:bottom w:w="0" w:type="dxa"/>
            <w:right w:w="28" w:type="dxa"/>
          </w:tblCellMar>
        </w:tblPrEx>
        <w:tc>
          <w:tcPr>
            <w:tcW w:w="1368"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应收账款</w:t>
            </w:r>
          </w:p>
        </w:tc>
        <w:tc>
          <w:tcPr>
            <w:tcW w:w="1164" w:type="dxa"/>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317,934,260.18</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17.58%</w:t>
            </w:r>
          </w:p>
        </w:tc>
        <w:tc>
          <w:tcPr>
            <w:tcW w:w="1195" w:type="dxa"/>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360,047,208.06</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21.73%</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-4.15%</w:t>
            </w:r>
          </w:p>
        </w:tc>
        <w:tc>
          <w:tcPr>
            <w:tcW w:w="291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本期加大回款力度，改善回款调减所致</w:t>
            </w:r>
          </w:p>
        </w:tc>
      </w:tr>
      <w:tr>
        <w:tblPrEx>
          <w:tblLayout w:type="fixed"/>
          <w:tblCellMar>
            <w:top w:w="0" w:type="dxa"/>
            <w:left w:w="28" w:type="dxa"/>
            <w:bottom w:w="0" w:type="dxa"/>
            <w:right w:w="28" w:type="dxa"/>
          </w:tblCellMar>
        </w:tblPrEx>
        <w:tc>
          <w:tcPr>
            <w:tcW w:w="1368"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存货</w:t>
            </w:r>
          </w:p>
        </w:tc>
        <w:tc>
          <w:tcPr>
            <w:tcW w:w="1164" w:type="dxa"/>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149,724,276.66</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8.28%</w:t>
            </w:r>
          </w:p>
        </w:tc>
        <w:tc>
          <w:tcPr>
            <w:tcW w:w="1195" w:type="dxa"/>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133,180,681.09</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8.04%</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0.24%</w:t>
            </w:r>
          </w:p>
        </w:tc>
        <w:tc>
          <w:tcPr>
            <w:tcW w:w="291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本报告期执行合同备货所致</w:t>
            </w:r>
          </w:p>
        </w:tc>
      </w:tr>
      <w:tr>
        <w:tblPrEx>
          <w:tblLayout w:type="fixed"/>
          <w:tblCellMar>
            <w:top w:w="0" w:type="dxa"/>
            <w:left w:w="28" w:type="dxa"/>
            <w:bottom w:w="0" w:type="dxa"/>
            <w:right w:w="28" w:type="dxa"/>
          </w:tblCellMar>
        </w:tblPrEx>
        <w:tc>
          <w:tcPr>
            <w:tcW w:w="1368"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投资性房地产</w:t>
            </w:r>
          </w:p>
        </w:tc>
        <w:tc>
          <w:tcPr>
            <w:tcW w:w="1164" w:type="dxa"/>
            <w:tcBorders>
              <w:top w:val="single" w:color="auto" w:sz="4" w:space="0"/>
              <w:left w:val="single" w:color="auto" w:sz="4" w:space="0"/>
              <w:bottom w:val="single" w:color="auto" w:sz="4" w:space="0"/>
              <w:right w:val="single" w:color="auto" w:sz="4" w:space="0"/>
            </w:tcBorders>
            <w:vAlign w:val="center"/>
          </w:tcPr>
          <w:p>
            <w:pPr>
              <w:jc w:val="right"/>
              <w:rPr>
                <w:szCs w:val="24"/>
              </w:rPr>
            </w:pP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0.00%</w:t>
            </w:r>
          </w:p>
        </w:tc>
        <w:tc>
          <w:tcPr>
            <w:tcW w:w="1195" w:type="dxa"/>
            <w:tcBorders>
              <w:top w:val="single" w:color="auto" w:sz="4" w:space="0"/>
              <w:left w:val="single" w:color="auto" w:sz="4" w:space="0"/>
              <w:bottom w:val="single" w:color="auto" w:sz="4" w:space="0"/>
              <w:right w:val="single" w:color="auto" w:sz="4" w:space="0"/>
            </w:tcBorders>
            <w:vAlign w:val="center"/>
          </w:tcPr>
          <w:p>
            <w:pPr>
              <w:jc w:val="right"/>
              <w:rPr>
                <w:szCs w:val="24"/>
              </w:rPr>
            </w:pP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0.00%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0.00%</w:t>
            </w:r>
          </w:p>
        </w:tc>
        <w:tc>
          <w:tcPr>
            <w:tcW w:w="291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r>
      <w:tr>
        <w:tblPrEx>
          <w:tblLayout w:type="fixed"/>
          <w:tblCellMar>
            <w:top w:w="0" w:type="dxa"/>
            <w:left w:w="28" w:type="dxa"/>
            <w:bottom w:w="0" w:type="dxa"/>
            <w:right w:w="28" w:type="dxa"/>
          </w:tblCellMar>
        </w:tblPrEx>
        <w:tc>
          <w:tcPr>
            <w:tcW w:w="1368"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长期股权投资</w:t>
            </w:r>
          </w:p>
        </w:tc>
        <w:tc>
          <w:tcPr>
            <w:tcW w:w="1164" w:type="dxa"/>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76,085,846.79</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4.21%</w:t>
            </w:r>
          </w:p>
        </w:tc>
        <w:tc>
          <w:tcPr>
            <w:tcW w:w="1195" w:type="dxa"/>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56,704,048.90</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3.42%</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0.79%</w:t>
            </w:r>
          </w:p>
        </w:tc>
        <w:tc>
          <w:tcPr>
            <w:tcW w:w="291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本期新增参股设立浙江海兰信所致</w:t>
            </w:r>
          </w:p>
        </w:tc>
      </w:tr>
      <w:tr>
        <w:tblPrEx>
          <w:tblLayout w:type="fixed"/>
          <w:tblCellMar>
            <w:top w:w="0" w:type="dxa"/>
            <w:left w:w="28" w:type="dxa"/>
            <w:bottom w:w="0" w:type="dxa"/>
            <w:right w:w="28" w:type="dxa"/>
          </w:tblCellMar>
        </w:tblPrEx>
        <w:tc>
          <w:tcPr>
            <w:tcW w:w="1368"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固定资产</w:t>
            </w:r>
          </w:p>
        </w:tc>
        <w:tc>
          <w:tcPr>
            <w:tcW w:w="1164" w:type="dxa"/>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75,736,483.55</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4.19%</w:t>
            </w:r>
          </w:p>
        </w:tc>
        <w:tc>
          <w:tcPr>
            <w:tcW w:w="1195" w:type="dxa"/>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85,365,110.44</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5.15%</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-0.96%</w:t>
            </w:r>
          </w:p>
        </w:tc>
        <w:tc>
          <w:tcPr>
            <w:tcW w:w="291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本期计提折旧所致</w:t>
            </w:r>
          </w:p>
        </w:tc>
      </w:tr>
      <w:tr>
        <w:tblPrEx>
          <w:tblLayout w:type="fixed"/>
          <w:tblCellMar>
            <w:top w:w="0" w:type="dxa"/>
            <w:left w:w="28" w:type="dxa"/>
            <w:bottom w:w="0" w:type="dxa"/>
            <w:right w:w="28" w:type="dxa"/>
          </w:tblCellMar>
        </w:tblPrEx>
        <w:tc>
          <w:tcPr>
            <w:tcW w:w="1368"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在建工程</w:t>
            </w:r>
          </w:p>
        </w:tc>
        <w:tc>
          <w:tcPr>
            <w:tcW w:w="1164" w:type="dxa"/>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129,907.15</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0.01%</w:t>
            </w:r>
          </w:p>
        </w:tc>
        <w:tc>
          <w:tcPr>
            <w:tcW w:w="1195" w:type="dxa"/>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50,190.17</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0.00%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0.01%</w:t>
            </w:r>
          </w:p>
        </w:tc>
        <w:tc>
          <w:tcPr>
            <w:tcW w:w="291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r>
      <w:tr>
        <w:tblPrEx>
          <w:tblLayout w:type="fixed"/>
          <w:tblCellMar>
            <w:top w:w="0" w:type="dxa"/>
            <w:left w:w="28" w:type="dxa"/>
            <w:bottom w:w="0" w:type="dxa"/>
            <w:right w:w="28" w:type="dxa"/>
          </w:tblCellMar>
        </w:tblPrEx>
        <w:tc>
          <w:tcPr>
            <w:tcW w:w="1368"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短期借款</w:t>
            </w:r>
          </w:p>
        </w:tc>
        <w:tc>
          <w:tcPr>
            <w:tcW w:w="1164" w:type="dxa"/>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56,534,057.35</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3.13%</w:t>
            </w:r>
          </w:p>
        </w:tc>
        <w:tc>
          <w:tcPr>
            <w:tcW w:w="1195" w:type="dxa"/>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46,493,600.00</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2.81%</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0.32%</w:t>
            </w:r>
          </w:p>
        </w:tc>
        <w:tc>
          <w:tcPr>
            <w:tcW w:w="291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本期新增香港海兰内保外贷和归还母公司、香港盈华银行借款所致</w:t>
            </w:r>
          </w:p>
        </w:tc>
      </w:tr>
      <w:tr>
        <w:tblPrEx>
          <w:tblLayout w:type="fixed"/>
          <w:tblCellMar>
            <w:top w:w="0" w:type="dxa"/>
            <w:left w:w="28" w:type="dxa"/>
            <w:bottom w:w="0" w:type="dxa"/>
            <w:right w:w="28" w:type="dxa"/>
          </w:tblCellMar>
        </w:tblPrEx>
        <w:tc>
          <w:tcPr>
            <w:tcW w:w="1368"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长期借款</w:t>
            </w:r>
          </w:p>
        </w:tc>
        <w:tc>
          <w:tcPr>
            <w:tcW w:w="1164" w:type="dxa"/>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25,826,745.00</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1.43%</w:t>
            </w:r>
          </w:p>
        </w:tc>
        <w:tc>
          <w:tcPr>
            <w:tcW w:w="1195" w:type="dxa"/>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24,000,000.00</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1.45%</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-0.02%</w:t>
            </w:r>
          </w:p>
        </w:tc>
        <w:tc>
          <w:tcPr>
            <w:tcW w:w="291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本期新增合并</w:t>
            </w:r>
            <w:r>
              <w:rPr>
                <w:szCs w:val="24"/>
              </w:rPr>
              <w:t>Rockson</w:t>
            </w:r>
            <w:r>
              <w:rPr>
                <w:rFonts w:hint="eastAsia"/>
                <w:szCs w:val="24"/>
              </w:rPr>
              <w:t>公司所致</w:t>
            </w:r>
          </w:p>
        </w:tc>
      </w:tr>
      <w:tr>
        <w:tblPrEx>
          <w:tblLayout w:type="fixed"/>
          <w:tblCellMar>
            <w:top w:w="0" w:type="dxa"/>
            <w:left w:w="28" w:type="dxa"/>
            <w:bottom w:w="0" w:type="dxa"/>
            <w:right w:w="28" w:type="dxa"/>
          </w:tblCellMar>
        </w:tblPrEx>
        <w:tc>
          <w:tcPr>
            <w:tcW w:w="136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应收票据</w:t>
            </w:r>
          </w:p>
        </w:tc>
        <w:tc>
          <w:tcPr>
            <w:tcW w:w="11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49,008,824.20</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2.71%</w:t>
            </w:r>
          </w:p>
        </w:tc>
        <w:tc>
          <w:tcPr>
            <w:tcW w:w="119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26,854,006.00</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1.62%</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1.09%</w:t>
            </w:r>
          </w:p>
        </w:tc>
        <w:tc>
          <w:tcPr>
            <w:tcW w:w="291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客户使用银行汇票结算货款量增加所致</w:t>
            </w:r>
          </w:p>
        </w:tc>
      </w:tr>
      <w:tr>
        <w:tblPrEx>
          <w:tblLayout w:type="fixed"/>
          <w:tblCellMar>
            <w:top w:w="0" w:type="dxa"/>
            <w:left w:w="28" w:type="dxa"/>
            <w:bottom w:w="0" w:type="dxa"/>
            <w:right w:w="28" w:type="dxa"/>
          </w:tblCellMar>
        </w:tblPrEx>
        <w:tc>
          <w:tcPr>
            <w:tcW w:w="136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其他应收款</w:t>
            </w:r>
          </w:p>
        </w:tc>
        <w:tc>
          <w:tcPr>
            <w:tcW w:w="11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46,652,161.84</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2.58%</w:t>
            </w:r>
          </w:p>
        </w:tc>
        <w:tc>
          <w:tcPr>
            <w:tcW w:w="119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31,710,107.08</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1.91%</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0.67%</w:t>
            </w:r>
          </w:p>
        </w:tc>
        <w:tc>
          <w:tcPr>
            <w:tcW w:w="291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与战略船厂合作研发付款所致</w:t>
            </w:r>
          </w:p>
        </w:tc>
      </w:tr>
      <w:tr>
        <w:tblPrEx>
          <w:tblLayout w:type="fixed"/>
          <w:tblCellMar>
            <w:top w:w="0" w:type="dxa"/>
            <w:left w:w="28" w:type="dxa"/>
            <w:bottom w:w="0" w:type="dxa"/>
            <w:right w:w="28" w:type="dxa"/>
          </w:tblCellMar>
        </w:tblPrEx>
        <w:tc>
          <w:tcPr>
            <w:tcW w:w="136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其他流动资产</w:t>
            </w:r>
          </w:p>
        </w:tc>
        <w:tc>
          <w:tcPr>
            <w:tcW w:w="11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226,877,101.50</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12.54%</w:t>
            </w:r>
          </w:p>
        </w:tc>
        <w:tc>
          <w:tcPr>
            <w:tcW w:w="119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4,324,293.10</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0.26%</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12.28%</w:t>
            </w:r>
          </w:p>
        </w:tc>
        <w:tc>
          <w:tcPr>
            <w:tcW w:w="291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购买银行理财产品所致</w:t>
            </w:r>
          </w:p>
        </w:tc>
      </w:tr>
      <w:tr>
        <w:tblPrEx>
          <w:tblLayout w:type="fixed"/>
          <w:tblCellMar>
            <w:top w:w="0" w:type="dxa"/>
            <w:left w:w="28" w:type="dxa"/>
            <w:bottom w:w="0" w:type="dxa"/>
            <w:right w:w="28" w:type="dxa"/>
          </w:tblCellMar>
        </w:tblPrEx>
        <w:tc>
          <w:tcPr>
            <w:tcW w:w="136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商誉</w:t>
            </w:r>
          </w:p>
        </w:tc>
        <w:tc>
          <w:tcPr>
            <w:tcW w:w="11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301,906,895.67</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16.69%</w:t>
            </w:r>
          </w:p>
        </w:tc>
        <w:tc>
          <w:tcPr>
            <w:tcW w:w="119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229,971,353.58</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13.88%</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2.81%</w:t>
            </w:r>
          </w:p>
        </w:tc>
        <w:tc>
          <w:tcPr>
            <w:tcW w:w="291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本报告期收购广东蓝图和</w:t>
            </w:r>
            <w:r>
              <w:rPr>
                <w:szCs w:val="24"/>
              </w:rPr>
              <w:t>Rockson</w:t>
            </w:r>
            <w:r>
              <w:rPr>
                <w:rFonts w:hint="eastAsia"/>
                <w:szCs w:val="24"/>
              </w:rPr>
              <w:t>公司所致</w:t>
            </w:r>
          </w:p>
        </w:tc>
      </w:tr>
      <w:tr>
        <w:tblPrEx>
          <w:tblLayout w:type="fixed"/>
          <w:tblCellMar>
            <w:top w:w="0" w:type="dxa"/>
            <w:left w:w="28" w:type="dxa"/>
            <w:bottom w:w="0" w:type="dxa"/>
            <w:right w:w="28" w:type="dxa"/>
          </w:tblCellMar>
        </w:tblPrEx>
        <w:tc>
          <w:tcPr>
            <w:tcW w:w="136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其他非流动资产</w:t>
            </w:r>
          </w:p>
        </w:tc>
        <w:tc>
          <w:tcPr>
            <w:tcW w:w="11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5,000,000.00</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0.28%</w:t>
            </w:r>
          </w:p>
        </w:tc>
        <w:tc>
          <w:tcPr>
            <w:tcW w:w="119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24,000,000.00</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1.45%</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-1.17%</w:t>
            </w:r>
          </w:p>
        </w:tc>
        <w:tc>
          <w:tcPr>
            <w:tcW w:w="291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购买固定资产预付款退回所致</w:t>
            </w:r>
          </w:p>
        </w:tc>
      </w:tr>
      <w:tr>
        <w:tblPrEx>
          <w:tblLayout w:type="fixed"/>
          <w:tblCellMar>
            <w:top w:w="0" w:type="dxa"/>
            <w:left w:w="28" w:type="dxa"/>
            <w:bottom w:w="0" w:type="dxa"/>
            <w:right w:w="28" w:type="dxa"/>
          </w:tblCellMar>
        </w:tblPrEx>
        <w:tc>
          <w:tcPr>
            <w:tcW w:w="136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预收款项</w:t>
            </w:r>
          </w:p>
        </w:tc>
        <w:tc>
          <w:tcPr>
            <w:tcW w:w="11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73,588,078.67</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4.07%</w:t>
            </w:r>
          </w:p>
        </w:tc>
        <w:tc>
          <w:tcPr>
            <w:tcW w:w="119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28,552,072.27</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1.72%</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2.35%</w:t>
            </w:r>
          </w:p>
        </w:tc>
        <w:tc>
          <w:tcPr>
            <w:tcW w:w="291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按合同条款客户发货前支付相应货款所致</w:t>
            </w:r>
          </w:p>
        </w:tc>
      </w:tr>
      <w:tr>
        <w:tblPrEx>
          <w:tblLayout w:type="fixed"/>
          <w:tblCellMar>
            <w:top w:w="0" w:type="dxa"/>
            <w:left w:w="28" w:type="dxa"/>
            <w:bottom w:w="0" w:type="dxa"/>
            <w:right w:w="28" w:type="dxa"/>
          </w:tblCellMar>
        </w:tblPrEx>
        <w:tc>
          <w:tcPr>
            <w:tcW w:w="136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应交税费</w:t>
            </w:r>
          </w:p>
        </w:tc>
        <w:tc>
          <w:tcPr>
            <w:tcW w:w="11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38,131,204.80</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2.11%</w:t>
            </w:r>
          </w:p>
        </w:tc>
        <w:tc>
          <w:tcPr>
            <w:tcW w:w="119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18,754,798.18</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1.13%</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0.98%</w:t>
            </w:r>
          </w:p>
        </w:tc>
        <w:tc>
          <w:tcPr>
            <w:tcW w:w="291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本期盈利增加，相应的企业所得税和增值税增加所致</w:t>
            </w:r>
          </w:p>
        </w:tc>
      </w:tr>
      <w:tr>
        <w:tblPrEx>
          <w:tblLayout w:type="fixed"/>
          <w:tblCellMar>
            <w:top w:w="0" w:type="dxa"/>
            <w:left w:w="28" w:type="dxa"/>
            <w:bottom w:w="0" w:type="dxa"/>
            <w:right w:w="28" w:type="dxa"/>
          </w:tblCellMar>
        </w:tblPrEx>
        <w:tc>
          <w:tcPr>
            <w:tcW w:w="136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应付股利</w:t>
            </w:r>
          </w:p>
        </w:tc>
        <w:tc>
          <w:tcPr>
            <w:tcW w:w="11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8,050,500.00</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0.45%</w:t>
            </w:r>
          </w:p>
        </w:tc>
        <w:tc>
          <w:tcPr>
            <w:tcW w:w="119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43,093,501.68</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2.60%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-2.15%</w:t>
            </w:r>
          </w:p>
        </w:tc>
        <w:tc>
          <w:tcPr>
            <w:tcW w:w="291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支付劳雷香港少数股东杨慕燕分红款所致</w:t>
            </w:r>
          </w:p>
        </w:tc>
      </w:tr>
      <w:tr>
        <w:tblPrEx>
          <w:tblLayout w:type="fixed"/>
          <w:tblCellMar>
            <w:top w:w="0" w:type="dxa"/>
            <w:left w:w="28" w:type="dxa"/>
            <w:bottom w:w="0" w:type="dxa"/>
            <w:right w:w="28" w:type="dxa"/>
          </w:tblCellMar>
        </w:tblPrEx>
        <w:tc>
          <w:tcPr>
            <w:tcW w:w="136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其他应付款</w:t>
            </w:r>
          </w:p>
        </w:tc>
        <w:tc>
          <w:tcPr>
            <w:tcW w:w="11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15,609,278.90</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0.86%</w:t>
            </w:r>
          </w:p>
        </w:tc>
        <w:tc>
          <w:tcPr>
            <w:tcW w:w="119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8,706,578.55</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0.53%</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0.33%</w:t>
            </w:r>
          </w:p>
        </w:tc>
        <w:tc>
          <w:tcPr>
            <w:tcW w:w="291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收购广东蓝图约定</w:t>
            </w:r>
            <w:r>
              <w:rPr>
                <w:szCs w:val="24"/>
              </w:rPr>
              <w:t>2017</w:t>
            </w:r>
            <w:r>
              <w:rPr>
                <w:rFonts w:hint="eastAsia"/>
                <w:szCs w:val="24"/>
              </w:rPr>
              <w:t>年</w:t>
            </w:r>
            <w:r>
              <w:rPr>
                <w:szCs w:val="24"/>
              </w:rPr>
              <w:t>4</w:t>
            </w:r>
            <w:r>
              <w:rPr>
                <w:rFonts w:hint="eastAsia"/>
                <w:szCs w:val="24"/>
              </w:rPr>
              <w:t>月底前支付第二期收购款所致</w:t>
            </w:r>
          </w:p>
        </w:tc>
      </w:tr>
      <w:tr>
        <w:tblPrEx>
          <w:tblLayout w:type="fixed"/>
          <w:tblCellMar>
            <w:top w:w="0" w:type="dxa"/>
            <w:left w:w="28" w:type="dxa"/>
            <w:bottom w:w="0" w:type="dxa"/>
            <w:right w:w="28" w:type="dxa"/>
          </w:tblCellMar>
        </w:tblPrEx>
        <w:tc>
          <w:tcPr>
            <w:tcW w:w="136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长期应付款</w:t>
            </w:r>
          </w:p>
        </w:tc>
        <w:tc>
          <w:tcPr>
            <w:tcW w:w="11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9,211,212.53</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0.51%</w:t>
            </w:r>
          </w:p>
        </w:tc>
        <w:tc>
          <w:tcPr>
            <w:tcW w:w="119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0.00</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0.00%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0.51%</w:t>
            </w:r>
          </w:p>
        </w:tc>
        <w:tc>
          <w:tcPr>
            <w:tcW w:w="291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收购广东蓝图约定</w:t>
            </w:r>
            <w:r>
              <w:rPr>
                <w:szCs w:val="24"/>
              </w:rPr>
              <w:t>2018</w:t>
            </w:r>
            <w:r>
              <w:rPr>
                <w:rFonts w:hint="eastAsia"/>
                <w:szCs w:val="24"/>
              </w:rPr>
              <w:t>年</w:t>
            </w:r>
            <w:r>
              <w:rPr>
                <w:szCs w:val="24"/>
              </w:rPr>
              <w:t>4</w:t>
            </w:r>
            <w:r>
              <w:rPr>
                <w:rFonts w:hint="eastAsia"/>
                <w:szCs w:val="24"/>
              </w:rPr>
              <w:t>月底前支付第三期收购款所致</w:t>
            </w:r>
          </w:p>
        </w:tc>
      </w:tr>
      <w:tr>
        <w:tblPrEx>
          <w:tblLayout w:type="fixed"/>
          <w:tblCellMar>
            <w:top w:w="0" w:type="dxa"/>
            <w:left w:w="28" w:type="dxa"/>
            <w:bottom w:w="0" w:type="dxa"/>
            <w:right w:w="28" w:type="dxa"/>
          </w:tblCellMar>
        </w:tblPrEx>
        <w:tc>
          <w:tcPr>
            <w:tcW w:w="136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预计负债</w:t>
            </w:r>
          </w:p>
        </w:tc>
        <w:tc>
          <w:tcPr>
            <w:tcW w:w="11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17,330,358.71</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0.96%</w:t>
            </w:r>
          </w:p>
        </w:tc>
        <w:tc>
          <w:tcPr>
            <w:tcW w:w="119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6,910,211.00</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0.42%</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0.54%</w:t>
            </w:r>
          </w:p>
        </w:tc>
        <w:tc>
          <w:tcPr>
            <w:tcW w:w="291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收购广东蓝图计提或有对价所致</w:t>
            </w:r>
          </w:p>
        </w:tc>
      </w:tr>
      <w:tr>
        <w:tblPrEx>
          <w:tblLayout w:type="fixed"/>
          <w:tblCellMar>
            <w:top w:w="0" w:type="dxa"/>
            <w:left w:w="28" w:type="dxa"/>
            <w:bottom w:w="0" w:type="dxa"/>
            <w:right w:w="28" w:type="dxa"/>
          </w:tblCellMar>
        </w:tblPrEx>
        <w:tc>
          <w:tcPr>
            <w:tcW w:w="136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其他综合收益</w:t>
            </w:r>
          </w:p>
        </w:tc>
        <w:tc>
          <w:tcPr>
            <w:tcW w:w="11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10,600,686.28</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0.59%</w:t>
            </w:r>
          </w:p>
        </w:tc>
        <w:tc>
          <w:tcPr>
            <w:tcW w:w="119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4,112,440.91</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0.25%</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0.34%</w:t>
            </w:r>
          </w:p>
        </w:tc>
        <w:tc>
          <w:tcPr>
            <w:tcW w:w="291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劳雷香港报表外币折算差额增加所致</w:t>
            </w:r>
          </w:p>
        </w:tc>
      </w:tr>
    </w:tbl>
    <w:p>
      <w:pPr>
        <w:pStyle w:val="11"/>
        <w:outlineLvl w:val="2"/>
        <w:rPr>
          <w:bCs w:val="0"/>
          <w:szCs w:val="24"/>
        </w:rPr>
      </w:pPr>
      <w:r>
        <w:rPr>
          <w:bCs w:val="0"/>
          <w:szCs w:val="24"/>
        </w:rPr>
        <w:t>2</w:t>
      </w:r>
      <w:r>
        <w:rPr>
          <w:rFonts w:hint="eastAsia"/>
          <w:bCs w:val="0"/>
          <w:szCs w:val="24"/>
        </w:rPr>
        <w:t>、以公允价值计量的资产和负债</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pStyle w:val="11"/>
        <w:outlineLvl w:val="2"/>
        <w:rPr>
          <w:bCs w:val="0"/>
          <w:szCs w:val="24"/>
        </w:rPr>
      </w:pPr>
      <w:r>
        <w:rPr>
          <w:bCs w:val="0"/>
          <w:szCs w:val="24"/>
        </w:rPr>
        <w:t>3</w:t>
      </w:r>
      <w:r>
        <w:rPr>
          <w:rFonts w:hint="eastAsia"/>
          <w:bCs w:val="0"/>
          <w:szCs w:val="24"/>
        </w:rPr>
        <w:t>、截至报告期末的资产权利受限情况</w:t>
      </w:r>
    </w:p>
    <w:p>
      <w:pPr>
        <w:autoSpaceDE w:val="0"/>
        <w:autoSpaceDN w:val="0"/>
        <w:adjustRightInd w:val="0"/>
        <w:spacing w:before="240" w:after="0"/>
        <w:rPr>
          <w:rFonts w:eastAsia="Times New Roman"/>
          <w:kern w:val="0"/>
          <w:sz w:val="22"/>
          <w:szCs w:val="24"/>
          <w:lang w:val="zh-CN"/>
        </w:rPr>
      </w:pPr>
      <w:r>
        <w:rPr>
          <w:rFonts w:eastAsia="Times New Roman"/>
          <w:kern w:val="0"/>
          <w:sz w:val="22"/>
          <w:szCs w:val="24"/>
          <w:lang w:val="en-GB"/>
        </w:rPr>
        <w:t xml:space="preserve">    </w:t>
      </w:r>
      <w:r>
        <w:rPr>
          <w:rFonts w:hint="eastAsia" w:ascii="宋体" w:hAnsi="宋体" w:cs="宋体"/>
          <w:kern w:val="0"/>
          <w:sz w:val="22"/>
          <w:szCs w:val="24"/>
          <w:lang w:val="zh-CN"/>
        </w:rPr>
        <w:t>年末其他货币资金包括保函保证金及信用证保证金，因使用受限，不作为现金等价物。</w:t>
      </w:r>
    </w:p>
    <w:p>
      <w:pPr>
        <w:autoSpaceDE w:val="0"/>
        <w:autoSpaceDN w:val="0"/>
        <w:adjustRightInd w:val="0"/>
        <w:spacing w:before="240" w:after="240"/>
        <w:ind w:firstLine="440"/>
        <w:rPr>
          <w:rFonts w:eastAsia="Times New Roman"/>
          <w:kern w:val="0"/>
          <w:sz w:val="22"/>
          <w:szCs w:val="24"/>
          <w:lang w:val="zh-CN"/>
        </w:rPr>
      </w:pPr>
      <w:r>
        <w:rPr>
          <w:rFonts w:hint="eastAsia" w:ascii="宋体" w:hAnsi="宋体" w:cs="宋体"/>
          <w:kern w:val="0"/>
          <w:sz w:val="22"/>
          <w:szCs w:val="24"/>
          <w:lang w:val="zh-CN"/>
        </w:rPr>
        <w:t>本公司年末保证借款中</w:t>
      </w:r>
      <w:r>
        <w:rPr>
          <w:rFonts w:eastAsia="Times New Roman"/>
          <w:kern w:val="0"/>
          <w:sz w:val="22"/>
          <w:szCs w:val="24"/>
          <w:lang w:val="zh-CN"/>
        </w:rPr>
        <w:t>2,400</w:t>
      </w:r>
      <w:r>
        <w:rPr>
          <w:rFonts w:hint="eastAsia" w:ascii="宋体" w:hAnsi="宋体" w:cs="宋体"/>
          <w:kern w:val="0"/>
          <w:sz w:val="22"/>
          <w:szCs w:val="24"/>
          <w:lang w:val="zh-CN"/>
        </w:rPr>
        <w:t>万元系应付国开发展基金有限公司的长期借款，由北京中关村科技融资担保有限公司提供第三方连带责任保证担保。同时由本公司以北京市海淀区环保科技园</w:t>
      </w:r>
      <w:r>
        <w:rPr>
          <w:rFonts w:eastAsia="Times New Roman"/>
          <w:kern w:val="0"/>
          <w:sz w:val="22"/>
          <w:szCs w:val="24"/>
          <w:lang w:val="zh-CN"/>
        </w:rPr>
        <w:t>7</w:t>
      </w:r>
      <w:r>
        <w:rPr>
          <w:rFonts w:hint="eastAsia" w:ascii="宋体" w:hAnsi="宋体" w:cs="宋体"/>
          <w:kern w:val="0"/>
          <w:sz w:val="22"/>
          <w:szCs w:val="24"/>
          <w:lang w:val="zh-CN"/>
        </w:rPr>
        <w:t>号院</w:t>
      </w:r>
      <w:r>
        <w:rPr>
          <w:rFonts w:eastAsia="Times New Roman"/>
          <w:kern w:val="0"/>
          <w:sz w:val="22"/>
          <w:szCs w:val="24"/>
          <w:lang w:val="zh-CN"/>
        </w:rPr>
        <w:t>10</w:t>
      </w:r>
      <w:r>
        <w:rPr>
          <w:rFonts w:hint="eastAsia" w:ascii="宋体" w:hAnsi="宋体" w:cs="宋体"/>
          <w:kern w:val="0"/>
          <w:sz w:val="22"/>
          <w:szCs w:val="24"/>
          <w:lang w:val="zh-CN"/>
        </w:rPr>
        <w:t>号楼的自有房产（</w:t>
      </w:r>
      <w:r>
        <w:rPr>
          <w:rFonts w:eastAsia="Times New Roman"/>
          <w:kern w:val="0"/>
          <w:sz w:val="22"/>
          <w:szCs w:val="24"/>
          <w:lang w:val="zh-CN"/>
        </w:rPr>
        <w:t>2016</w:t>
      </w:r>
      <w:r>
        <w:rPr>
          <w:rFonts w:hint="eastAsia" w:ascii="宋体" w:hAnsi="宋体" w:cs="宋体"/>
          <w:kern w:val="0"/>
          <w:sz w:val="22"/>
          <w:szCs w:val="24"/>
          <w:lang w:val="zh-CN"/>
        </w:rPr>
        <w:t>年</w:t>
      </w:r>
      <w:r>
        <w:rPr>
          <w:rFonts w:eastAsia="Times New Roman"/>
          <w:kern w:val="0"/>
          <w:sz w:val="22"/>
          <w:szCs w:val="24"/>
          <w:lang w:val="zh-CN"/>
        </w:rPr>
        <w:t>12</w:t>
      </w:r>
      <w:r>
        <w:rPr>
          <w:rFonts w:hint="eastAsia" w:ascii="宋体" w:hAnsi="宋体" w:cs="宋体"/>
          <w:kern w:val="0"/>
          <w:sz w:val="22"/>
          <w:szCs w:val="24"/>
          <w:lang w:val="zh-CN"/>
        </w:rPr>
        <w:t>月</w:t>
      </w:r>
      <w:r>
        <w:rPr>
          <w:rFonts w:eastAsia="Times New Roman"/>
          <w:kern w:val="0"/>
          <w:sz w:val="22"/>
          <w:szCs w:val="24"/>
          <w:lang w:val="zh-CN"/>
        </w:rPr>
        <w:t>31</w:t>
      </w:r>
      <w:r>
        <w:rPr>
          <w:rFonts w:hint="eastAsia" w:ascii="宋体" w:hAnsi="宋体" w:cs="宋体"/>
          <w:kern w:val="0"/>
          <w:sz w:val="22"/>
          <w:szCs w:val="24"/>
          <w:lang w:val="zh-CN"/>
        </w:rPr>
        <w:t>日账面价值为</w:t>
      </w:r>
      <w:r>
        <w:rPr>
          <w:rFonts w:eastAsia="Times New Roman"/>
          <w:kern w:val="0"/>
          <w:sz w:val="22"/>
          <w:szCs w:val="24"/>
          <w:lang w:val="zh-CN"/>
        </w:rPr>
        <w:t>30,865,541.26</w:t>
      </w:r>
      <w:r>
        <w:rPr>
          <w:rFonts w:hint="eastAsia" w:ascii="宋体" w:hAnsi="宋体" w:cs="宋体"/>
          <w:kern w:val="0"/>
          <w:sz w:val="22"/>
          <w:szCs w:val="24"/>
          <w:lang w:val="zh-CN"/>
        </w:rPr>
        <w:t>元）向北京中关村科技融资担保有限公司提供抵押反担保，担保金额</w:t>
      </w:r>
      <w:r>
        <w:rPr>
          <w:rFonts w:eastAsia="Times New Roman"/>
          <w:kern w:val="0"/>
          <w:sz w:val="22"/>
          <w:szCs w:val="24"/>
          <w:lang w:val="zh-CN"/>
        </w:rPr>
        <w:t>2,400</w:t>
      </w:r>
      <w:r>
        <w:rPr>
          <w:rFonts w:hint="eastAsia" w:ascii="宋体" w:hAnsi="宋体" w:cs="宋体"/>
          <w:kern w:val="0"/>
          <w:sz w:val="22"/>
          <w:szCs w:val="24"/>
          <w:lang w:val="zh-CN"/>
        </w:rPr>
        <w:t>万元，担保期限为</w:t>
      </w:r>
      <w:r>
        <w:rPr>
          <w:rFonts w:eastAsia="Times New Roman"/>
          <w:kern w:val="0"/>
          <w:sz w:val="22"/>
          <w:szCs w:val="24"/>
          <w:lang w:val="zh-CN"/>
        </w:rPr>
        <w:t>10</w:t>
      </w:r>
      <w:r>
        <w:rPr>
          <w:rFonts w:hint="eastAsia" w:ascii="宋体" w:hAnsi="宋体" w:cs="宋体"/>
          <w:kern w:val="0"/>
          <w:sz w:val="22"/>
          <w:szCs w:val="24"/>
          <w:lang w:val="zh-CN"/>
        </w:rPr>
        <w:t>年。截至本报告出具日，上述房产尚未办理抵押担保手续。</w:t>
      </w:r>
    </w:p>
    <w:p>
      <w:pPr>
        <w:autoSpaceDE w:val="0"/>
        <w:autoSpaceDN w:val="0"/>
        <w:adjustRightInd w:val="0"/>
        <w:spacing w:before="0" w:after="0"/>
        <w:jc w:val="left"/>
        <w:rPr>
          <w:rFonts w:eastAsia="Times New Roman"/>
          <w:kern w:val="0"/>
          <w:szCs w:val="24"/>
          <w:lang w:val="zh-CN"/>
        </w:rPr>
      </w:pPr>
    </w:p>
    <w:p>
      <w:pPr>
        <w:pStyle w:val="10"/>
        <w:outlineLvl w:val="1"/>
        <w:rPr>
          <w:bCs w:val="0"/>
        </w:rPr>
      </w:pPr>
      <w:r>
        <w:rPr>
          <w:rFonts w:hint="eastAsia"/>
          <w:bCs w:val="0"/>
        </w:rPr>
        <w:t>五、投资状况分析</w:t>
      </w:r>
    </w:p>
    <w:p>
      <w:pPr>
        <w:pStyle w:val="11"/>
        <w:outlineLvl w:val="2"/>
        <w:rPr>
          <w:bCs w:val="0"/>
          <w:szCs w:val="24"/>
        </w:rPr>
      </w:pPr>
      <w:r>
        <w:rPr>
          <w:bCs w:val="0"/>
          <w:szCs w:val="24"/>
        </w:rPr>
        <w:t>1</w:t>
      </w:r>
      <w:r>
        <w:rPr>
          <w:rFonts w:hint="eastAsia"/>
          <w:bCs w:val="0"/>
          <w:szCs w:val="24"/>
        </w:rPr>
        <w:t>、总体情况</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tbl>
      <w:tblPr>
        <w:tblStyle w:val="8"/>
        <w:tblW w:w="9569" w:type="dxa"/>
        <w:tblInd w:w="28" w:type="dxa"/>
        <w:tblLayout w:type="fixed"/>
        <w:tblCellMar>
          <w:top w:w="0" w:type="dxa"/>
          <w:left w:w="28" w:type="dxa"/>
          <w:bottom w:w="0" w:type="dxa"/>
          <w:right w:w="28" w:type="dxa"/>
        </w:tblCellMar>
      </w:tblPr>
      <w:tblGrid>
        <w:gridCol w:w="3189"/>
        <w:gridCol w:w="3190"/>
        <w:gridCol w:w="3190"/>
      </w:tblGrid>
      <w:tr>
        <w:tblPrEx>
          <w:tblLayout w:type="fixed"/>
          <w:tblCellMar>
            <w:top w:w="0" w:type="dxa"/>
            <w:left w:w="28" w:type="dxa"/>
            <w:bottom w:w="0" w:type="dxa"/>
            <w:right w:w="28" w:type="dxa"/>
          </w:tblCellMar>
        </w:tblPrEx>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报告期投资额（元）</w:t>
            </w:r>
          </w:p>
        </w:tc>
        <w:tc>
          <w:tcPr>
            <w:tcW w:w="319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上年同期投资额（元）</w:t>
            </w:r>
          </w:p>
        </w:tc>
        <w:tc>
          <w:tcPr>
            <w:tcW w:w="319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变动幅度</w:t>
            </w:r>
          </w:p>
        </w:tc>
      </w:tr>
      <w:tr>
        <w:tblPrEx>
          <w:tblLayout w:type="fixed"/>
          <w:tblCellMar>
            <w:top w:w="0" w:type="dxa"/>
            <w:left w:w="28" w:type="dxa"/>
            <w:bottom w:w="0" w:type="dxa"/>
            <w:right w:w="28" w:type="dxa"/>
          </w:tblCellMar>
        </w:tblPrEx>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112,806,432.77</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642,900,000.00</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-82.45%</w:t>
            </w:r>
          </w:p>
        </w:tc>
      </w:tr>
    </w:tbl>
    <w:p>
      <w:pPr>
        <w:pStyle w:val="11"/>
        <w:outlineLvl w:val="2"/>
        <w:rPr>
          <w:bCs w:val="0"/>
          <w:szCs w:val="24"/>
        </w:rPr>
      </w:pPr>
      <w:r>
        <w:rPr>
          <w:bCs w:val="0"/>
          <w:szCs w:val="24"/>
        </w:rPr>
        <w:t>2</w:t>
      </w:r>
      <w:r>
        <w:rPr>
          <w:rFonts w:hint="eastAsia"/>
          <w:bCs w:val="0"/>
          <w:szCs w:val="24"/>
        </w:rPr>
        <w:t>、报告期内获取的重大的股权投资情况</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jc w:val="right"/>
        <w:rPr>
          <w:szCs w:val="24"/>
        </w:rPr>
      </w:pPr>
      <w:r>
        <w:rPr>
          <w:rFonts w:hint="eastAsia"/>
          <w:szCs w:val="24"/>
        </w:rPr>
        <w:t>单位：元</w:t>
      </w:r>
    </w:p>
    <w:tbl>
      <w:tblPr>
        <w:tblStyle w:val="8"/>
        <w:tblW w:w="9666" w:type="dxa"/>
        <w:tblInd w:w="28" w:type="dxa"/>
        <w:tblLayout w:type="fixed"/>
        <w:tblCellMar>
          <w:top w:w="0" w:type="dxa"/>
          <w:left w:w="28" w:type="dxa"/>
          <w:bottom w:w="0" w:type="dxa"/>
          <w:right w:w="28" w:type="dxa"/>
        </w:tblCellMar>
      </w:tblPr>
      <w:tblGrid>
        <w:gridCol w:w="1045"/>
        <w:gridCol w:w="824"/>
        <w:gridCol w:w="457"/>
        <w:gridCol w:w="1091"/>
        <w:gridCol w:w="678"/>
        <w:gridCol w:w="457"/>
        <w:gridCol w:w="383"/>
        <w:gridCol w:w="457"/>
        <w:gridCol w:w="457"/>
        <w:gridCol w:w="537"/>
        <w:gridCol w:w="1109"/>
        <w:gridCol w:w="457"/>
        <w:gridCol w:w="857"/>
        <w:gridCol w:w="857"/>
      </w:tblGrid>
      <w:tr>
        <w:tblPrEx>
          <w:tblLayout w:type="fixed"/>
          <w:tblCellMar>
            <w:top w:w="0" w:type="dxa"/>
            <w:left w:w="28" w:type="dxa"/>
            <w:bottom w:w="0" w:type="dxa"/>
            <w:right w:w="28" w:type="dxa"/>
          </w:tblCellMar>
        </w:tblPrEx>
        <w:tc>
          <w:tcPr>
            <w:tcW w:w="104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被投资公司名称</w:t>
            </w:r>
          </w:p>
        </w:tc>
        <w:tc>
          <w:tcPr>
            <w:tcW w:w="82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主要业务</w:t>
            </w:r>
          </w:p>
        </w:tc>
        <w:tc>
          <w:tcPr>
            <w:tcW w:w="45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投资方式</w:t>
            </w:r>
          </w:p>
        </w:tc>
        <w:tc>
          <w:tcPr>
            <w:tcW w:w="109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投资金额</w:t>
            </w:r>
          </w:p>
        </w:tc>
        <w:tc>
          <w:tcPr>
            <w:tcW w:w="678"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持股比例</w:t>
            </w:r>
          </w:p>
        </w:tc>
        <w:tc>
          <w:tcPr>
            <w:tcW w:w="45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资金来源</w:t>
            </w:r>
          </w:p>
        </w:tc>
        <w:tc>
          <w:tcPr>
            <w:tcW w:w="38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合作方</w:t>
            </w:r>
          </w:p>
        </w:tc>
        <w:tc>
          <w:tcPr>
            <w:tcW w:w="45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投资期限</w:t>
            </w:r>
          </w:p>
        </w:tc>
        <w:tc>
          <w:tcPr>
            <w:tcW w:w="45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产品类型</w:t>
            </w:r>
          </w:p>
        </w:tc>
        <w:tc>
          <w:tcPr>
            <w:tcW w:w="53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预计收益</w:t>
            </w:r>
          </w:p>
        </w:tc>
        <w:tc>
          <w:tcPr>
            <w:tcW w:w="110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本期投资盈亏</w:t>
            </w:r>
          </w:p>
        </w:tc>
        <w:tc>
          <w:tcPr>
            <w:tcW w:w="45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是否涉诉</w:t>
            </w:r>
          </w:p>
        </w:tc>
        <w:tc>
          <w:tcPr>
            <w:tcW w:w="85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披露日期（如有）</w:t>
            </w:r>
          </w:p>
        </w:tc>
        <w:tc>
          <w:tcPr>
            <w:tcW w:w="85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披露索引（如有）</w:t>
            </w:r>
          </w:p>
        </w:tc>
      </w:tr>
      <w:tr>
        <w:tblPrEx>
          <w:tblLayout w:type="fixed"/>
          <w:tblCellMar>
            <w:top w:w="0" w:type="dxa"/>
            <w:left w:w="28" w:type="dxa"/>
            <w:bottom w:w="0" w:type="dxa"/>
            <w:right w:w="28" w:type="dxa"/>
          </w:tblCellMar>
        </w:tblPrEx>
        <w:tc>
          <w:tcPr>
            <w:tcW w:w="104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广东蓝图信息技术有限公司</w:t>
            </w:r>
          </w:p>
        </w:tc>
        <w:tc>
          <w:tcPr>
            <w:tcW w:w="8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海洋信息化软件开发</w:t>
            </w:r>
          </w:p>
        </w:tc>
        <w:tc>
          <w:tcPr>
            <w:tcW w:w="45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收购</w:t>
            </w:r>
          </w:p>
        </w:tc>
        <w:tc>
          <w:tcPr>
            <w:tcW w:w="109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62,664,033.77</w:t>
            </w:r>
          </w:p>
        </w:tc>
        <w:tc>
          <w:tcPr>
            <w:tcW w:w="6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65.00%</w:t>
            </w:r>
          </w:p>
        </w:tc>
        <w:tc>
          <w:tcPr>
            <w:tcW w:w="45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自有资金</w:t>
            </w:r>
          </w:p>
        </w:tc>
        <w:tc>
          <w:tcPr>
            <w:tcW w:w="38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无</w:t>
            </w:r>
          </w:p>
        </w:tc>
        <w:tc>
          <w:tcPr>
            <w:tcW w:w="45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长期</w:t>
            </w:r>
          </w:p>
        </w:tc>
        <w:tc>
          <w:tcPr>
            <w:tcW w:w="45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软件开发</w:t>
            </w:r>
          </w:p>
        </w:tc>
        <w:tc>
          <w:tcPr>
            <w:tcW w:w="53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110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10,234,979.19</w:t>
            </w:r>
          </w:p>
        </w:tc>
        <w:tc>
          <w:tcPr>
            <w:tcW w:w="45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85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85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r>
      <w:tr>
        <w:tblPrEx>
          <w:tblLayout w:type="fixed"/>
          <w:tblCellMar>
            <w:top w:w="0" w:type="dxa"/>
            <w:left w:w="28" w:type="dxa"/>
            <w:bottom w:w="0" w:type="dxa"/>
            <w:right w:w="28" w:type="dxa"/>
          </w:tblCellMar>
        </w:tblPrEx>
        <w:tc>
          <w:tcPr>
            <w:tcW w:w="104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合计</w:t>
            </w:r>
          </w:p>
        </w:tc>
        <w:tc>
          <w:tcPr>
            <w:tcW w:w="82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45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109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62,664,033.77</w:t>
            </w:r>
          </w:p>
        </w:tc>
        <w:tc>
          <w:tcPr>
            <w:tcW w:w="678"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45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38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45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45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53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0.00</w:t>
            </w:r>
          </w:p>
        </w:tc>
        <w:tc>
          <w:tcPr>
            <w:tcW w:w="110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10,234,979.19</w:t>
            </w:r>
          </w:p>
        </w:tc>
        <w:tc>
          <w:tcPr>
            <w:tcW w:w="45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85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85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r>
    </w:tbl>
    <w:p>
      <w:pPr>
        <w:pStyle w:val="11"/>
        <w:outlineLvl w:val="2"/>
        <w:rPr>
          <w:bCs w:val="0"/>
          <w:szCs w:val="24"/>
        </w:rPr>
      </w:pPr>
      <w:r>
        <w:rPr>
          <w:bCs w:val="0"/>
          <w:szCs w:val="24"/>
        </w:rPr>
        <w:t>3</w:t>
      </w:r>
      <w:r>
        <w:rPr>
          <w:rFonts w:hint="eastAsia"/>
          <w:bCs w:val="0"/>
          <w:szCs w:val="24"/>
        </w:rPr>
        <w:t>、报告期内正在进行的重大的非股权投资情况</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pStyle w:val="11"/>
        <w:outlineLvl w:val="2"/>
        <w:rPr>
          <w:bCs w:val="0"/>
          <w:szCs w:val="24"/>
        </w:rPr>
      </w:pPr>
      <w:r>
        <w:rPr>
          <w:bCs w:val="0"/>
          <w:szCs w:val="24"/>
        </w:rPr>
        <w:t>4</w:t>
      </w:r>
      <w:r>
        <w:rPr>
          <w:rFonts w:hint="eastAsia"/>
          <w:bCs w:val="0"/>
          <w:szCs w:val="24"/>
        </w:rPr>
        <w:t>、以公允价值计量的金融资产</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pStyle w:val="11"/>
        <w:outlineLvl w:val="2"/>
        <w:rPr>
          <w:bCs w:val="0"/>
          <w:szCs w:val="24"/>
        </w:rPr>
      </w:pPr>
      <w:r>
        <w:rPr>
          <w:bCs w:val="0"/>
          <w:szCs w:val="24"/>
        </w:rPr>
        <w:t>5</w:t>
      </w:r>
      <w:r>
        <w:rPr>
          <w:rFonts w:hint="eastAsia"/>
          <w:bCs w:val="0"/>
          <w:szCs w:val="24"/>
        </w:rPr>
        <w:t>、募集资金使用情况</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pStyle w:val="11"/>
        <w:outlineLvl w:val="3"/>
        <w:rPr>
          <w:bCs w:val="0"/>
          <w:szCs w:val="24"/>
        </w:rPr>
      </w:pPr>
      <w:r>
        <w:rPr>
          <w:rFonts w:hint="eastAsia"/>
          <w:bCs w:val="0"/>
          <w:szCs w:val="24"/>
        </w:rPr>
        <w:t>（</w:t>
      </w:r>
      <w:r>
        <w:rPr>
          <w:bCs w:val="0"/>
          <w:szCs w:val="24"/>
        </w:rPr>
        <w:t>1</w:t>
      </w:r>
      <w:r>
        <w:rPr>
          <w:rFonts w:hint="eastAsia"/>
          <w:bCs w:val="0"/>
          <w:szCs w:val="24"/>
        </w:rPr>
        <w:t>）募集资金总体使用情况</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jc w:val="right"/>
        <w:rPr>
          <w:szCs w:val="24"/>
        </w:rPr>
      </w:pPr>
      <w:r>
        <w:rPr>
          <w:rFonts w:hint="eastAsia"/>
          <w:szCs w:val="24"/>
        </w:rPr>
        <w:t>单位：万元</w:t>
      </w:r>
    </w:p>
    <w:tbl>
      <w:tblPr>
        <w:tblStyle w:val="8"/>
        <w:tblW w:w="9563" w:type="dxa"/>
        <w:tblInd w:w="28" w:type="dxa"/>
        <w:tblLayout w:type="fixed"/>
        <w:tblCellMar>
          <w:top w:w="0" w:type="dxa"/>
          <w:left w:w="28" w:type="dxa"/>
          <w:bottom w:w="0" w:type="dxa"/>
          <w:right w:w="28" w:type="dxa"/>
        </w:tblCellMar>
      </w:tblPr>
      <w:tblGrid>
        <w:gridCol w:w="865"/>
        <w:gridCol w:w="870"/>
        <w:gridCol w:w="870"/>
        <w:gridCol w:w="870"/>
        <w:gridCol w:w="870"/>
        <w:gridCol w:w="869"/>
        <w:gridCol w:w="870"/>
        <w:gridCol w:w="870"/>
        <w:gridCol w:w="870"/>
        <w:gridCol w:w="870"/>
        <w:gridCol w:w="869"/>
      </w:tblGrid>
      <w:tr>
        <w:tblPrEx>
          <w:tblLayout w:type="fixed"/>
          <w:tblCellMar>
            <w:top w:w="0" w:type="dxa"/>
            <w:left w:w="28" w:type="dxa"/>
            <w:bottom w:w="0" w:type="dxa"/>
            <w:right w:w="28" w:type="dxa"/>
          </w:tblCellMar>
        </w:tblPrEx>
        <w:tc>
          <w:tcPr>
            <w:tcW w:w="86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募集年份</w:t>
            </w:r>
          </w:p>
        </w:tc>
        <w:tc>
          <w:tcPr>
            <w:tcW w:w="87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募集方式</w:t>
            </w:r>
          </w:p>
        </w:tc>
        <w:tc>
          <w:tcPr>
            <w:tcW w:w="87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募集资金总额</w:t>
            </w:r>
          </w:p>
        </w:tc>
        <w:tc>
          <w:tcPr>
            <w:tcW w:w="87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本期已使用募集资金总额</w:t>
            </w:r>
          </w:p>
        </w:tc>
        <w:tc>
          <w:tcPr>
            <w:tcW w:w="87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已累计使用募集资金总额</w:t>
            </w:r>
          </w:p>
        </w:tc>
        <w:tc>
          <w:tcPr>
            <w:tcW w:w="86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报告期内变更用途的募集资金总额</w:t>
            </w:r>
          </w:p>
        </w:tc>
        <w:tc>
          <w:tcPr>
            <w:tcW w:w="87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累计变更用途的募集资金总额</w:t>
            </w:r>
          </w:p>
        </w:tc>
        <w:tc>
          <w:tcPr>
            <w:tcW w:w="87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累计变更用途的募集资金总额比例</w:t>
            </w:r>
          </w:p>
        </w:tc>
        <w:tc>
          <w:tcPr>
            <w:tcW w:w="87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尚未使用募集资金总额</w:t>
            </w:r>
          </w:p>
        </w:tc>
        <w:tc>
          <w:tcPr>
            <w:tcW w:w="87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尚未使用募集资金用途及去向</w:t>
            </w:r>
          </w:p>
        </w:tc>
        <w:tc>
          <w:tcPr>
            <w:tcW w:w="86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闲置两年以上募集资金金额</w:t>
            </w:r>
          </w:p>
        </w:tc>
      </w:tr>
      <w:tr>
        <w:tblPrEx>
          <w:tblLayout w:type="fixed"/>
          <w:tblCellMar>
            <w:top w:w="0" w:type="dxa"/>
            <w:left w:w="28" w:type="dxa"/>
            <w:bottom w:w="0" w:type="dxa"/>
            <w:right w:w="28" w:type="dxa"/>
          </w:tblCellMar>
        </w:tblPrEx>
        <w:tc>
          <w:tcPr>
            <w:tcW w:w="86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2010</w:t>
            </w:r>
            <w:r>
              <w:rPr>
                <w:rFonts w:hint="eastAsia"/>
                <w:szCs w:val="24"/>
              </w:rPr>
              <w:t>年</w:t>
            </w:r>
          </w:p>
        </w:tc>
        <w:tc>
          <w:tcPr>
            <w:tcW w:w="87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公开发行股票</w:t>
            </w:r>
          </w:p>
        </w:tc>
        <w:tc>
          <w:tcPr>
            <w:tcW w:w="87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45,428</w:t>
            </w:r>
          </w:p>
        </w:tc>
        <w:tc>
          <w:tcPr>
            <w:tcW w:w="87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1,565.12</w:t>
            </w:r>
          </w:p>
        </w:tc>
        <w:tc>
          <w:tcPr>
            <w:tcW w:w="87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41,290.34</w:t>
            </w:r>
          </w:p>
        </w:tc>
        <w:tc>
          <w:tcPr>
            <w:tcW w:w="8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87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566.73</w:t>
            </w:r>
          </w:p>
        </w:tc>
        <w:tc>
          <w:tcPr>
            <w:tcW w:w="87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1.25%</w:t>
            </w:r>
          </w:p>
        </w:tc>
        <w:tc>
          <w:tcPr>
            <w:tcW w:w="87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2,648.2</w:t>
            </w:r>
          </w:p>
        </w:tc>
        <w:tc>
          <w:tcPr>
            <w:tcW w:w="87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主营业务</w:t>
            </w:r>
          </w:p>
        </w:tc>
        <w:tc>
          <w:tcPr>
            <w:tcW w:w="8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r>
      <w:tr>
        <w:tblPrEx>
          <w:tblLayout w:type="fixed"/>
          <w:tblCellMar>
            <w:top w:w="0" w:type="dxa"/>
            <w:left w:w="28" w:type="dxa"/>
            <w:bottom w:w="0" w:type="dxa"/>
            <w:right w:w="28" w:type="dxa"/>
          </w:tblCellMar>
        </w:tblPrEx>
        <w:tc>
          <w:tcPr>
            <w:tcW w:w="86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合计</w:t>
            </w:r>
          </w:p>
        </w:tc>
        <w:tc>
          <w:tcPr>
            <w:tcW w:w="87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87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45,428</w:t>
            </w:r>
          </w:p>
        </w:tc>
        <w:tc>
          <w:tcPr>
            <w:tcW w:w="87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1,565.12</w:t>
            </w:r>
          </w:p>
        </w:tc>
        <w:tc>
          <w:tcPr>
            <w:tcW w:w="87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41,290.34</w:t>
            </w:r>
          </w:p>
        </w:tc>
        <w:tc>
          <w:tcPr>
            <w:tcW w:w="8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87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566.73</w:t>
            </w:r>
          </w:p>
        </w:tc>
        <w:tc>
          <w:tcPr>
            <w:tcW w:w="87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1.25%</w:t>
            </w:r>
          </w:p>
        </w:tc>
        <w:tc>
          <w:tcPr>
            <w:tcW w:w="87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2,648.2</w:t>
            </w:r>
          </w:p>
        </w:tc>
        <w:tc>
          <w:tcPr>
            <w:tcW w:w="87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8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r>
      <w:tr>
        <w:tblPrEx>
          <w:tblLayout w:type="fixed"/>
          <w:tblCellMar>
            <w:top w:w="0" w:type="dxa"/>
            <w:left w:w="28" w:type="dxa"/>
            <w:bottom w:w="0" w:type="dxa"/>
            <w:right w:w="28" w:type="dxa"/>
          </w:tblCellMar>
        </w:tblPrEx>
        <w:tc>
          <w:tcPr>
            <w:tcW w:w="9563" w:type="dxa"/>
            <w:gridSpan w:val="11"/>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募集资金总体使用情况说明</w:t>
            </w:r>
          </w:p>
        </w:tc>
      </w:tr>
      <w:tr>
        <w:tblPrEx>
          <w:tblLayout w:type="fixed"/>
          <w:tblCellMar>
            <w:top w:w="0" w:type="dxa"/>
            <w:left w:w="28" w:type="dxa"/>
            <w:bottom w:w="0" w:type="dxa"/>
            <w:right w:w="28" w:type="dxa"/>
          </w:tblCellMar>
        </w:tblPrEx>
        <w:tc>
          <w:tcPr>
            <w:tcW w:w="9563" w:type="dxa"/>
            <w:gridSpan w:val="11"/>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 xml:space="preserve">2010 </w:t>
            </w:r>
            <w:r>
              <w:rPr>
                <w:rFonts w:hint="eastAsia"/>
                <w:szCs w:val="24"/>
              </w:rPr>
              <w:t>年</w:t>
            </w:r>
            <w:r>
              <w:rPr>
                <w:szCs w:val="24"/>
              </w:rPr>
              <w:t xml:space="preserve"> 3 </w:t>
            </w:r>
            <w:r>
              <w:rPr>
                <w:rFonts w:hint="eastAsia"/>
                <w:szCs w:val="24"/>
              </w:rPr>
              <w:t>月</w:t>
            </w:r>
            <w:r>
              <w:rPr>
                <w:szCs w:val="24"/>
              </w:rPr>
              <w:t xml:space="preserve"> 17 </w:t>
            </w:r>
            <w:r>
              <w:rPr>
                <w:rFonts w:hint="eastAsia"/>
                <w:szCs w:val="24"/>
              </w:rPr>
              <w:t>日</w:t>
            </w:r>
            <w:r>
              <w:rPr>
                <w:szCs w:val="24"/>
              </w:rPr>
              <w:t>,</w:t>
            </w:r>
            <w:r>
              <w:rPr>
                <w:rFonts w:hint="eastAsia"/>
                <w:szCs w:val="24"/>
              </w:rPr>
              <w:t>本公司经中国证券监督管理委员会证监许可</w:t>
            </w:r>
            <w:r>
              <w:rPr>
                <w:szCs w:val="24"/>
              </w:rPr>
              <w:t xml:space="preserve">[2010]268 </w:t>
            </w:r>
            <w:r>
              <w:rPr>
                <w:rFonts w:hint="eastAsia"/>
                <w:szCs w:val="24"/>
              </w:rPr>
              <w:t>号文批准，首次公开发行</w:t>
            </w:r>
            <w:r>
              <w:rPr>
                <w:szCs w:val="24"/>
              </w:rPr>
              <w:t xml:space="preserve">1,385.00 </w:t>
            </w:r>
            <w:r>
              <w:rPr>
                <w:rFonts w:hint="eastAsia"/>
                <w:szCs w:val="24"/>
              </w:rPr>
              <w:t>万人民币普通股（</w:t>
            </w:r>
            <w:r>
              <w:rPr>
                <w:szCs w:val="24"/>
              </w:rPr>
              <w:t xml:space="preserve">A </w:t>
            </w:r>
            <w:r>
              <w:rPr>
                <w:rFonts w:hint="eastAsia"/>
                <w:szCs w:val="24"/>
              </w:rPr>
              <w:t>股），发行价格为</w:t>
            </w:r>
            <w:r>
              <w:rPr>
                <w:szCs w:val="24"/>
              </w:rPr>
              <w:t xml:space="preserve"> 32.80 </w:t>
            </w:r>
            <w:r>
              <w:rPr>
                <w:rFonts w:hint="eastAsia"/>
                <w:szCs w:val="24"/>
              </w:rPr>
              <w:t>元</w:t>
            </w:r>
            <w:r>
              <w:rPr>
                <w:szCs w:val="24"/>
              </w:rPr>
              <w:t>/</w:t>
            </w:r>
            <w:r>
              <w:rPr>
                <w:rFonts w:hint="eastAsia"/>
                <w:szCs w:val="24"/>
              </w:rPr>
              <w:t>股，募集资金总额为人民币</w:t>
            </w:r>
            <w:r>
              <w:rPr>
                <w:szCs w:val="24"/>
              </w:rPr>
              <w:t xml:space="preserve"> 45,428.00 </w:t>
            </w:r>
            <w:r>
              <w:rPr>
                <w:rFonts w:hint="eastAsia"/>
                <w:szCs w:val="24"/>
              </w:rPr>
              <w:t>万元，最终确认的发行费用金额为人民币</w:t>
            </w:r>
            <w:r>
              <w:rPr>
                <w:szCs w:val="24"/>
              </w:rPr>
              <w:t xml:space="preserve"> 2,853.78</w:t>
            </w:r>
            <w:r>
              <w:rPr>
                <w:rFonts w:hint="eastAsia"/>
                <w:szCs w:val="24"/>
              </w:rPr>
              <w:t>万元，最终确定的募集资金净额为人民币</w:t>
            </w:r>
            <w:r>
              <w:rPr>
                <w:szCs w:val="24"/>
              </w:rPr>
              <w:t>42,574.22</w:t>
            </w:r>
            <w:r>
              <w:rPr>
                <w:rFonts w:hint="eastAsia"/>
                <w:szCs w:val="24"/>
              </w:rPr>
              <w:t>万元。公司本年度投入募集资金总额为</w:t>
            </w:r>
            <w:r>
              <w:rPr>
                <w:szCs w:val="24"/>
              </w:rPr>
              <w:t>1,565.12</w:t>
            </w:r>
            <w:r>
              <w:rPr>
                <w:rFonts w:hint="eastAsia"/>
                <w:szCs w:val="24"/>
              </w:rPr>
              <w:t>万元，为三沙海兰信海洋信息科技有限公司（以下简称</w:t>
            </w:r>
            <w:r>
              <w:rPr>
                <w:szCs w:val="24"/>
              </w:rPr>
              <w:t>“</w:t>
            </w:r>
            <w:r>
              <w:rPr>
                <w:rFonts w:hint="eastAsia"/>
                <w:szCs w:val="24"/>
              </w:rPr>
              <w:t>三沙海兰信</w:t>
            </w:r>
            <w:r>
              <w:rPr>
                <w:szCs w:val="24"/>
              </w:rPr>
              <w:t>”</w:t>
            </w:r>
            <w:r>
              <w:rPr>
                <w:rFonts w:hint="eastAsia"/>
                <w:szCs w:val="24"/>
              </w:rPr>
              <w:t>）支付采购和日常经营费用款。募集资金专户利息收入扣除手续费净额为</w:t>
            </w:r>
            <w:r>
              <w:rPr>
                <w:szCs w:val="24"/>
              </w:rPr>
              <w:t>76.07</w:t>
            </w:r>
            <w:r>
              <w:rPr>
                <w:rFonts w:hint="eastAsia"/>
                <w:szCs w:val="24"/>
              </w:rPr>
              <w:t>万元，截至</w:t>
            </w:r>
            <w:r>
              <w:rPr>
                <w:szCs w:val="24"/>
              </w:rPr>
              <w:t>2016</w:t>
            </w:r>
            <w:r>
              <w:rPr>
                <w:rFonts w:hint="eastAsia"/>
                <w:szCs w:val="24"/>
              </w:rPr>
              <w:t>年</w:t>
            </w:r>
            <w:r>
              <w:rPr>
                <w:szCs w:val="24"/>
              </w:rPr>
              <w:t>12</w:t>
            </w:r>
            <w:r>
              <w:rPr>
                <w:rFonts w:hint="eastAsia"/>
                <w:szCs w:val="24"/>
              </w:rPr>
              <w:t>月</w:t>
            </w:r>
            <w:r>
              <w:rPr>
                <w:szCs w:val="24"/>
              </w:rPr>
              <w:t>31</w:t>
            </w:r>
            <w:r>
              <w:rPr>
                <w:rFonts w:hint="eastAsia"/>
                <w:szCs w:val="24"/>
              </w:rPr>
              <w:t>日募集资金账户余额为</w:t>
            </w:r>
            <w:r>
              <w:rPr>
                <w:szCs w:val="24"/>
              </w:rPr>
              <w:t>2,648.20</w:t>
            </w:r>
            <w:r>
              <w:rPr>
                <w:rFonts w:hint="eastAsia"/>
                <w:szCs w:val="24"/>
              </w:rPr>
              <w:t>万元（包含利息），其中年初募投资金余额中包含江苏欧泰海洋工程科技有限公司（以下简称</w:t>
            </w:r>
            <w:r>
              <w:rPr>
                <w:szCs w:val="24"/>
              </w:rPr>
              <w:t>“</w:t>
            </w:r>
            <w:r>
              <w:rPr>
                <w:rFonts w:hint="eastAsia"/>
                <w:szCs w:val="24"/>
              </w:rPr>
              <w:t>欧泰</w:t>
            </w:r>
            <w:r>
              <w:rPr>
                <w:szCs w:val="24"/>
              </w:rPr>
              <w:t>”</w:t>
            </w:r>
            <w:r>
              <w:rPr>
                <w:rFonts w:hint="eastAsia"/>
                <w:szCs w:val="24"/>
              </w:rPr>
              <w:t>）一般户代募投户支付的</w:t>
            </w:r>
            <w:r>
              <w:rPr>
                <w:szCs w:val="24"/>
              </w:rPr>
              <w:t>180.13</w:t>
            </w:r>
            <w:r>
              <w:rPr>
                <w:rFonts w:hint="eastAsia"/>
                <w:szCs w:val="24"/>
              </w:rPr>
              <w:t>万元，已经从募投户归还一般户。</w:t>
            </w:r>
          </w:p>
        </w:tc>
      </w:tr>
    </w:tbl>
    <w:p>
      <w:pPr>
        <w:pStyle w:val="11"/>
        <w:outlineLvl w:val="3"/>
        <w:rPr>
          <w:bCs w:val="0"/>
          <w:szCs w:val="24"/>
        </w:rPr>
      </w:pPr>
      <w:r>
        <w:rPr>
          <w:rFonts w:hint="eastAsia"/>
          <w:bCs w:val="0"/>
          <w:szCs w:val="24"/>
        </w:rPr>
        <w:t>（</w:t>
      </w:r>
      <w:r>
        <w:rPr>
          <w:bCs w:val="0"/>
          <w:szCs w:val="24"/>
        </w:rPr>
        <w:t>2</w:t>
      </w:r>
      <w:r>
        <w:rPr>
          <w:rFonts w:hint="eastAsia"/>
          <w:bCs w:val="0"/>
          <w:szCs w:val="24"/>
        </w:rPr>
        <w:t>）募集资金承诺项目情况</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jc w:val="right"/>
        <w:rPr>
          <w:szCs w:val="24"/>
        </w:rPr>
      </w:pPr>
      <w:r>
        <w:rPr>
          <w:rFonts w:hint="eastAsia"/>
          <w:szCs w:val="24"/>
        </w:rPr>
        <w:t>单位：万元</w:t>
      </w:r>
    </w:p>
    <w:tbl>
      <w:tblPr>
        <w:tblStyle w:val="8"/>
        <w:tblW w:w="9568" w:type="dxa"/>
        <w:tblInd w:w="28" w:type="dxa"/>
        <w:tblLayout w:type="fixed"/>
        <w:tblCellMar>
          <w:top w:w="0" w:type="dxa"/>
          <w:left w:w="28" w:type="dxa"/>
          <w:bottom w:w="0" w:type="dxa"/>
          <w:right w:w="28" w:type="dxa"/>
        </w:tblCellMar>
      </w:tblPr>
      <w:tblGrid>
        <w:gridCol w:w="1770"/>
        <w:gridCol w:w="779"/>
        <w:gridCol w:w="780"/>
        <w:gridCol w:w="780"/>
        <w:gridCol w:w="779"/>
        <w:gridCol w:w="780"/>
        <w:gridCol w:w="780"/>
        <w:gridCol w:w="780"/>
        <w:gridCol w:w="780"/>
        <w:gridCol w:w="780"/>
        <w:gridCol w:w="780"/>
      </w:tblGrid>
      <w:tr>
        <w:tblPrEx>
          <w:tblLayout w:type="fixed"/>
          <w:tblCellMar>
            <w:top w:w="0" w:type="dxa"/>
            <w:left w:w="28" w:type="dxa"/>
            <w:bottom w:w="0" w:type="dxa"/>
            <w:right w:w="28" w:type="dxa"/>
          </w:tblCellMar>
        </w:tblPrEx>
        <w:tc>
          <w:tcPr>
            <w:tcW w:w="177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承诺投资项目和超募资金投向</w:t>
            </w:r>
          </w:p>
        </w:tc>
        <w:tc>
          <w:tcPr>
            <w:tcW w:w="77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是否已变更项目</w:t>
            </w:r>
            <w:r>
              <w:rPr>
                <w:szCs w:val="24"/>
              </w:rPr>
              <w:t>(</w:t>
            </w:r>
            <w:r>
              <w:rPr>
                <w:rFonts w:hint="eastAsia"/>
                <w:szCs w:val="24"/>
              </w:rPr>
              <w:t>含部分变更</w:t>
            </w:r>
            <w:r>
              <w:rPr>
                <w:szCs w:val="24"/>
              </w:rPr>
              <w:t>)</w:t>
            </w:r>
          </w:p>
        </w:tc>
        <w:tc>
          <w:tcPr>
            <w:tcW w:w="78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募集资金承诺投资总额</w:t>
            </w:r>
          </w:p>
        </w:tc>
        <w:tc>
          <w:tcPr>
            <w:tcW w:w="78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调整后投资总额</w:t>
            </w:r>
            <w:r>
              <w:rPr>
                <w:szCs w:val="24"/>
              </w:rPr>
              <w:t>(1)</w:t>
            </w:r>
          </w:p>
        </w:tc>
        <w:tc>
          <w:tcPr>
            <w:tcW w:w="77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本报告期投入金额</w:t>
            </w:r>
          </w:p>
        </w:tc>
        <w:tc>
          <w:tcPr>
            <w:tcW w:w="78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截至期末累计投入金额</w:t>
            </w:r>
            <w:r>
              <w:rPr>
                <w:szCs w:val="24"/>
              </w:rPr>
              <w:t>(2)</w:t>
            </w:r>
          </w:p>
        </w:tc>
        <w:tc>
          <w:tcPr>
            <w:tcW w:w="78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截至期末投资进度</w:t>
            </w:r>
            <w:r>
              <w:rPr>
                <w:szCs w:val="24"/>
              </w:rPr>
              <w:t>(3)</w:t>
            </w:r>
            <w:r>
              <w:rPr>
                <w:rFonts w:hint="eastAsia"/>
                <w:szCs w:val="24"/>
              </w:rPr>
              <w:t>＝</w:t>
            </w:r>
            <w:r>
              <w:rPr>
                <w:szCs w:val="24"/>
              </w:rPr>
              <w:t>(2)/(1)</w:t>
            </w:r>
          </w:p>
        </w:tc>
        <w:tc>
          <w:tcPr>
            <w:tcW w:w="78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项目达到预定可使用状态日期</w:t>
            </w:r>
          </w:p>
        </w:tc>
        <w:tc>
          <w:tcPr>
            <w:tcW w:w="78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本报告期实现的效益</w:t>
            </w:r>
          </w:p>
        </w:tc>
        <w:tc>
          <w:tcPr>
            <w:tcW w:w="78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是否达到预计效益</w:t>
            </w:r>
          </w:p>
        </w:tc>
        <w:tc>
          <w:tcPr>
            <w:tcW w:w="78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项目可行性是否发生重大变化</w:t>
            </w:r>
          </w:p>
        </w:tc>
      </w:tr>
      <w:tr>
        <w:tblPrEx>
          <w:tblLayout w:type="fixed"/>
          <w:tblCellMar>
            <w:top w:w="0" w:type="dxa"/>
            <w:left w:w="28" w:type="dxa"/>
            <w:bottom w:w="0" w:type="dxa"/>
            <w:right w:w="28" w:type="dxa"/>
          </w:tblCellMar>
        </w:tblPrEx>
        <w:tc>
          <w:tcPr>
            <w:tcW w:w="9568" w:type="dxa"/>
            <w:gridSpan w:val="11"/>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承诺投资项目</w:t>
            </w:r>
          </w:p>
        </w:tc>
      </w:tr>
      <w:tr>
        <w:tblPrEx>
          <w:tblLayout w:type="fixed"/>
          <w:tblCellMar>
            <w:top w:w="0" w:type="dxa"/>
            <w:left w:w="28" w:type="dxa"/>
            <w:bottom w:w="0" w:type="dxa"/>
            <w:right w:w="28" w:type="dxa"/>
          </w:tblCellMar>
        </w:tblPrEx>
        <w:tc>
          <w:tcPr>
            <w:tcW w:w="177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 xml:space="preserve">VMS </w:t>
            </w:r>
            <w:r>
              <w:rPr>
                <w:rFonts w:hint="eastAsia"/>
                <w:szCs w:val="24"/>
              </w:rPr>
              <w:t>产业化项目</w:t>
            </w:r>
          </w:p>
        </w:tc>
        <w:tc>
          <w:tcPr>
            <w:tcW w:w="77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2,478.88</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1,620.72</w:t>
            </w:r>
          </w:p>
        </w:tc>
        <w:tc>
          <w:tcPr>
            <w:tcW w:w="7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1,620.72</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100.00%</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2012</w:t>
            </w:r>
            <w:r>
              <w:rPr>
                <w:rFonts w:hint="eastAsia"/>
                <w:szCs w:val="24"/>
              </w:rPr>
              <w:t>年</w:t>
            </w:r>
            <w:r>
              <w:rPr>
                <w:szCs w:val="24"/>
              </w:rPr>
              <w:t>01</w:t>
            </w:r>
            <w:r>
              <w:rPr>
                <w:rFonts w:hint="eastAsia"/>
                <w:szCs w:val="24"/>
              </w:rPr>
              <w:t>月</w:t>
            </w:r>
            <w:r>
              <w:rPr>
                <w:szCs w:val="24"/>
              </w:rPr>
              <w:t>13</w:t>
            </w:r>
            <w:r>
              <w:rPr>
                <w:rFonts w:hint="eastAsia"/>
                <w:szCs w:val="24"/>
              </w:rPr>
              <w:t>日</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1,247.48</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是</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77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 xml:space="preserve">SCS </w:t>
            </w:r>
            <w:r>
              <w:rPr>
                <w:rFonts w:hint="eastAsia"/>
                <w:szCs w:val="24"/>
              </w:rPr>
              <w:t>生产线建设项目</w:t>
            </w:r>
          </w:p>
        </w:tc>
        <w:tc>
          <w:tcPr>
            <w:tcW w:w="77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4,734.82</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2,630.37</w:t>
            </w:r>
          </w:p>
        </w:tc>
        <w:tc>
          <w:tcPr>
            <w:tcW w:w="7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2,630.37</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100.00%</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2012</w:t>
            </w:r>
            <w:r>
              <w:rPr>
                <w:rFonts w:hint="eastAsia"/>
                <w:szCs w:val="24"/>
              </w:rPr>
              <w:t>年</w:t>
            </w:r>
            <w:r>
              <w:rPr>
                <w:szCs w:val="24"/>
              </w:rPr>
              <w:t>01</w:t>
            </w:r>
            <w:r>
              <w:rPr>
                <w:rFonts w:hint="eastAsia"/>
                <w:szCs w:val="24"/>
              </w:rPr>
              <w:t>月</w:t>
            </w:r>
            <w:r>
              <w:rPr>
                <w:szCs w:val="24"/>
              </w:rPr>
              <w:t>13</w:t>
            </w:r>
            <w:r>
              <w:rPr>
                <w:rFonts w:hint="eastAsia"/>
                <w:szCs w:val="24"/>
              </w:rPr>
              <w:t>日</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3,036.22</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是</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77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研发中心扩建项目</w:t>
            </w:r>
          </w:p>
        </w:tc>
        <w:tc>
          <w:tcPr>
            <w:tcW w:w="77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1,793.45</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1,245.33</w:t>
            </w:r>
          </w:p>
        </w:tc>
        <w:tc>
          <w:tcPr>
            <w:tcW w:w="7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1,245.33</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100.00%</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2012</w:t>
            </w:r>
            <w:r>
              <w:rPr>
                <w:rFonts w:hint="eastAsia"/>
                <w:szCs w:val="24"/>
              </w:rPr>
              <w:t>年</w:t>
            </w:r>
            <w:r>
              <w:rPr>
                <w:szCs w:val="24"/>
              </w:rPr>
              <w:t>01</w:t>
            </w:r>
            <w:r>
              <w:rPr>
                <w:rFonts w:hint="eastAsia"/>
                <w:szCs w:val="24"/>
              </w:rPr>
              <w:t>月</w:t>
            </w:r>
            <w:r>
              <w:rPr>
                <w:szCs w:val="24"/>
              </w:rPr>
              <w:t>13</w:t>
            </w:r>
            <w:r>
              <w:rPr>
                <w:rFonts w:hint="eastAsia"/>
                <w:szCs w:val="24"/>
              </w:rPr>
              <w:t>日</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不适用</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77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募投节余募集资金</w:t>
            </w:r>
          </w:p>
        </w:tc>
        <w:tc>
          <w:tcPr>
            <w:tcW w:w="77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3,510.73</w:t>
            </w:r>
          </w:p>
        </w:tc>
        <w:tc>
          <w:tcPr>
            <w:tcW w:w="7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3,510.73</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100.00%</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不适用</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77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承诺投资项目小计</w:t>
            </w:r>
          </w:p>
        </w:tc>
        <w:tc>
          <w:tcPr>
            <w:tcW w:w="77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9,007.15</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9,007.15</w:t>
            </w:r>
          </w:p>
        </w:tc>
        <w:tc>
          <w:tcPr>
            <w:tcW w:w="7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9,007.15</w:t>
            </w:r>
          </w:p>
        </w:tc>
        <w:tc>
          <w:tcPr>
            <w:tcW w:w="78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78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4,283.7</w:t>
            </w:r>
          </w:p>
        </w:tc>
        <w:tc>
          <w:tcPr>
            <w:tcW w:w="78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78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r>
      <w:tr>
        <w:tblPrEx>
          <w:tblLayout w:type="fixed"/>
          <w:tblCellMar>
            <w:top w:w="0" w:type="dxa"/>
            <w:left w:w="28" w:type="dxa"/>
            <w:bottom w:w="0" w:type="dxa"/>
            <w:right w:w="28" w:type="dxa"/>
          </w:tblCellMar>
        </w:tblPrEx>
        <w:tc>
          <w:tcPr>
            <w:tcW w:w="9568" w:type="dxa"/>
            <w:gridSpan w:val="11"/>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超募资金投向</w:t>
            </w:r>
          </w:p>
        </w:tc>
      </w:tr>
      <w:tr>
        <w:tblPrEx>
          <w:tblLayout w:type="fixed"/>
          <w:tblCellMar>
            <w:top w:w="0" w:type="dxa"/>
            <w:left w:w="28" w:type="dxa"/>
            <w:bottom w:w="0" w:type="dxa"/>
            <w:right w:w="28" w:type="dxa"/>
          </w:tblCellMar>
        </w:tblPrEx>
        <w:tc>
          <w:tcPr>
            <w:tcW w:w="177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江苏海兰项目</w:t>
            </w:r>
          </w:p>
        </w:tc>
        <w:tc>
          <w:tcPr>
            <w:tcW w:w="77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5,000</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5,000</w:t>
            </w:r>
          </w:p>
        </w:tc>
        <w:tc>
          <w:tcPr>
            <w:tcW w:w="7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5,000</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100.00%</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2012</w:t>
            </w:r>
            <w:r>
              <w:rPr>
                <w:rFonts w:hint="eastAsia"/>
                <w:szCs w:val="24"/>
              </w:rPr>
              <w:t>年</w:t>
            </w:r>
            <w:r>
              <w:rPr>
                <w:szCs w:val="24"/>
              </w:rPr>
              <w:t>01</w:t>
            </w:r>
            <w:r>
              <w:rPr>
                <w:rFonts w:hint="eastAsia"/>
                <w:szCs w:val="24"/>
              </w:rPr>
              <w:t>月</w:t>
            </w:r>
            <w:r>
              <w:rPr>
                <w:szCs w:val="24"/>
              </w:rPr>
              <w:t>31</w:t>
            </w:r>
            <w:r>
              <w:rPr>
                <w:rFonts w:hint="eastAsia"/>
                <w:szCs w:val="24"/>
              </w:rPr>
              <w:t>日</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449.06</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77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投资京能项目</w:t>
            </w:r>
          </w:p>
        </w:tc>
        <w:tc>
          <w:tcPr>
            <w:tcW w:w="77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3,500</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3,500</w:t>
            </w:r>
          </w:p>
        </w:tc>
        <w:tc>
          <w:tcPr>
            <w:tcW w:w="7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3,500</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100.00%</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2011</w:t>
            </w:r>
            <w:r>
              <w:rPr>
                <w:rFonts w:hint="eastAsia"/>
                <w:szCs w:val="24"/>
              </w:rPr>
              <w:t>年</w:t>
            </w:r>
            <w:r>
              <w:rPr>
                <w:szCs w:val="24"/>
              </w:rPr>
              <w:t>11</w:t>
            </w:r>
            <w:r>
              <w:rPr>
                <w:rFonts w:hint="eastAsia"/>
                <w:szCs w:val="24"/>
              </w:rPr>
              <w:t>月</w:t>
            </w:r>
            <w:r>
              <w:rPr>
                <w:szCs w:val="24"/>
              </w:rPr>
              <w:t>09</w:t>
            </w:r>
            <w:r>
              <w:rPr>
                <w:rFonts w:hint="eastAsia"/>
                <w:szCs w:val="24"/>
              </w:rPr>
              <w:t>日</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r>
      <w:tr>
        <w:tblPrEx>
          <w:tblLayout w:type="fixed"/>
          <w:tblCellMar>
            <w:top w:w="0" w:type="dxa"/>
            <w:left w:w="28" w:type="dxa"/>
            <w:bottom w:w="0" w:type="dxa"/>
            <w:right w:w="28" w:type="dxa"/>
          </w:tblCellMar>
        </w:tblPrEx>
        <w:tc>
          <w:tcPr>
            <w:tcW w:w="177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三沙项目</w:t>
            </w:r>
          </w:p>
        </w:tc>
        <w:tc>
          <w:tcPr>
            <w:tcW w:w="77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5,000</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5,000</w:t>
            </w:r>
          </w:p>
        </w:tc>
        <w:tc>
          <w:tcPr>
            <w:tcW w:w="7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1,565.12</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4,529.92</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90.60%</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2015</w:t>
            </w:r>
            <w:r>
              <w:rPr>
                <w:rFonts w:hint="eastAsia"/>
                <w:szCs w:val="24"/>
              </w:rPr>
              <w:t>年</w:t>
            </w:r>
            <w:r>
              <w:rPr>
                <w:szCs w:val="24"/>
              </w:rPr>
              <w:t>07</w:t>
            </w:r>
            <w:r>
              <w:rPr>
                <w:rFonts w:hint="eastAsia"/>
                <w:szCs w:val="24"/>
              </w:rPr>
              <w:t>月</w:t>
            </w:r>
            <w:r>
              <w:rPr>
                <w:szCs w:val="24"/>
              </w:rPr>
              <w:t>31</w:t>
            </w:r>
            <w:r>
              <w:rPr>
                <w:rFonts w:hint="eastAsia"/>
                <w:szCs w:val="24"/>
              </w:rPr>
              <w:t>日</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80.78</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77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江苏欧泰项目</w:t>
            </w:r>
          </w:p>
        </w:tc>
        <w:tc>
          <w:tcPr>
            <w:tcW w:w="77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1,020</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453.27</w:t>
            </w:r>
          </w:p>
        </w:tc>
        <w:tc>
          <w:tcPr>
            <w:tcW w:w="7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453.27</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100.00%</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2013</w:t>
            </w:r>
            <w:r>
              <w:rPr>
                <w:rFonts w:hint="eastAsia"/>
                <w:szCs w:val="24"/>
              </w:rPr>
              <w:t>年</w:t>
            </w:r>
            <w:r>
              <w:rPr>
                <w:szCs w:val="24"/>
              </w:rPr>
              <w:t>12</w:t>
            </w:r>
            <w:r>
              <w:rPr>
                <w:rFonts w:hint="eastAsia"/>
                <w:szCs w:val="24"/>
              </w:rPr>
              <w:t>月</w:t>
            </w:r>
            <w:r>
              <w:rPr>
                <w:szCs w:val="24"/>
              </w:rPr>
              <w:t>31</w:t>
            </w:r>
            <w:r>
              <w:rPr>
                <w:rFonts w:hint="eastAsia"/>
                <w:szCs w:val="24"/>
              </w:rPr>
              <w:t>日</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是</w:t>
            </w:r>
          </w:p>
        </w:tc>
      </w:tr>
      <w:tr>
        <w:tblPrEx>
          <w:tblLayout w:type="fixed"/>
          <w:tblCellMar>
            <w:top w:w="0" w:type="dxa"/>
            <w:left w:w="28" w:type="dxa"/>
            <w:bottom w:w="0" w:type="dxa"/>
            <w:right w:w="28" w:type="dxa"/>
          </w:tblCellMar>
        </w:tblPrEx>
        <w:tc>
          <w:tcPr>
            <w:tcW w:w="177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归还银行贷款（如有）</w:t>
            </w:r>
          </w:p>
        </w:tc>
        <w:tc>
          <w:tcPr>
            <w:tcW w:w="77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1,000</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1,000</w:t>
            </w:r>
          </w:p>
        </w:tc>
        <w:tc>
          <w:tcPr>
            <w:tcW w:w="7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1,000</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100.00%</w:t>
            </w:r>
          </w:p>
        </w:tc>
        <w:tc>
          <w:tcPr>
            <w:tcW w:w="78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78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78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78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r>
      <w:tr>
        <w:tblPrEx>
          <w:tblLayout w:type="fixed"/>
          <w:tblCellMar>
            <w:top w:w="0" w:type="dxa"/>
            <w:left w:w="28" w:type="dxa"/>
            <w:bottom w:w="0" w:type="dxa"/>
            <w:right w:w="28" w:type="dxa"/>
          </w:tblCellMar>
        </w:tblPrEx>
        <w:tc>
          <w:tcPr>
            <w:tcW w:w="177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补充流动资金（如有）</w:t>
            </w:r>
          </w:p>
        </w:tc>
        <w:tc>
          <w:tcPr>
            <w:tcW w:w="77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23,250.19</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17,800</w:t>
            </w:r>
          </w:p>
        </w:tc>
        <w:tc>
          <w:tcPr>
            <w:tcW w:w="7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17,800</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100.00%</w:t>
            </w:r>
          </w:p>
        </w:tc>
        <w:tc>
          <w:tcPr>
            <w:tcW w:w="78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78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78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78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r>
      <w:tr>
        <w:tblPrEx>
          <w:tblLayout w:type="fixed"/>
          <w:tblCellMar>
            <w:top w:w="0" w:type="dxa"/>
            <w:left w:w="28" w:type="dxa"/>
            <w:bottom w:w="0" w:type="dxa"/>
            <w:right w:w="28" w:type="dxa"/>
          </w:tblCellMar>
        </w:tblPrEx>
        <w:tc>
          <w:tcPr>
            <w:tcW w:w="177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超募资金投向小计</w:t>
            </w:r>
          </w:p>
        </w:tc>
        <w:tc>
          <w:tcPr>
            <w:tcW w:w="77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38,770.19</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32,753.27</w:t>
            </w:r>
          </w:p>
        </w:tc>
        <w:tc>
          <w:tcPr>
            <w:tcW w:w="7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1,565.12</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32,283.19</w:t>
            </w:r>
          </w:p>
        </w:tc>
        <w:tc>
          <w:tcPr>
            <w:tcW w:w="78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78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529.84</w:t>
            </w:r>
          </w:p>
        </w:tc>
        <w:tc>
          <w:tcPr>
            <w:tcW w:w="78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78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r>
      <w:tr>
        <w:tblPrEx>
          <w:tblLayout w:type="fixed"/>
          <w:tblCellMar>
            <w:top w:w="0" w:type="dxa"/>
            <w:left w:w="28" w:type="dxa"/>
            <w:bottom w:w="0" w:type="dxa"/>
            <w:right w:w="28" w:type="dxa"/>
          </w:tblCellMar>
        </w:tblPrEx>
        <w:tc>
          <w:tcPr>
            <w:tcW w:w="177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合计</w:t>
            </w:r>
          </w:p>
        </w:tc>
        <w:tc>
          <w:tcPr>
            <w:tcW w:w="77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47,777.34</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41,760.42</w:t>
            </w:r>
          </w:p>
        </w:tc>
        <w:tc>
          <w:tcPr>
            <w:tcW w:w="7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1,565.12</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41,290.34</w:t>
            </w:r>
          </w:p>
        </w:tc>
        <w:tc>
          <w:tcPr>
            <w:tcW w:w="78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78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7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4,813.54</w:t>
            </w:r>
          </w:p>
        </w:tc>
        <w:tc>
          <w:tcPr>
            <w:tcW w:w="78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78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r>
      <w:tr>
        <w:tblPrEx>
          <w:tblLayout w:type="fixed"/>
          <w:tblCellMar>
            <w:top w:w="0" w:type="dxa"/>
            <w:left w:w="28" w:type="dxa"/>
            <w:bottom w:w="0" w:type="dxa"/>
            <w:right w:w="28" w:type="dxa"/>
          </w:tblCellMar>
        </w:tblPrEx>
        <w:tc>
          <w:tcPr>
            <w:tcW w:w="177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未达到计划进度或预计收益的情况和原因（分具体项目）</w:t>
            </w:r>
          </w:p>
        </w:tc>
        <w:tc>
          <w:tcPr>
            <w:tcW w:w="7798" w:type="dxa"/>
            <w:gridSpan w:val="10"/>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目前，公司首次公开发行股票募集资金项目</w:t>
            </w:r>
            <w:r>
              <w:rPr>
                <w:szCs w:val="24"/>
              </w:rPr>
              <w:t>“</w:t>
            </w:r>
            <w:r>
              <w:rPr>
                <w:rFonts w:hint="eastAsia"/>
                <w:szCs w:val="24"/>
              </w:rPr>
              <w:t>船舶远程监控管理系统（</w:t>
            </w:r>
            <w:r>
              <w:rPr>
                <w:szCs w:val="24"/>
              </w:rPr>
              <w:t>VMS</w:t>
            </w:r>
            <w:r>
              <w:rPr>
                <w:rFonts w:hint="eastAsia"/>
                <w:szCs w:val="24"/>
              </w:rPr>
              <w:t>）产业化项目</w:t>
            </w:r>
            <w:r>
              <w:rPr>
                <w:szCs w:val="24"/>
              </w:rPr>
              <w:t>”</w:t>
            </w:r>
            <w:r>
              <w:rPr>
                <w:rFonts w:hint="eastAsia"/>
                <w:szCs w:val="24"/>
              </w:rPr>
              <w:t>、</w:t>
            </w:r>
            <w:r>
              <w:rPr>
                <w:szCs w:val="24"/>
              </w:rPr>
              <w:t>“</w:t>
            </w:r>
            <w:r>
              <w:rPr>
                <w:rFonts w:hint="eastAsia"/>
                <w:szCs w:val="24"/>
              </w:rPr>
              <w:t>船舶操舵仪（</w:t>
            </w:r>
            <w:r>
              <w:rPr>
                <w:szCs w:val="24"/>
              </w:rPr>
              <w:t>SCS</w:t>
            </w:r>
            <w:r>
              <w:rPr>
                <w:rFonts w:hint="eastAsia"/>
                <w:szCs w:val="24"/>
              </w:rPr>
              <w:t>）生产线建设项目</w:t>
            </w:r>
            <w:r>
              <w:rPr>
                <w:szCs w:val="24"/>
              </w:rPr>
              <w:t>”</w:t>
            </w:r>
            <w:r>
              <w:rPr>
                <w:rFonts w:hint="eastAsia"/>
                <w:szCs w:val="24"/>
              </w:rPr>
              <w:t>及</w:t>
            </w:r>
            <w:r>
              <w:rPr>
                <w:szCs w:val="24"/>
              </w:rPr>
              <w:t>“</w:t>
            </w:r>
            <w:r>
              <w:rPr>
                <w:rFonts w:hint="eastAsia"/>
                <w:szCs w:val="24"/>
              </w:rPr>
              <w:t>研发中心扩建项目</w:t>
            </w:r>
            <w:r>
              <w:rPr>
                <w:szCs w:val="24"/>
              </w:rPr>
              <w:t>”</w:t>
            </w:r>
            <w:r>
              <w:rPr>
                <w:rFonts w:hint="eastAsia"/>
                <w:szCs w:val="24"/>
              </w:rPr>
              <w:t>均已达到预计可使用状态，超募资金投资江苏海兰、京能电源及三沙海兰信的项目也已完成。其中，部分项目未能达到预期收益，原因如下：</w:t>
            </w:r>
            <w:r>
              <w:rPr>
                <w:szCs w:val="24"/>
              </w:rPr>
              <w:t xml:space="preserve">  1</w:t>
            </w:r>
            <w:r>
              <w:rPr>
                <w:rFonts w:hint="eastAsia"/>
                <w:szCs w:val="24"/>
              </w:rPr>
              <w:t>、</w:t>
            </w:r>
            <w:r>
              <w:rPr>
                <w:szCs w:val="24"/>
              </w:rPr>
              <w:t>“VMS</w:t>
            </w:r>
            <w:r>
              <w:rPr>
                <w:rFonts w:hint="eastAsia"/>
                <w:szCs w:val="24"/>
              </w:rPr>
              <w:t>产业化项目</w:t>
            </w:r>
            <w:r>
              <w:rPr>
                <w:szCs w:val="24"/>
              </w:rPr>
              <w:t>”</w:t>
            </w:r>
            <w:r>
              <w:rPr>
                <w:rFonts w:hint="eastAsia"/>
                <w:szCs w:val="24"/>
              </w:rPr>
              <w:t>、</w:t>
            </w:r>
            <w:r>
              <w:rPr>
                <w:szCs w:val="24"/>
              </w:rPr>
              <w:t>“SCS</w:t>
            </w:r>
            <w:r>
              <w:rPr>
                <w:rFonts w:hint="eastAsia"/>
                <w:szCs w:val="24"/>
              </w:rPr>
              <w:t>生产线建设项目</w:t>
            </w:r>
            <w:r>
              <w:rPr>
                <w:szCs w:val="24"/>
              </w:rPr>
              <w:t>”</w:t>
            </w:r>
            <w:r>
              <w:rPr>
                <w:rFonts w:hint="eastAsia"/>
                <w:szCs w:val="24"/>
              </w:rPr>
              <w:t>本报告期实现预计收益；</w:t>
            </w:r>
            <w:r>
              <w:rPr>
                <w:szCs w:val="24"/>
              </w:rPr>
              <w:t>“VMS</w:t>
            </w:r>
            <w:r>
              <w:rPr>
                <w:rFonts w:hint="eastAsia"/>
                <w:szCs w:val="24"/>
              </w:rPr>
              <w:t>产业化项目</w:t>
            </w:r>
            <w:r>
              <w:rPr>
                <w:szCs w:val="24"/>
              </w:rPr>
              <w:t>”</w:t>
            </w:r>
            <w:r>
              <w:rPr>
                <w:rFonts w:hint="eastAsia"/>
                <w:szCs w:val="24"/>
              </w:rPr>
              <w:t>、</w:t>
            </w:r>
            <w:r>
              <w:rPr>
                <w:szCs w:val="24"/>
              </w:rPr>
              <w:t>“SCS</w:t>
            </w:r>
            <w:r>
              <w:rPr>
                <w:rFonts w:hint="eastAsia"/>
                <w:szCs w:val="24"/>
              </w:rPr>
              <w:t>生产线建设项目</w:t>
            </w:r>
            <w:r>
              <w:rPr>
                <w:szCs w:val="24"/>
              </w:rPr>
              <w:t>”</w:t>
            </w:r>
            <w:r>
              <w:rPr>
                <w:rFonts w:hint="eastAsia"/>
                <w:szCs w:val="24"/>
              </w:rPr>
              <w:t>前期未达到预计效益，超募资金投资设立</w:t>
            </w:r>
            <w:r>
              <w:rPr>
                <w:szCs w:val="24"/>
              </w:rPr>
              <w:t>“</w:t>
            </w:r>
            <w:r>
              <w:rPr>
                <w:rFonts w:hint="eastAsia"/>
                <w:szCs w:val="24"/>
              </w:rPr>
              <w:t>江苏海兰项目</w:t>
            </w:r>
            <w:r>
              <w:rPr>
                <w:szCs w:val="24"/>
              </w:rPr>
              <w:t>”</w:t>
            </w:r>
            <w:r>
              <w:rPr>
                <w:rFonts w:hint="eastAsia"/>
                <w:szCs w:val="24"/>
              </w:rPr>
              <w:t>、</w:t>
            </w:r>
            <w:r>
              <w:rPr>
                <w:szCs w:val="24"/>
              </w:rPr>
              <w:t>“</w:t>
            </w:r>
            <w:r>
              <w:rPr>
                <w:rFonts w:hint="eastAsia"/>
                <w:szCs w:val="24"/>
              </w:rPr>
              <w:t>三沙项目</w:t>
            </w:r>
            <w:r>
              <w:rPr>
                <w:szCs w:val="24"/>
              </w:rPr>
              <w:t>”</w:t>
            </w:r>
            <w:r>
              <w:rPr>
                <w:rFonts w:hint="eastAsia"/>
                <w:szCs w:val="24"/>
              </w:rPr>
              <w:t>未达预计效益，主要受到海事业务所处行业的周期性影响，新造船订单的减少以及船厂手持订单的延期交货（或取消），对公司新产品的市场导入和</w:t>
            </w:r>
            <w:r>
              <w:rPr>
                <w:szCs w:val="24"/>
              </w:rPr>
              <w:t>VEIS</w:t>
            </w:r>
            <w:r>
              <w:rPr>
                <w:rFonts w:hint="eastAsia"/>
                <w:szCs w:val="24"/>
              </w:rPr>
              <w:t>业务的快速扩展造成一定压力。尽管目前行业已经触底仍在底部震荡，但随着全球经济的逐渐转暖及海洋资源开发的逐步推进，航运与造船业将逐渐复苏，特种船舶的需求持续旺盛，船舶信息化业务愈发受到重视，公司认为航海电气业务未来整体上行的趋势不会改变。从全球船舶配套产业的发展历程看，欧洲一些造船业已日渐衰落的国家，其生产的船用设备仍能占据世界船用设备销量近一半的份额，日、韩等世界造船大国在发展造船业的过程中均在极力推进本国船舶配套业的发展，中国船舶配套业国产化率上升的巨大潜力和市场空间依然存在；另一方面，根据行业经验，海事产品的技术更新周期相对较长，尤其获得国际权威机构认证的产品将具备长期的盈利能力。而且公司持续研发投入，产品线丰富，自主产品生产和销售比例持续提高，募投项目收益逐年上升，本年度收益开始超过目标；且船舶配套产品的装船率是客户选用产品的关键指标之一，持续的经营业绩将为后续的市场扩张打下良好基础；同时，江苏海兰作为一种全新的商业模式，实现了产业链上下游资源的强强联合，有效提升公司在产业链中的地位，并强化了公司抗周期、抗风险的能力，上述募投项目的可行性并未发生重大变化。</w:t>
            </w:r>
            <w:r>
              <w:rPr>
                <w:szCs w:val="24"/>
              </w:rPr>
              <w:t>2</w:t>
            </w:r>
            <w:r>
              <w:rPr>
                <w:rFonts w:hint="eastAsia"/>
                <w:szCs w:val="24"/>
              </w:rPr>
              <w:t>、</w:t>
            </w:r>
            <w:r>
              <w:rPr>
                <w:szCs w:val="24"/>
              </w:rPr>
              <w:t>“</w:t>
            </w:r>
            <w:r>
              <w:rPr>
                <w:rFonts w:hint="eastAsia"/>
                <w:szCs w:val="24"/>
              </w:rPr>
              <w:t>超募资金投资京能项目</w:t>
            </w:r>
            <w:r>
              <w:rPr>
                <w:szCs w:val="24"/>
              </w:rPr>
              <w:t>”</w:t>
            </w:r>
            <w:r>
              <w:rPr>
                <w:rFonts w:hint="eastAsia"/>
                <w:szCs w:val="24"/>
              </w:rPr>
              <w:t>：京能电源一直致力于军用电源产品研究开发与生产，</w:t>
            </w:r>
            <w:r>
              <w:rPr>
                <w:szCs w:val="24"/>
              </w:rPr>
              <w:t>2014</w:t>
            </w:r>
            <w:r>
              <w:rPr>
                <w:rFonts w:hint="eastAsia"/>
                <w:szCs w:val="24"/>
              </w:rPr>
              <w:t>年公司明确聚焦海洋战略，为集中精力和资源推进航海智能化和海洋信息化领域主业，公司先后于</w:t>
            </w:r>
            <w:r>
              <w:rPr>
                <w:szCs w:val="24"/>
              </w:rPr>
              <w:t>2014</w:t>
            </w:r>
            <w:r>
              <w:rPr>
                <w:rFonts w:hint="eastAsia"/>
                <w:szCs w:val="24"/>
              </w:rPr>
              <w:t>年</w:t>
            </w:r>
            <w:r>
              <w:rPr>
                <w:szCs w:val="24"/>
              </w:rPr>
              <w:t>12</w:t>
            </w:r>
            <w:r>
              <w:rPr>
                <w:rFonts w:hint="eastAsia"/>
                <w:szCs w:val="24"/>
              </w:rPr>
              <w:t>月和</w:t>
            </w:r>
            <w:r>
              <w:rPr>
                <w:szCs w:val="24"/>
              </w:rPr>
              <w:t>2015</w:t>
            </w:r>
            <w:r>
              <w:rPr>
                <w:rFonts w:hint="eastAsia"/>
                <w:szCs w:val="24"/>
              </w:rPr>
              <w:t>年</w:t>
            </w:r>
            <w:r>
              <w:rPr>
                <w:szCs w:val="24"/>
              </w:rPr>
              <w:t>12</w:t>
            </w:r>
            <w:r>
              <w:rPr>
                <w:rFonts w:hint="eastAsia"/>
                <w:szCs w:val="24"/>
              </w:rPr>
              <w:t>月转让京能电源</w:t>
            </w:r>
            <w:r>
              <w:rPr>
                <w:szCs w:val="24"/>
              </w:rPr>
              <w:t>25%</w:t>
            </w:r>
            <w:r>
              <w:rPr>
                <w:rFonts w:hint="eastAsia"/>
                <w:szCs w:val="24"/>
              </w:rPr>
              <w:t>和</w:t>
            </w:r>
            <w:r>
              <w:rPr>
                <w:szCs w:val="24"/>
              </w:rPr>
              <w:t>45%</w:t>
            </w:r>
            <w:r>
              <w:rPr>
                <w:rFonts w:hint="eastAsia"/>
                <w:szCs w:val="24"/>
              </w:rPr>
              <w:t>的股权，截止</w:t>
            </w:r>
            <w:r>
              <w:rPr>
                <w:szCs w:val="24"/>
              </w:rPr>
              <w:t>2015</w:t>
            </w:r>
            <w:r>
              <w:rPr>
                <w:rFonts w:hint="eastAsia"/>
                <w:szCs w:val="24"/>
              </w:rPr>
              <w:t>年底公司不再持有京能电源股权。</w:t>
            </w:r>
          </w:p>
        </w:tc>
      </w:tr>
      <w:tr>
        <w:tblPrEx>
          <w:tblLayout w:type="fixed"/>
          <w:tblCellMar>
            <w:top w:w="0" w:type="dxa"/>
            <w:left w:w="28" w:type="dxa"/>
            <w:bottom w:w="0" w:type="dxa"/>
            <w:right w:w="28" w:type="dxa"/>
          </w:tblCellMar>
        </w:tblPrEx>
        <w:tc>
          <w:tcPr>
            <w:tcW w:w="177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项目可行性发生重大变化的情况说明</w:t>
            </w:r>
          </w:p>
        </w:tc>
        <w:tc>
          <w:tcPr>
            <w:tcW w:w="7798" w:type="dxa"/>
            <w:gridSpan w:val="10"/>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2013</w:t>
            </w:r>
            <w:r>
              <w:rPr>
                <w:rFonts w:hint="eastAsia"/>
                <w:szCs w:val="24"/>
              </w:rPr>
              <w:t>年</w:t>
            </w:r>
            <w:r>
              <w:rPr>
                <w:szCs w:val="24"/>
              </w:rPr>
              <w:t>1</w:t>
            </w:r>
            <w:r>
              <w:rPr>
                <w:rFonts w:hint="eastAsia"/>
                <w:szCs w:val="24"/>
              </w:rPr>
              <w:t>月</w:t>
            </w:r>
            <w:r>
              <w:rPr>
                <w:szCs w:val="24"/>
              </w:rPr>
              <w:t>23</w:t>
            </w:r>
            <w:r>
              <w:rPr>
                <w:rFonts w:hint="eastAsia"/>
                <w:szCs w:val="24"/>
              </w:rPr>
              <w:t>日，公司第二届董事会第十七次会议审议通过《关于使用超募资金投资设立江苏长信船舶科技有限公司的议案》，同意公司以超募资金出资</w:t>
            </w:r>
            <w:r>
              <w:rPr>
                <w:szCs w:val="24"/>
              </w:rPr>
              <w:t>1,020</w:t>
            </w:r>
            <w:r>
              <w:rPr>
                <w:rFonts w:hint="eastAsia"/>
                <w:szCs w:val="24"/>
              </w:rPr>
              <w:t>万元与与黄海造船、南通长青沙共同投资设立江苏长信船舶科技有限公司（后经工商核名为江苏欧泰海洋工程科技有限公司，简称</w:t>
            </w:r>
            <w:r>
              <w:rPr>
                <w:szCs w:val="24"/>
              </w:rPr>
              <w:t>“</w:t>
            </w:r>
            <w:r>
              <w:rPr>
                <w:rFonts w:hint="eastAsia"/>
                <w:szCs w:val="24"/>
              </w:rPr>
              <w:t>江苏欧泰</w:t>
            </w:r>
            <w:r>
              <w:rPr>
                <w:szCs w:val="24"/>
              </w:rPr>
              <w:t>”</w:t>
            </w:r>
            <w:r>
              <w:rPr>
                <w:rFonts w:hint="eastAsia"/>
                <w:szCs w:val="24"/>
              </w:rPr>
              <w:t>）。公司实施本募投项目的背景是，国家近年对海洋捕捞和渔船更新改造的重要性充分重视，国内不少沿海地区加快了近海渔船</w:t>
            </w:r>
            <w:r>
              <w:rPr>
                <w:szCs w:val="24"/>
              </w:rPr>
              <w:t>“</w:t>
            </w:r>
            <w:r>
              <w:rPr>
                <w:rFonts w:hint="eastAsia"/>
                <w:szCs w:val="24"/>
              </w:rPr>
              <w:t>以小换大、以钢代木</w:t>
            </w:r>
            <w:r>
              <w:rPr>
                <w:szCs w:val="24"/>
              </w:rPr>
              <w:t>”</w:t>
            </w:r>
            <w:r>
              <w:rPr>
                <w:rFonts w:hint="eastAsia"/>
                <w:szCs w:val="24"/>
              </w:rPr>
              <w:t>的更新改造步伐，并建立多种体制与机制，加大各级财政资金扶持的力度，促进渔船更新改造和标准化，提高新建渔船的装备和信息化水平。公司拟通过本项目的实施，充分利用三家投资方在渔船细分领域的领先优势和品牌地位，进一步丰富和完善公司产品线，促进现有海事业务结构的优化，提升公司的市场竞争力。然而在募投项目实施过程中，造船行业整体复苏缓慢，渔船建造市场环境亦未发生明显向好的变化，渔船通讯导航设备更新换代进展相对迟缓；同时，近海渔船配套市场不规范，竞争环境较为恶劣，产品毛利空间被压缩，导致江苏欧泰业务拓展情况并不理想，项目投产预计效益不能达到预期；此外，公司在远洋渔船领域的业务需求可通过控股子公司江苏海兰的集成供应平台承接，不会对公司的相关业务产生重大影响。因此，为提高募集资金使用效率，避免投资损失，实现公司股东利益最大化，经与江苏欧泰其他股东友好协商，公司拟终止对上述募投项目的后续投资。</w:t>
            </w:r>
            <w:r>
              <w:rPr>
                <w:szCs w:val="24"/>
              </w:rPr>
              <w:t>2014</w:t>
            </w:r>
            <w:r>
              <w:rPr>
                <w:rFonts w:hint="eastAsia"/>
                <w:szCs w:val="24"/>
              </w:rPr>
              <w:t>年</w:t>
            </w:r>
            <w:r>
              <w:rPr>
                <w:szCs w:val="24"/>
              </w:rPr>
              <w:t>7</w:t>
            </w:r>
            <w:r>
              <w:rPr>
                <w:rFonts w:hint="eastAsia"/>
                <w:szCs w:val="24"/>
              </w:rPr>
              <w:t>月</w:t>
            </w:r>
            <w:r>
              <w:rPr>
                <w:szCs w:val="24"/>
              </w:rPr>
              <w:t>30</w:t>
            </w:r>
            <w:r>
              <w:rPr>
                <w:rFonts w:hint="eastAsia"/>
                <w:szCs w:val="24"/>
              </w:rPr>
              <w:t>日，公司</w:t>
            </w:r>
            <w:r>
              <w:rPr>
                <w:szCs w:val="24"/>
              </w:rPr>
              <w:t>2014</w:t>
            </w:r>
            <w:r>
              <w:rPr>
                <w:rFonts w:hint="eastAsia"/>
                <w:szCs w:val="24"/>
              </w:rPr>
              <w:t>年度第一次临时股东大会审议通过《关于终止超募资金投资项目的议案》，同意终止对江苏欧泰项目的后续投资，并授权董事会办理江苏欧泰及相应的募集资金专户的注销工作，剩余募集资金将继续存放于公司其他募集资金专户管理。江苏欧泰分别于</w:t>
            </w:r>
            <w:r>
              <w:rPr>
                <w:szCs w:val="24"/>
              </w:rPr>
              <w:t>2014</w:t>
            </w:r>
            <w:r>
              <w:rPr>
                <w:rFonts w:hint="eastAsia"/>
                <w:szCs w:val="24"/>
              </w:rPr>
              <w:t>年</w:t>
            </w:r>
            <w:r>
              <w:rPr>
                <w:szCs w:val="24"/>
              </w:rPr>
              <w:t>11</w:t>
            </w:r>
            <w:r>
              <w:rPr>
                <w:rFonts w:hint="eastAsia"/>
                <w:szCs w:val="24"/>
              </w:rPr>
              <w:t>月</w:t>
            </w:r>
            <w:r>
              <w:rPr>
                <w:szCs w:val="24"/>
              </w:rPr>
              <w:t>12</w:t>
            </w:r>
            <w:r>
              <w:rPr>
                <w:rFonts w:hint="eastAsia"/>
                <w:szCs w:val="24"/>
              </w:rPr>
              <w:t>日、</w:t>
            </w:r>
            <w:r>
              <w:rPr>
                <w:szCs w:val="24"/>
              </w:rPr>
              <w:t>12</w:t>
            </w:r>
            <w:r>
              <w:rPr>
                <w:rFonts w:hint="eastAsia"/>
                <w:szCs w:val="24"/>
              </w:rPr>
              <w:t>月</w:t>
            </w:r>
            <w:r>
              <w:rPr>
                <w:szCs w:val="24"/>
              </w:rPr>
              <w:t>18</w:t>
            </w:r>
            <w:r>
              <w:rPr>
                <w:rFonts w:hint="eastAsia"/>
                <w:szCs w:val="24"/>
              </w:rPr>
              <w:t>日、</w:t>
            </w:r>
            <w:r>
              <w:rPr>
                <w:szCs w:val="24"/>
              </w:rPr>
              <w:t>2015</w:t>
            </w:r>
            <w:r>
              <w:rPr>
                <w:rFonts w:hint="eastAsia"/>
                <w:szCs w:val="24"/>
              </w:rPr>
              <w:t>年</w:t>
            </w:r>
            <w:r>
              <w:rPr>
                <w:szCs w:val="24"/>
              </w:rPr>
              <w:t>6</w:t>
            </w:r>
            <w:r>
              <w:rPr>
                <w:rFonts w:hint="eastAsia"/>
                <w:szCs w:val="24"/>
              </w:rPr>
              <w:t>月</w:t>
            </w:r>
            <w:r>
              <w:rPr>
                <w:szCs w:val="24"/>
              </w:rPr>
              <w:t>25</w:t>
            </w:r>
            <w:r>
              <w:rPr>
                <w:rFonts w:hint="eastAsia"/>
                <w:szCs w:val="24"/>
              </w:rPr>
              <w:t>日支付海兰信投资款</w:t>
            </w:r>
            <w:r>
              <w:rPr>
                <w:szCs w:val="24"/>
              </w:rPr>
              <w:t>235</w:t>
            </w:r>
            <w:r>
              <w:rPr>
                <w:rFonts w:hint="eastAsia"/>
                <w:szCs w:val="24"/>
              </w:rPr>
              <w:t>万、</w:t>
            </w:r>
            <w:r>
              <w:rPr>
                <w:szCs w:val="24"/>
              </w:rPr>
              <w:t>350</w:t>
            </w:r>
            <w:r>
              <w:rPr>
                <w:rFonts w:hint="eastAsia"/>
                <w:szCs w:val="24"/>
              </w:rPr>
              <w:t>万、</w:t>
            </w:r>
            <w:r>
              <w:rPr>
                <w:szCs w:val="24"/>
              </w:rPr>
              <w:t>8.55</w:t>
            </w:r>
            <w:r>
              <w:rPr>
                <w:rFonts w:hint="eastAsia"/>
                <w:szCs w:val="24"/>
              </w:rPr>
              <w:t>万元，退回的</w:t>
            </w:r>
            <w:r>
              <w:rPr>
                <w:szCs w:val="24"/>
              </w:rPr>
              <w:t>593.55</w:t>
            </w:r>
            <w:r>
              <w:rPr>
                <w:rFonts w:hint="eastAsia"/>
                <w:szCs w:val="24"/>
              </w:rPr>
              <w:t>万募集资金继续存放于公司募集资金专户管理，江苏欧泰已于</w:t>
            </w:r>
            <w:r>
              <w:rPr>
                <w:szCs w:val="24"/>
              </w:rPr>
              <w:t>2015</w:t>
            </w:r>
            <w:r>
              <w:rPr>
                <w:rFonts w:hint="eastAsia"/>
                <w:szCs w:val="24"/>
              </w:rPr>
              <w:t>年</w:t>
            </w:r>
            <w:r>
              <w:rPr>
                <w:szCs w:val="24"/>
              </w:rPr>
              <w:t>6</w:t>
            </w:r>
            <w:r>
              <w:rPr>
                <w:rFonts w:hint="eastAsia"/>
                <w:szCs w:val="24"/>
              </w:rPr>
              <w:t>月</w:t>
            </w:r>
            <w:r>
              <w:rPr>
                <w:szCs w:val="24"/>
              </w:rPr>
              <w:t>15</w:t>
            </w:r>
            <w:r>
              <w:rPr>
                <w:rFonts w:hint="eastAsia"/>
                <w:szCs w:val="24"/>
              </w:rPr>
              <w:t>号完成工商注销工作。</w:t>
            </w:r>
            <w:r>
              <w:rPr>
                <w:szCs w:val="24"/>
              </w:rPr>
              <w:t>2014</w:t>
            </w:r>
            <w:r>
              <w:rPr>
                <w:rFonts w:hint="eastAsia"/>
                <w:szCs w:val="24"/>
              </w:rPr>
              <w:t>年四季度欧泰一般户代募投专户支出</w:t>
            </w:r>
            <w:r>
              <w:rPr>
                <w:szCs w:val="24"/>
              </w:rPr>
              <w:t>1,801,343.02</w:t>
            </w:r>
            <w:r>
              <w:rPr>
                <w:rFonts w:hint="eastAsia"/>
                <w:szCs w:val="24"/>
              </w:rPr>
              <w:t>元，欧泰募集资金专户应转一般户</w:t>
            </w:r>
            <w:r>
              <w:rPr>
                <w:szCs w:val="24"/>
              </w:rPr>
              <w:t>1,801,343.02</w:t>
            </w:r>
            <w:r>
              <w:rPr>
                <w:rFonts w:hint="eastAsia"/>
                <w:szCs w:val="24"/>
              </w:rPr>
              <w:t>元，欧泰未能够及时办理转账，注销时募投资金专户款（包括利息）全部转回海兰信超募资金专户。</w:t>
            </w:r>
            <w:r>
              <w:rPr>
                <w:szCs w:val="24"/>
              </w:rPr>
              <w:t>2016</w:t>
            </w:r>
            <w:r>
              <w:rPr>
                <w:rFonts w:hint="eastAsia"/>
                <w:szCs w:val="24"/>
              </w:rPr>
              <w:t>年，经履行管理层审批手续，把欧泰募投资金已经投入的</w:t>
            </w:r>
            <w:r>
              <w:rPr>
                <w:szCs w:val="24"/>
              </w:rPr>
              <w:t>1,801,343.02</w:t>
            </w:r>
            <w:r>
              <w:rPr>
                <w:rFonts w:hint="eastAsia"/>
                <w:szCs w:val="24"/>
              </w:rPr>
              <w:t>元部分，从海兰信超募专户转入一般账户。</w:t>
            </w:r>
          </w:p>
        </w:tc>
      </w:tr>
      <w:tr>
        <w:tblPrEx>
          <w:tblLayout w:type="fixed"/>
          <w:tblCellMar>
            <w:top w:w="0" w:type="dxa"/>
            <w:left w:w="28" w:type="dxa"/>
            <w:bottom w:w="0" w:type="dxa"/>
            <w:right w:w="28" w:type="dxa"/>
          </w:tblCellMar>
        </w:tblPrEx>
        <w:tc>
          <w:tcPr>
            <w:tcW w:w="1770"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超募资金的金额、用途及使用进展情况</w:t>
            </w:r>
          </w:p>
        </w:tc>
        <w:tc>
          <w:tcPr>
            <w:tcW w:w="7798" w:type="dxa"/>
            <w:gridSpan w:val="10"/>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适用</w:t>
            </w:r>
          </w:p>
        </w:tc>
      </w:tr>
      <w:tr>
        <w:tblPrEx>
          <w:tblLayout w:type="fixed"/>
          <w:tblCellMar>
            <w:top w:w="0" w:type="dxa"/>
            <w:left w:w="28" w:type="dxa"/>
            <w:bottom w:w="0" w:type="dxa"/>
            <w:right w:w="28" w:type="dxa"/>
          </w:tblCellMar>
        </w:tblPrEx>
        <w:tc>
          <w:tcPr>
            <w:tcW w:w="1770" w:type="dxa"/>
            <w:vMerge w:val="continue"/>
            <w:tcBorders>
              <w:top w:val="single" w:color="auto" w:sz="4" w:space="0"/>
              <w:left w:val="single" w:color="auto" w:sz="4" w:space="0"/>
              <w:bottom w:val="single" w:color="auto" w:sz="4" w:space="0"/>
              <w:right w:val="single" w:color="auto" w:sz="4" w:space="0"/>
            </w:tcBorders>
            <w:vAlign w:val="center"/>
          </w:tcPr>
          <w:p>
            <w:pPr>
              <w:jc w:val="left"/>
              <w:rPr>
                <w:szCs w:val="24"/>
              </w:rPr>
            </w:pPr>
          </w:p>
        </w:tc>
        <w:tc>
          <w:tcPr>
            <w:tcW w:w="7798" w:type="dxa"/>
            <w:gridSpan w:val="10"/>
            <w:tcBorders>
              <w:top w:val="single" w:color="auto" w:sz="4" w:space="0"/>
              <w:left w:val="single" w:color="auto" w:sz="4" w:space="0"/>
              <w:bottom w:val="single" w:color="auto" w:sz="4" w:space="0"/>
              <w:right w:val="single" w:color="auto" w:sz="4" w:space="0"/>
            </w:tcBorders>
            <w:vAlign w:val="center"/>
          </w:tcPr>
          <w:p>
            <w:pPr>
              <w:jc w:val="left"/>
              <w:rPr>
                <w:szCs w:val="24"/>
              </w:rPr>
            </w:pPr>
            <w:r>
              <w:rPr>
                <w:rFonts w:hint="eastAsia"/>
                <w:szCs w:val="24"/>
              </w:rPr>
              <w:t>公司上市募集超募资金总额为</w:t>
            </w:r>
            <w:r>
              <w:rPr>
                <w:szCs w:val="24"/>
              </w:rPr>
              <w:t>33,567.07</w:t>
            </w:r>
            <w:r>
              <w:rPr>
                <w:rFonts w:hint="eastAsia"/>
                <w:szCs w:val="24"/>
              </w:rPr>
              <w:t>万元。</w:t>
            </w:r>
            <w:r>
              <w:rPr>
                <w:szCs w:val="24"/>
              </w:rPr>
              <w:t>1</w:t>
            </w:r>
            <w:r>
              <w:rPr>
                <w:rFonts w:hint="eastAsia"/>
                <w:szCs w:val="24"/>
              </w:rPr>
              <w:t>、</w:t>
            </w:r>
            <w:r>
              <w:rPr>
                <w:szCs w:val="24"/>
              </w:rPr>
              <w:t>2010</w:t>
            </w:r>
            <w:r>
              <w:rPr>
                <w:rFonts w:hint="eastAsia"/>
                <w:szCs w:val="24"/>
              </w:rPr>
              <w:t>年</w:t>
            </w:r>
            <w:r>
              <w:rPr>
                <w:szCs w:val="24"/>
              </w:rPr>
              <w:t>4</w:t>
            </w:r>
            <w:r>
              <w:rPr>
                <w:rFonts w:hint="eastAsia"/>
                <w:szCs w:val="24"/>
              </w:rPr>
              <w:t>月</w:t>
            </w:r>
            <w:r>
              <w:rPr>
                <w:szCs w:val="24"/>
              </w:rPr>
              <w:t>26</w:t>
            </w:r>
            <w:r>
              <w:rPr>
                <w:rFonts w:hint="eastAsia"/>
                <w:szCs w:val="24"/>
              </w:rPr>
              <w:t>日，公司第一届董事会第十五次会议审议通过《关于募集资金使用计划的议案》，同意公司使用</w:t>
            </w:r>
            <w:r>
              <w:rPr>
                <w:szCs w:val="24"/>
              </w:rPr>
              <w:t>4,800</w:t>
            </w:r>
            <w:r>
              <w:rPr>
                <w:rFonts w:hint="eastAsia"/>
                <w:szCs w:val="24"/>
              </w:rPr>
              <w:t>万元其他与主营业务相关的募集资金永久补充流动资金，使用</w:t>
            </w:r>
            <w:r>
              <w:rPr>
                <w:szCs w:val="24"/>
              </w:rPr>
              <w:t>1,000</w:t>
            </w:r>
            <w:r>
              <w:rPr>
                <w:rFonts w:hint="eastAsia"/>
                <w:szCs w:val="24"/>
              </w:rPr>
              <w:t>万元其他与主营业务相关的募集资金偿还银行贷款。该事项已经独立董事、保荐机构发表了同意意见。公司于</w:t>
            </w:r>
            <w:r>
              <w:rPr>
                <w:szCs w:val="24"/>
              </w:rPr>
              <w:t>2010</w:t>
            </w:r>
            <w:r>
              <w:rPr>
                <w:rFonts w:hint="eastAsia"/>
                <w:szCs w:val="24"/>
              </w:rPr>
              <w:t>年</w:t>
            </w:r>
            <w:r>
              <w:rPr>
                <w:szCs w:val="24"/>
              </w:rPr>
              <w:t>5</w:t>
            </w:r>
            <w:r>
              <w:rPr>
                <w:rFonts w:hint="eastAsia"/>
                <w:szCs w:val="24"/>
              </w:rPr>
              <w:t>月</w:t>
            </w:r>
            <w:r>
              <w:rPr>
                <w:szCs w:val="24"/>
              </w:rPr>
              <w:t>5</w:t>
            </w:r>
            <w:r>
              <w:rPr>
                <w:rFonts w:hint="eastAsia"/>
                <w:szCs w:val="24"/>
              </w:rPr>
              <w:t>日使用了</w:t>
            </w:r>
            <w:r>
              <w:rPr>
                <w:szCs w:val="24"/>
              </w:rPr>
              <w:t>4,800</w:t>
            </w:r>
            <w:r>
              <w:rPr>
                <w:rFonts w:hint="eastAsia"/>
                <w:szCs w:val="24"/>
              </w:rPr>
              <w:t>万元募集资金永久补充流动资金，并于</w:t>
            </w:r>
            <w:r>
              <w:rPr>
                <w:szCs w:val="24"/>
              </w:rPr>
              <w:t>2010</w:t>
            </w:r>
            <w:r>
              <w:rPr>
                <w:rFonts w:hint="eastAsia"/>
                <w:szCs w:val="24"/>
              </w:rPr>
              <w:t>年</w:t>
            </w:r>
            <w:r>
              <w:rPr>
                <w:szCs w:val="24"/>
              </w:rPr>
              <w:t>5</w:t>
            </w:r>
            <w:r>
              <w:rPr>
                <w:rFonts w:hint="eastAsia"/>
                <w:szCs w:val="24"/>
              </w:rPr>
              <w:t>月</w:t>
            </w:r>
            <w:r>
              <w:rPr>
                <w:szCs w:val="24"/>
              </w:rPr>
              <w:t>13</w:t>
            </w:r>
            <w:r>
              <w:rPr>
                <w:rFonts w:hint="eastAsia"/>
                <w:szCs w:val="24"/>
              </w:rPr>
              <w:t>日使用</w:t>
            </w:r>
            <w:r>
              <w:rPr>
                <w:szCs w:val="24"/>
              </w:rPr>
              <w:t>1,000</w:t>
            </w:r>
            <w:r>
              <w:rPr>
                <w:rFonts w:hint="eastAsia"/>
                <w:szCs w:val="24"/>
              </w:rPr>
              <w:t>万元募集资金偿还了在北京银行清华园支行的</w:t>
            </w:r>
            <w:r>
              <w:rPr>
                <w:szCs w:val="24"/>
              </w:rPr>
              <w:t>1,000</w:t>
            </w:r>
            <w:r>
              <w:rPr>
                <w:rFonts w:hint="eastAsia"/>
                <w:szCs w:val="24"/>
              </w:rPr>
              <w:t>万元短期银行借款。</w:t>
            </w:r>
            <w:r>
              <w:rPr>
                <w:szCs w:val="24"/>
              </w:rPr>
              <w:t>2</w:t>
            </w:r>
            <w:r>
              <w:rPr>
                <w:rFonts w:hint="eastAsia"/>
                <w:szCs w:val="24"/>
              </w:rPr>
              <w:t>、</w:t>
            </w:r>
            <w:r>
              <w:rPr>
                <w:szCs w:val="24"/>
              </w:rPr>
              <w:t>2011</w:t>
            </w:r>
            <w:r>
              <w:rPr>
                <w:rFonts w:hint="eastAsia"/>
                <w:szCs w:val="24"/>
              </w:rPr>
              <w:t>年</w:t>
            </w:r>
            <w:r>
              <w:rPr>
                <w:szCs w:val="24"/>
              </w:rPr>
              <w:t>1</w:t>
            </w:r>
            <w:r>
              <w:rPr>
                <w:rFonts w:hint="eastAsia"/>
                <w:szCs w:val="24"/>
              </w:rPr>
              <w:t>月</w:t>
            </w:r>
            <w:r>
              <w:rPr>
                <w:szCs w:val="24"/>
              </w:rPr>
              <w:t>6</w:t>
            </w:r>
            <w:r>
              <w:rPr>
                <w:rFonts w:hint="eastAsia"/>
                <w:szCs w:val="24"/>
              </w:rPr>
              <w:t>日公司第一届董事会第二十一次会议审议通过了《关于使用超募资金投资设立江苏海兰船舶电气系统科技有限公司的议案》，同意公司使用</w:t>
            </w:r>
            <w:r>
              <w:rPr>
                <w:szCs w:val="24"/>
              </w:rPr>
              <w:t>5,000</w:t>
            </w:r>
            <w:r>
              <w:rPr>
                <w:rFonts w:hint="eastAsia"/>
                <w:szCs w:val="24"/>
              </w:rPr>
              <w:t>万元超募资金与江苏新扬子造船有限公司、江苏韩通船舶重工有限公司、泰州三福船舶工程有限公司、江苏奕淳集团有限公司共同投资设立江苏海兰船舶电气系统科技有限公司。该事项已经独立董事、保荐机构发表了同意意见。截至</w:t>
            </w:r>
            <w:r>
              <w:rPr>
                <w:szCs w:val="24"/>
              </w:rPr>
              <w:t>2011</w:t>
            </w:r>
            <w:r>
              <w:rPr>
                <w:rFonts w:hint="eastAsia"/>
                <w:szCs w:val="24"/>
              </w:rPr>
              <w:t>年</w:t>
            </w:r>
            <w:r>
              <w:rPr>
                <w:szCs w:val="24"/>
              </w:rPr>
              <w:t>12</w:t>
            </w:r>
            <w:r>
              <w:rPr>
                <w:rFonts w:hint="eastAsia"/>
                <w:szCs w:val="24"/>
              </w:rPr>
              <w:t>月</w:t>
            </w:r>
            <w:r>
              <w:rPr>
                <w:szCs w:val="24"/>
              </w:rPr>
              <w:t>31</w:t>
            </w:r>
            <w:r>
              <w:rPr>
                <w:rFonts w:hint="eastAsia"/>
                <w:szCs w:val="24"/>
              </w:rPr>
              <w:t>日，江苏海兰累计使用募集资金</w:t>
            </w:r>
            <w:r>
              <w:rPr>
                <w:szCs w:val="24"/>
              </w:rPr>
              <w:t>5,000</w:t>
            </w:r>
            <w:r>
              <w:rPr>
                <w:rFonts w:hint="eastAsia"/>
                <w:szCs w:val="24"/>
              </w:rPr>
              <w:t>万元。</w:t>
            </w:r>
            <w:r>
              <w:rPr>
                <w:szCs w:val="24"/>
              </w:rPr>
              <w:t>3</w:t>
            </w:r>
            <w:r>
              <w:rPr>
                <w:rFonts w:hint="eastAsia"/>
                <w:szCs w:val="24"/>
              </w:rPr>
              <w:t>、</w:t>
            </w:r>
            <w:r>
              <w:rPr>
                <w:szCs w:val="24"/>
              </w:rPr>
              <w:t>2011</w:t>
            </w:r>
            <w:r>
              <w:rPr>
                <w:rFonts w:hint="eastAsia"/>
                <w:szCs w:val="24"/>
              </w:rPr>
              <w:t>年</w:t>
            </w:r>
            <w:r>
              <w:rPr>
                <w:szCs w:val="24"/>
              </w:rPr>
              <w:t>4</w:t>
            </w:r>
            <w:r>
              <w:rPr>
                <w:rFonts w:hint="eastAsia"/>
                <w:szCs w:val="24"/>
              </w:rPr>
              <w:t>月</w:t>
            </w:r>
            <w:r>
              <w:rPr>
                <w:szCs w:val="24"/>
              </w:rPr>
              <w:t>21</w:t>
            </w:r>
            <w:r>
              <w:rPr>
                <w:rFonts w:hint="eastAsia"/>
                <w:szCs w:val="24"/>
              </w:rPr>
              <w:t>日公司第一届董事会第二十二次会议审议通过了《关于使用超募资金永久补充流动资金的议案》，同意公司使用</w:t>
            </w:r>
            <w:r>
              <w:rPr>
                <w:szCs w:val="24"/>
              </w:rPr>
              <w:t>6,500</w:t>
            </w:r>
            <w:r>
              <w:rPr>
                <w:rFonts w:hint="eastAsia"/>
                <w:szCs w:val="24"/>
              </w:rPr>
              <w:t>万元其他与主营业务相关的募集资金用于永久补充流动资金。该事项已经独立董事、保荐机构发表了同意意见。公司于</w:t>
            </w:r>
            <w:r>
              <w:rPr>
                <w:szCs w:val="24"/>
              </w:rPr>
              <w:t>2011</w:t>
            </w:r>
            <w:r>
              <w:rPr>
                <w:rFonts w:hint="eastAsia"/>
                <w:szCs w:val="24"/>
              </w:rPr>
              <w:t>年</w:t>
            </w:r>
            <w:r>
              <w:rPr>
                <w:szCs w:val="24"/>
              </w:rPr>
              <w:t>5</w:t>
            </w:r>
            <w:r>
              <w:rPr>
                <w:rFonts w:hint="eastAsia"/>
                <w:szCs w:val="24"/>
              </w:rPr>
              <w:t>月</w:t>
            </w:r>
            <w:r>
              <w:rPr>
                <w:szCs w:val="24"/>
              </w:rPr>
              <w:t>11</w:t>
            </w:r>
            <w:r>
              <w:rPr>
                <w:rFonts w:hint="eastAsia"/>
                <w:szCs w:val="24"/>
              </w:rPr>
              <w:t>日使用了</w:t>
            </w:r>
            <w:r>
              <w:rPr>
                <w:szCs w:val="24"/>
              </w:rPr>
              <w:t>6500</w:t>
            </w:r>
            <w:r>
              <w:rPr>
                <w:rFonts w:hint="eastAsia"/>
                <w:szCs w:val="24"/>
              </w:rPr>
              <w:t>万元募集资金永久补充流动资金。</w:t>
            </w:r>
            <w:r>
              <w:rPr>
                <w:szCs w:val="24"/>
              </w:rPr>
              <w:t>4</w:t>
            </w:r>
            <w:r>
              <w:rPr>
                <w:rFonts w:hint="eastAsia"/>
                <w:szCs w:val="24"/>
              </w:rPr>
              <w:t>、</w:t>
            </w:r>
            <w:r>
              <w:rPr>
                <w:szCs w:val="24"/>
              </w:rPr>
              <w:t>2011</w:t>
            </w:r>
            <w:r>
              <w:rPr>
                <w:rFonts w:hint="eastAsia"/>
                <w:szCs w:val="24"/>
              </w:rPr>
              <w:t>年</w:t>
            </w:r>
            <w:r>
              <w:rPr>
                <w:szCs w:val="24"/>
              </w:rPr>
              <w:t>7</w:t>
            </w:r>
            <w:r>
              <w:rPr>
                <w:rFonts w:hint="eastAsia"/>
                <w:szCs w:val="24"/>
              </w:rPr>
              <w:t>月</w:t>
            </w:r>
            <w:r>
              <w:rPr>
                <w:szCs w:val="24"/>
              </w:rPr>
              <w:t>18</w:t>
            </w:r>
            <w:r>
              <w:rPr>
                <w:rFonts w:hint="eastAsia"/>
                <w:szCs w:val="24"/>
              </w:rPr>
              <w:t>日公司第二届董事会第二次会议审议通过了《关于使用部分超募资金暂时补充流动资金的议案》，同意公司使用</w:t>
            </w:r>
            <w:r>
              <w:rPr>
                <w:szCs w:val="24"/>
              </w:rPr>
              <w:t>4,000</w:t>
            </w:r>
            <w:r>
              <w:rPr>
                <w:rFonts w:hint="eastAsia"/>
                <w:szCs w:val="24"/>
              </w:rPr>
              <w:t>万元其他与主营业务相关的募集资金用于暂时补充流动资金。该事项已经独立董事、保荐机构发表了同意意见。公司分别于</w:t>
            </w:r>
            <w:r>
              <w:rPr>
                <w:szCs w:val="24"/>
              </w:rPr>
              <w:t>2011</w:t>
            </w:r>
            <w:r>
              <w:rPr>
                <w:rFonts w:hint="eastAsia"/>
                <w:szCs w:val="24"/>
              </w:rPr>
              <w:t>年</w:t>
            </w:r>
            <w:r>
              <w:rPr>
                <w:szCs w:val="24"/>
              </w:rPr>
              <w:t>7</w:t>
            </w:r>
            <w:r>
              <w:rPr>
                <w:rFonts w:hint="eastAsia"/>
                <w:szCs w:val="24"/>
              </w:rPr>
              <w:t>月</w:t>
            </w:r>
            <w:r>
              <w:rPr>
                <w:szCs w:val="24"/>
              </w:rPr>
              <w:t>28</w:t>
            </w:r>
            <w:r>
              <w:rPr>
                <w:rFonts w:hint="eastAsia"/>
                <w:szCs w:val="24"/>
              </w:rPr>
              <w:t>日、</w:t>
            </w:r>
            <w:r>
              <w:rPr>
                <w:szCs w:val="24"/>
              </w:rPr>
              <w:t>8</w:t>
            </w:r>
            <w:r>
              <w:rPr>
                <w:rFonts w:hint="eastAsia"/>
                <w:szCs w:val="24"/>
              </w:rPr>
              <w:t>月</w:t>
            </w:r>
            <w:r>
              <w:rPr>
                <w:szCs w:val="24"/>
              </w:rPr>
              <w:t>31</w:t>
            </w:r>
            <w:r>
              <w:rPr>
                <w:rFonts w:hint="eastAsia"/>
                <w:szCs w:val="24"/>
              </w:rPr>
              <w:t>日使用了</w:t>
            </w:r>
            <w:r>
              <w:rPr>
                <w:szCs w:val="24"/>
              </w:rPr>
              <w:t>3,671.54</w:t>
            </w:r>
            <w:r>
              <w:rPr>
                <w:rFonts w:hint="eastAsia"/>
                <w:szCs w:val="24"/>
              </w:rPr>
              <w:t>万元、</w:t>
            </w:r>
            <w:r>
              <w:rPr>
                <w:szCs w:val="24"/>
              </w:rPr>
              <w:t>328.46</w:t>
            </w:r>
            <w:r>
              <w:rPr>
                <w:rFonts w:hint="eastAsia"/>
                <w:szCs w:val="24"/>
              </w:rPr>
              <w:t>万元共计</w:t>
            </w:r>
            <w:r>
              <w:rPr>
                <w:szCs w:val="24"/>
              </w:rPr>
              <w:t>4,000</w:t>
            </w:r>
            <w:r>
              <w:rPr>
                <w:rFonts w:hint="eastAsia"/>
                <w:szCs w:val="24"/>
              </w:rPr>
              <w:t>万元其他与主营业务相关的募集资金暂时补充流动资金。截止</w:t>
            </w:r>
            <w:r>
              <w:rPr>
                <w:szCs w:val="24"/>
              </w:rPr>
              <w:t>2012</w:t>
            </w:r>
            <w:r>
              <w:rPr>
                <w:rFonts w:hint="eastAsia"/>
                <w:szCs w:val="24"/>
              </w:rPr>
              <w:t>年</w:t>
            </w:r>
            <w:r>
              <w:rPr>
                <w:szCs w:val="24"/>
              </w:rPr>
              <w:t>1</w:t>
            </w:r>
            <w:r>
              <w:rPr>
                <w:rFonts w:hint="eastAsia"/>
                <w:szCs w:val="24"/>
              </w:rPr>
              <w:t>月</w:t>
            </w:r>
            <w:r>
              <w:rPr>
                <w:szCs w:val="24"/>
              </w:rPr>
              <w:t>18</w:t>
            </w:r>
            <w:r>
              <w:rPr>
                <w:rFonts w:hint="eastAsia"/>
                <w:szCs w:val="24"/>
              </w:rPr>
              <w:t>日，公司已将上述暂时补充流动资金的</w:t>
            </w:r>
            <w:r>
              <w:rPr>
                <w:szCs w:val="24"/>
              </w:rPr>
              <w:t>4,000</w:t>
            </w:r>
            <w:r>
              <w:rPr>
                <w:rFonts w:hint="eastAsia"/>
                <w:szCs w:val="24"/>
              </w:rPr>
              <w:t>万元全部归还至公司募集资金专用账户。</w:t>
            </w:r>
            <w:r>
              <w:rPr>
                <w:szCs w:val="24"/>
              </w:rPr>
              <w:t>5</w:t>
            </w:r>
            <w:r>
              <w:rPr>
                <w:rFonts w:hint="eastAsia"/>
                <w:szCs w:val="24"/>
              </w:rPr>
              <w:t>、</w:t>
            </w:r>
            <w:r>
              <w:rPr>
                <w:szCs w:val="24"/>
              </w:rPr>
              <w:t>2011</w:t>
            </w:r>
            <w:r>
              <w:rPr>
                <w:rFonts w:hint="eastAsia"/>
                <w:szCs w:val="24"/>
              </w:rPr>
              <w:t>年</w:t>
            </w:r>
            <w:r>
              <w:rPr>
                <w:szCs w:val="24"/>
              </w:rPr>
              <w:t>8</w:t>
            </w:r>
            <w:r>
              <w:rPr>
                <w:rFonts w:hint="eastAsia"/>
                <w:szCs w:val="24"/>
              </w:rPr>
              <w:t>月</w:t>
            </w:r>
            <w:r>
              <w:rPr>
                <w:szCs w:val="24"/>
              </w:rPr>
              <w:t>11</w:t>
            </w:r>
            <w:r>
              <w:rPr>
                <w:rFonts w:hint="eastAsia"/>
                <w:szCs w:val="24"/>
              </w:rPr>
              <w:t>日公司第二届董事会第三次会议审议通过了《关于使用部分超募资金对外投资的议案》，同意公司使用超募资金</w:t>
            </w:r>
            <w:r>
              <w:rPr>
                <w:szCs w:val="24"/>
              </w:rPr>
              <w:t>3,500</w:t>
            </w:r>
            <w:r>
              <w:rPr>
                <w:rFonts w:hint="eastAsia"/>
                <w:szCs w:val="24"/>
              </w:rPr>
              <w:t>万元以增资扩股并收购部分股权的方式投资北京市京能电源技术研究所有限公司。该事项已经独立董事、保荐机构发表了同意意见。公司于</w:t>
            </w:r>
            <w:r>
              <w:rPr>
                <w:szCs w:val="24"/>
              </w:rPr>
              <w:t>2011</w:t>
            </w:r>
            <w:r>
              <w:rPr>
                <w:rFonts w:hint="eastAsia"/>
                <w:szCs w:val="24"/>
              </w:rPr>
              <w:t>年</w:t>
            </w:r>
            <w:r>
              <w:rPr>
                <w:szCs w:val="24"/>
              </w:rPr>
              <w:t>9</w:t>
            </w:r>
            <w:r>
              <w:rPr>
                <w:rFonts w:hint="eastAsia"/>
                <w:szCs w:val="24"/>
              </w:rPr>
              <w:t>月</w:t>
            </w:r>
            <w:r>
              <w:rPr>
                <w:szCs w:val="24"/>
              </w:rPr>
              <w:t>28</w:t>
            </w:r>
            <w:r>
              <w:rPr>
                <w:rFonts w:hint="eastAsia"/>
                <w:szCs w:val="24"/>
              </w:rPr>
              <w:t>日使用了</w:t>
            </w:r>
            <w:r>
              <w:rPr>
                <w:szCs w:val="24"/>
              </w:rPr>
              <w:t>3,500</w:t>
            </w:r>
            <w:r>
              <w:rPr>
                <w:rFonts w:hint="eastAsia"/>
                <w:szCs w:val="24"/>
              </w:rPr>
              <w:t>万元超募资金投资京能电源。为集中精力和资源推进航海智能化和海洋信息化领域主业，公司先后于</w:t>
            </w:r>
            <w:r>
              <w:rPr>
                <w:szCs w:val="24"/>
              </w:rPr>
              <w:t>2014</w:t>
            </w:r>
            <w:r>
              <w:rPr>
                <w:rFonts w:hint="eastAsia"/>
                <w:szCs w:val="24"/>
              </w:rPr>
              <w:t>年</w:t>
            </w:r>
            <w:r>
              <w:rPr>
                <w:szCs w:val="24"/>
              </w:rPr>
              <w:t>12</w:t>
            </w:r>
            <w:r>
              <w:rPr>
                <w:rFonts w:hint="eastAsia"/>
                <w:szCs w:val="24"/>
              </w:rPr>
              <w:t>月和</w:t>
            </w:r>
            <w:r>
              <w:rPr>
                <w:szCs w:val="24"/>
              </w:rPr>
              <w:t>2015</w:t>
            </w:r>
            <w:r>
              <w:rPr>
                <w:rFonts w:hint="eastAsia"/>
                <w:szCs w:val="24"/>
              </w:rPr>
              <w:t>年</w:t>
            </w:r>
            <w:r>
              <w:rPr>
                <w:szCs w:val="24"/>
              </w:rPr>
              <w:t>12</w:t>
            </w:r>
            <w:r>
              <w:rPr>
                <w:rFonts w:hint="eastAsia"/>
                <w:szCs w:val="24"/>
              </w:rPr>
              <w:t>月转让京能电源</w:t>
            </w:r>
            <w:r>
              <w:rPr>
                <w:szCs w:val="24"/>
              </w:rPr>
              <w:t>25%</w:t>
            </w:r>
            <w:r>
              <w:rPr>
                <w:rFonts w:hint="eastAsia"/>
                <w:szCs w:val="24"/>
              </w:rPr>
              <w:t>和</w:t>
            </w:r>
            <w:r>
              <w:rPr>
                <w:szCs w:val="24"/>
              </w:rPr>
              <w:t>45%</w:t>
            </w:r>
            <w:r>
              <w:rPr>
                <w:rFonts w:hint="eastAsia"/>
                <w:szCs w:val="24"/>
              </w:rPr>
              <w:t>的股权，截止</w:t>
            </w:r>
            <w:r>
              <w:rPr>
                <w:szCs w:val="24"/>
              </w:rPr>
              <w:t>2015</w:t>
            </w:r>
            <w:r>
              <w:rPr>
                <w:rFonts w:hint="eastAsia"/>
                <w:szCs w:val="24"/>
              </w:rPr>
              <w:t>年底公司不再持有京能电源股权。</w:t>
            </w:r>
            <w:r>
              <w:rPr>
                <w:szCs w:val="24"/>
              </w:rPr>
              <w:t>6</w:t>
            </w:r>
            <w:r>
              <w:rPr>
                <w:rFonts w:hint="eastAsia"/>
                <w:szCs w:val="24"/>
              </w:rPr>
              <w:t>、</w:t>
            </w:r>
            <w:r>
              <w:rPr>
                <w:szCs w:val="24"/>
              </w:rPr>
              <w:t>2012</w:t>
            </w:r>
            <w:r>
              <w:rPr>
                <w:rFonts w:hint="eastAsia"/>
                <w:szCs w:val="24"/>
              </w:rPr>
              <w:t>年</w:t>
            </w:r>
            <w:r>
              <w:rPr>
                <w:szCs w:val="24"/>
              </w:rPr>
              <w:t>4</w:t>
            </w:r>
            <w:r>
              <w:rPr>
                <w:rFonts w:hint="eastAsia"/>
                <w:szCs w:val="24"/>
              </w:rPr>
              <w:t>月</w:t>
            </w:r>
            <w:r>
              <w:rPr>
                <w:szCs w:val="24"/>
              </w:rPr>
              <w:t>23</w:t>
            </w:r>
            <w:r>
              <w:rPr>
                <w:rFonts w:hint="eastAsia"/>
                <w:szCs w:val="24"/>
              </w:rPr>
              <w:t>日公司第二届董事会第九次会议审议通过了《关于使用超募资金永久补充流动资金的议案》，同意公司使用</w:t>
            </w:r>
            <w:r>
              <w:rPr>
                <w:szCs w:val="24"/>
              </w:rPr>
              <w:t xml:space="preserve">6,500 </w:t>
            </w:r>
            <w:r>
              <w:rPr>
                <w:rFonts w:hint="eastAsia"/>
                <w:szCs w:val="24"/>
              </w:rPr>
              <w:t>万元其他与主营业务相关的募集资金用于永久补充流动资金。该事项已经独立董事、保荐机构发表了同意意见。公司于</w:t>
            </w:r>
            <w:r>
              <w:rPr>
                <w:szCs w:val="24"/>
              </w:rPr>
              <w:t>2012</w:t>
            </w:r>
            <w:r>
              <w:rPr>
                <w:rFonts w:hint="eastAsia"/>
                <w:szCs w:val="24"/>
              </w:rPr>
              <w:t>年</w:t>
            </w:r>
            <w:r>
              <w:rPr>
                <w:szCs w:val="24"/>
              </w:rPr>
              <w:t>4</w:t>
            </w:r>
            <w:r>
              <w:rPr>
                <w:rFonts w:hint="eastAsia"/>
                <w:szCs w:val="24"/>
              </w:rPr>
              <w:t>月</w:t>
            </w:r>
            <w:r>
              <w:rPr>
                <w:szCs w:val="24"/>
              </w:rPr>
              <w:t>26</w:t>
            </w:r>
            <w:r>
              <w:rPr>
                <w:rFonts w:hint="eastAsia"/>
                <w:szCs w:val="24"/>
              </w:rPr>
              <w:t>日至</w:t>
            </w:r>
            <w:r>
              <w:rPr>
                <w:szCs w:val="24"/>
              </w:rPr>
              <w:t>2012</w:t>
            </w:r>
            <w:r>
              <w:rPr>
                <w:rFonts w:hint="eastAsia"/>
                <w:szCs w:val="24"/>
              </w:rPr>
              <w:t>年</w:t>
            </w:r>
            <w:r>
              <w:rPr>
                <w:szCs w:val="24"/>
              </w:rPr>
              <w:t>5</w:t>
            </w:r>
            <w:r>
              <w:rPr>
                <w:rFonts w:hint="eastAsia"/>
                <w:szCs w:val="24"/>
              </w:rPr>
              <w:t>月</w:t>
            </w:r>
            <w:r>
              <w:rPr>
                <w:szCs w:val="24"/>
              </w:rPr>
              <w:t>23</w:t>
            </w:r>
            <w:r>
              <w:rPr>
                <w:rFonts w:hint="eastAsia"/>
                <w:szCs w:val="24"/>
              </w:rPr>
              <w:t>日期间使用了</w:t>
            </w:r>
            <w:r>
              <w:rPr>
                <w:szCs w:val="24"/>
              </w:rPr>
              <w:t>6,500</w:t>
            </w:r>
            <w:r>
              <w:rPr>
                <w:rFonts w:hint="eastAsia"/>
                <w:szCs w:val="24"/>
              </w:rPr>
              <w:t>万元募集资金永久补充流动资金。</w:t>
            </w:r>
            <w:r>
              <w:rPr>
                <w:szCs w:val="24"/>
              </w:rPr>
              <w:t>7</w:t>
            </w:r>
            <w:r>
              <w:rPr>
                <w:rFonts w:hint="eastAsia"/>
                <w:szCs w:val="24"/>
              </w:rPr>
              <w:t>、</w:t>
            </w:r>
            <w:r>
              <w:rPr>
                <w:szCs w:val="24"/>
              </w:rPr>
              <w:t>2013</w:t>
            </w:r>
            <w:r>
              <w:rPr>
                <w:rFonts w:hint="eastAsia"/>
                <w:szCs w:val="24"/>
              </w:rPr>
              <w:t>年</w:t>
            </w:r>
            <w:r>
              <w:rPr>
                <w:szCs w:val="24"/>
              </w:rPr>
              <w:t>1</w:t>
            </w:r>
            <w:r>
              <w:rPr>
                <w:rFonts w:hint="eastAsia"/>
                <w:szCs w:val="24"/>
              </w:rPr>
              <w:t>月</w:t>
            </w:r>
            <w:r>
              <w:rPr>
                <w:szCs w:val="24"/>
              </w:rPr>
              <w:t>23</w:t>
            </w:r>
            <w:r>
              <w:rPr>
                <w:rFonts w:hint="eastAsia"/>
                <w:szCs w:val="24"/>
              </w:rPr>
              <w:t>日，公司第二届董事会第十七次会议审议通过《关于使用超募资金投资设立三沙海兰信海洋信息科技有限公司的议案》，同意公司以超募资金出资</w:t>
            </w:r>
            <w:r>
              <w:rPr>
                <w:szCs w:val="24"/>
              </w:rPr>
              <w:t xml:space="preserve"> 5,000</w:t>
            </w:r>
            <w:r>
              <w:rPr>
                <w:rFonts w:hint="eastAsia"/>
                <w:szCs w:val="24"/>
              </w:rPr>
              <w:t>万元设立三沙海兰信，</w:t>
            </w:r>
            <w:r>
              <w:rPr>
                <w:szCs w:val="24"/>
              </w:rPr>
              <w:t>2013</w:t>
            </w:r>
            <w:r>
              <w:rPr>
                <w:rFonts w:hint="eastAsia"/>
                <w:szCs w:val="24"/>
              </w:rPr>
              <w:t>年</w:t>
            </w:r>
            <w:r>
              <w:rPr>
                <w:szCs w:val="24"/>
              </w:rPr>
              <w:t>7</w:t>
            </w:r>
            <w:r>
              <w:rPr>
                <w:rFonts w:hint="eastAsia"/>
                <w:szCs w:val="24"/>
              </w:rPr>
              <w:t>月</w:t>
            </w:r>
            <w:r>
              <w:rPr>
                <w:szCs w:val="24"/>
              </w:rPr>
              <w:t>16</w:t>
            </w:r>
            <w:r>
              <w:rPr>
                <w:rFonts w:hint="eastAsia"/>
                <w:szCs w:val="24"/>
              </w:rPr>
              <w:t>日，三沙海兰信已完成工商注册登记手续，经营活动有序进行，重点项目进展顺利。</w:t>
            </w:r>
            <w:r>
              <w:rPr>
                <w:szCs w:val="24"/>
              </w:rPr>
              <w:t>8</w:t>
            </w:r>
            <w:r>
              <w:rPr>
                <w:rFonts w:hint="eastAsia"/>
                <w:szCs w:val="24"/>
              </w:rPr>
              <w:t>、</w:t>
            </w:r>
            <w:r>
              <w:rPr>
                <w:szCs w:val="24"/>
              </w:rPr>
              <w:t>2013</w:t>
            </w:r>
            <w:r>
              <w:rPr>
                <w:rFonts w:hint="eastAsia"/>
                <w:szCs w:val="24"/>
              </w:rPr>
              <w:t>年</w:t>
            </w:r>
            <w:r>
              <w:rPr>
                <w:szCs w:val="24"/>
              </w:rPr>
              <w:t>1</w:t>
            </w:r>
            <w:r>
              <w:rPr>
                <w:rFonts w:hint="eastAsia"/>
                <w:szCs w:val="24"/>
              </w:rPr>
              <w:t>月</w:t>
            </w:r>
            <w:r>
              <w:rPr>
                <w:szCs w:val="24"/>
              </w:rPr>
              <w:t>23</w:t>
            </w:r>
            <w:r>
              <w:rPr>
                <w:rFonts w:hint="eastAsia"/>
                <w:szCs w:val="24"/>
              </w:rPr>
              <w:t>日，公司第二届董事会第十七次会议审议通过《关于使用超募资金投资设立江苏长信船舶科技有限公司的议案》，同意公司以超募资金出资</w:t>
            </w:r>
            <w:r>
              <w:rPr>
                <w:szCs w:val="24"/>
              </w:rPr>
              <w:t>1,020</w:t>
            </w:r>
            <w:r>
              <w:rPr>
                <w:rFonts w:hint="eastAsia"/>
                <w:szCs w:val="24"/>
              </w:rPr>
              <w:t>万元与黄海造船、南通长青沙共同投资设立江苏长信船舶科技有限公司（后经工商核名为江苏欧泰海洋工程科技有限公司，简称</w:t>
            </w:r>
            <w:r>
              <w:rPr>
                <w:szCs w:val="24"/>
              </w:rPr>
              <w:t>“</w:t>
            </w:r>
            <w:r>
              <w:rPr>
                <w:rFonts w:hint="eastAsia"/>
                <w:szCs w:val="24"/>
              </w:rPr>
              <w:t>江苏欧泰</w:t>
            </w:r>
            <w:r>
              <w:rPr>
                <w:szCs w:val="24"/>
              </w:rPr>
              <w:t>”</w:t>
            </w:r>
            <w:r>
              <w:rPr>
                <w:rFonts w:hint="eastAsia"/>
                <w:szCs w:val="24"/>
              </w:rPr>
              <w:t>），</w:t>
            </w:r>
            <w:r>
              <w:rPr>
                <w:szCs w:val="24"/>
              </w:rPr>
              <w:t>2013</w:t>
            </w:r>
            <w:r>
              <w:rPr>
                <w:rFonts w:hint="eastAsia"/>
                <w:szCs w:val="24"/>
              </w:rPr>
              <w:t>年</w:t>
            </w:r>
            <w:r>
              <w:rPr>
                <w:szCs w:val="24"/>
              </w:rPr>
              <w:t>3</w:t>
            </w:r>
            <w:r>
              <w:rPr>
                <w:rFonts w:hint="eastAsia"/>
                <w:szCs w:val="24"/>
              </w:rPr>
              <w:t>月</w:t>
            </w:r>
            <w:r>
              <w:rPr>
                <w:szCs w:val="24"/>
              </w:rPr>
              <w:t>26</w:t>
            </w:r>
            <w:r>
              <w:rPr>
                <w:rFonts w:hint="eastAsia"/>
                <w:szCs w:val="24"/>
              </w:rPr>
              <w:t>日，江苏欧泰已完成工商注册登记手续；</w:t>
            </w:r>
            <w:r>
              <w:rPr>
                <w:szCs w:val="24"/>
              </w:rPr>
              <w:t>2014</w:t>
            </w:r>
            <w:r>
              <w:rPr>
                <w:rFonts w:hint="eastAsia"/>
                <w:szCs w:val="24"/>
              </w:rPr>
              <w:t>年</w:t>
            </w:r>
            <w:r>
              <w:rPr>
                <w:szCs w:val="24"/>
              </w:rPr>
              <w:t>7</w:t>
            </w:r>
            <w:r>
              <w:rPr>
                <w:rFonts w:hint="eastAsia"/>
                <w:szCs w:val="24"/>
              </w:rPr>
              <w:t>月</w:t>
            </w:r>
            <w:r>
              <w:rPr>
                <w:szCs w:val="24"/>
              </w:rPr>
              <w:t>30</w:t>
            </w:r>
            <w:r>
              <w:rPr>
                <w:rFonts w:hint="eastAsia"/>
                <w:szCs w:val="24"/>
              </w:rPr>
              <w:t>日，公司</w:t>
            </w:r>
            <w:r>
              <w:rPr>
                <w:szCs w:val="24"/>
              </w:rPr>
              <w:t>2014</w:t>
            </w:r>
            <w:r>
              <w:rPr>
                <w:rFonts w:hint="eastAsia"/>
                <w:szCs w:val="24"/>
              </w:rPr>
              <w:t>年度第一次临时股东大会审议通过《关于终止超募资金投资项目的议案》，同意终止对江苏欧泰项目的后续投资，并授权董事会办理江苏欧泰及相应的募集资金专户的注销工作，剩余募集资金将继续存放于公司其他募集资金专户管理。江苏欧泰分别于</w:t>
            </w:r>
            <w:r>
              <w:rPr>
                <w:szCs w:val="24"/>
              </w:rPr>
              <w:t>2014</w:t>
            </w:r>
            <w:r>
              <w:rPr>
                <w:rFonts w:hint="eastAsia"/>
                <w:szCs w:val="24"/>
              </w:rPr>
              <w:t>年</w:t>
            </w:r>
            <w:r>
              <w:rPr>
                <w:szCs w:val="24"/>
              </w:rPr>
              <w:t>11</w:t>
            </w:r>
            <w:r>
              <w:rPr>
                <w:rFonts w:hint="eastAsia"/>
                <w:szCs w:val="24"/>
              </w:rPr>
              <w:t>月</w:t>
            </w:r>
            <w:r>
              <w:rPr>
                <w:szCs w:val="24"/>
              </w:rPr>
              <w:t>12</w:t>
            </w:r>
            <w:r>
              <w:rPr>
                <w:rFonts w:hint="eastAsia"/>
                <w:szCs w:val="24"/>
              </w:rPr>
              <w:t>日、</w:t>
            </w:r>
            <w:r>
              <w:rPr>
                <w:szCs w:val="24"/>
              </w:rPr>
              <w:t>12</w:t>
            </w:r>
            <w:r>
              <w:rPr>
                <w:rFonts w:hint="eastAsia"/>
                <w:szCs w:val="24"/>
              </w:rPr>
              <w:t>月</w:t>
            </w:r>
            <w:r>
              <w:rPr>
                <w:szCs w:val="24"/>
              </w:rPr>
              <w:t>18</w:t>
            </w:r>
            <w:r>
              <w:rPr>
                <w:rFonts w:hint="eastAsia"/>
                <w:szCs w:val="24"/>
              </w:rPr>
              <w:t>日、</w:t>
            </w:r>
            <w:r>
              <w:rPr>
                <w:szCs w:val="24"/>
              </w:rPr>
              <w:t>2015</w:t>
            </w:r>
            <w:r>
              <w:rPr>
                <w:rFonts w:hint="eastAsia"/>
                <w:szCs w:val="24"/>
              </w:rPr>
              <w:t>年</w:t>
            </w:r>
            <w:r>
              <w:rPr>
                <w:szCs w:val="24"/>
              </w:rPr>
              <w:t>6</w:t>
            </w:r>
            <w:r>
              <w:rPr>
                <w:rFonts w:hint="eastAsia"/>
                <w:szCs w:val="24"/>
              </w:rPr>
              <w:t>月</w:t>
            </w:r>
            <w:r>
              <w:rPr>
                <w:szCs w:val="24"/>
              </w:rPr>
              <w:t>25</w:t>
            </w:r>
            <w:r>
              <w:rPr>
                <w:rFonts w:hint="eastAsia"/>
                <w:szCs w:val="24"/>
              </w:rPr>
              <w:t>日支付海兰信投资款</w:t>
            </w:r>
            <w:r>
              <w:rPr>
                <w:szCs w:val="24"/>
              </w:rPr>
              <w:t>235</w:t>
            </w:r>
            <w:r>
              <w:rPr>
                <w:rFonts w:hint="eastAsia"/>
                <w:szCs w:val="24"/>
              </w:rPr>
              <w:t>万、</w:t>
            </w:r>
            <w:r>
              <w:rPr>
                <w:szCs w:val="24"/>
              </w:rPr>
              <w:t>350</w:t>
            </w:r>
            <w:r>
              <w:rPr>
                <w:rFonts w:hint="eastAsia"/>
                <w:szCs w:val="24"/>
              </w:rPr>
              <w:t>万</w:t>
            </w:r>
            <w:r>
              <w:rPr>
                <w:szCs w:val="24"/>
              </w:rPr>
              <w:t>8.55</w:t>
            </w:r>
            <w:r>
              <w:rPr>
                <w:rFonts w:hint="eastAsia"/>
                <w:szCs w:val="24"/>
              </w:rPr>
              <w:t>万元，退回的</w:t>
            </w:r>
            <w:r>
              <w:rPr>
                <w:szCs w:val="24"/>
              </w:rPr>
              <w:t>593.55</w:t>
            </w:r>
            <w:r>
              <w:rPr>
                <w:rFonts w:hint="eastAsia"/>
                <w:szCs w:val="24"/>
              </w:rPr>
              <w:t>万募集资金继续存放于公司募集资金专户管理，江苏欧泰已于</w:t>
            </w:r>
            <w:r>
              <w:rPr>
                <w:szCs w:val="24"/>
              </w:rPr>
              <w:t>2015</w:t>
            </w:r>
            <w:r>
              <w:rPr>
                <w:rFonts w:hint="eastAsia"/>
                <w:szCs w:val="24"/>
              </w:rPr>
              <w:t>年办理完毕注销工作。</w:t>
            </w:r>
            <w:r>
              <w:rPr>
                <w:szCs w:val="24"/>
              </w:rPr>
              <w:t>9</w:t>
            </w:r>
            <w:r>
              <w:rPr>
                <w:rFonts w:hint="eastAsia"/>
                <w:szCs w:val="24"/>
              </w:rPr>
              <w:t>、</w:t>
            </w:r>
            <w:r>
              <w:rPr>
                <w:szCs w:val="24"/>
              </w:rPr>
              <w:t>2013</w:t>
            </w:r>
            <w:r>
              <w:rPr>
                <w:rFonts w:hint="eastAsia"/>
                <w:szCs w:val="24"/>
              </w:rPr>
              <w:t>年</w:t>
            </w:r>
            <w:r>
              <w:rPr>
                <w:szCs w:val="24"/>
              </w:rPr>
              <w:t>10</w:t>
            </w:r>
            <w:r>
              <w:rPr>
                <w:rFonts w:hint="eastAsia"/>
                <w:szCs w:val="24"/>
              </w:rPr>
              <w:t>月</w:t>
            </w:r>
            <w:r>
              <w:rPr>
                <w:szCs w:val="24"/>
              </w:rPr>
              <w:t>8</w:t>
            </w:r>
            <w:r>
              <w:rPr>
                <w:rFonts w:hint="eastAsia"/>
                <w:szCs w:val="24"/>
              </w:rPr>
              <w:t>日，公司第二届董事会第二十二次会议审议通过《关于使用超募资金暂时补充流动资金的议案》，同意公司使用剩余超募资金</w:t>
            </w:r>
            <w:r>
              <w:rPr>
                <w:szCs w:val="24"/>
              </w:rPr>
              <w:t>1,450.19</w:t>
            </w:r>
            <w:r>
              <w:rPr>
                <w:rFonts w:hint="eastAsia"/>
                <w:szCs w:val="24"/>
              </w:rPr>
              <w:t>万元（包含利息）用于暂时补充流动资金。公司于</w:t>
            </w:r>
            <w:r>
              <w:rPr>
                <w:szCs w:val="24"/>
              </w:rPr>
              <w:t>2013</w:t>
            </w:r>
            <w:r>
              <w:rPr>
                <w:rFonts w:hint="eastAsia"/>
                <w:szCs w:val="24"/>
              </w:rPr>
              <w:t>年</w:t>
            </w:r>
            <w:r>
              <w:rPr>
                <w:szCs w:val="24"/>
              </w:rPr>
              <w:t>10</w:t>
            </w:r>
            <w:r>
              <w:rPr>
                <w:rFonts w:hint="eastAsia"/>
                <w:szCs w:val="24"/>
              </w:rPr>
              <w:t>月</w:t>
            </w:r>
            <w:r>
              <w:rPr>
                <w:szCs w:val="24"/>
              </w:rPr>
              <w:t>12</w:t>
            </w:r>
            <w:r>
              <w:rPr>
                <w:rFonts w:hint="eastAsia"/>
                <w:szCs w:val="24"/>
              </w:rPr>
              <w:t>日至</w:t>
            </w:r>
            <w:r>
              <w:rPr>
                <w:szCs w:val="24"/>
              </w:rPr>
              <w:t>2013</w:t>
            </w:r>
            <w:r>
              <w:rPr>
                <w:rFonts w:hint="eastAsia"/>
                <w:szCs w:val="24"/>
              </w:rPr>
              <w:t>年</w:t>
            </w:r>
            <w:r>
              <w:rPr>
                <w:szCs w:val="24"/>
              </w:rPr>
              <w:t>10</w:t>
            </w:r>
            <w:r>
              <w:rPr>
                <w:rFonts w:hint="eastAsia"/>
                <w:szCs w:val="24"/>
              </w:rPr>
              <w:t>月</w:t>
            </w:r>
            <w:r>
              <w:rPr>
                <w:szCs w:val="24"/>
              </w:rPr>
              <w:t>18</w:t>
            </w:r>
            <w:r>
              <w:rPr>
                <w:rFonts w:hint="eastAsia"/>
                <w:szCs w:val="24"/>
              </w:rPr>
              <w:t>日期间使用了</w:t>
            </w:r>
            <w:r>
              <w:rPr>
                <w:szCs w:val="24"/>
              </w:rPr>
              <w:t>1,450.19</w:t>
            </w:r>
            <w:r>
              <w:rPr>
                <w:rFonts w:hint="eastAsia"/>
                <w:szCs w:val="24"/>
              </w:rPr>
              <w:t>万元募集资金暂时补充流动资金。截止</w:t>
            </w:r>
            <w:r>
              <w:rPr>
                <w:szCs w:val="24"/>
              </w:rPr>
              <w:t>2014</w:t>
            </w:r>
            <w:r>
              <w:rPr>
                <w:rFonts w:hint="eastAsia"/>
                <w:szCs w:val="24"/>
              </w:rPr>
              <w:t>年</w:t>
            </w:r>
            <w:r>
              <w:rPr>
                <w:szCs w:val="24"/>
              </w:rPr>
              <w:t>4</w:t>
            </w:r>
            <w:r>
              <w:rPr>
                <w:rFonts w:hint="eastAsia"/>
                <w:szCs w:val="24"/>
              </w:rPr>
              <w:t>月</w:t>
            </w:r>
            <w:r>
              <w:rPr>
                <w:szCs w:val="24"/>
              </w:rPr>
              <w:t>8</w:t>
            </w:r>
            <w:r>
              <w:rPr>
                <w:rFonts w:hint="eastAsia"/>
                <w:szCs w:val="24"/>
              </w:rPr>
              <w:t>日，公司已将上述暂时补充流动资金的</w:t>
            </w:r>
            <w:r>
              <w:rPr>
                <w:szCs w:val="24"/>
              </w:rPr>
              <w:t>1,450.19</w:t>
            </w:r>
            <w:r>
              <w:rPr>
                <w:rFonts w:hint="eastAsia"/>
                <w:szCs w:val="24"/>
              </w:rPr>
              <w:t>万元全部归还至公司募集资金专用账户。</w:t>
            </w:r>
            <w:r>
              <w:rPr>
                <w:szCs w:val="24"/>
              </w:rPr>
              <w:t>10</w:t>
            </w:r>
            <w:r>
              <w:rPr>
                <w:rFonts w:hint="eastAsia"/>
                <w:szCs w:val="24"/>
              </w:rPr>
              <w:t>、</w:t>
            </w:r>
            <w:r>
              <w:rPr>
                <w:szCs w:val="24"/>
              </w:rPr>
              <w:t>2015</w:t>
            </w:r>
            <w:r>
              <w:rPr>
                <w:rFonts w:hint="eastAsia"/>
                <w:szCs w:val="24"/>
              </w:rPr>
              <w:t>年</w:t>
            </w:r>
            <w:r>
              <w:rPr>
                <w:szCs w:val="24"/>
              </w:rPr>
              <w:t>6</w:t>
            </w:r>
            <w:r>
              <w:rPr>
                <w:rFonts w:hint="eastAsia"/>
                <w:szCs w:val="24"/>
              </w:rPr>
              <w:t>月</w:t>
            </w:r>
            <w:r>
              <w:rPr>
                <w:szCs w:val="24"/>
              </w:rPr>
              <w:t>30</w:t>
            </w:r>
            <w:r>
              <w:rPr>
                <w:rFonts w:hint="eastAsia"/>
                <w:szCs w:val="24"/>
              </w:rPr>
              <w:t>日，公司第三届董事会第十次会议审议通过《关于子公司对外投资的议案》，同意公司全资子公司三沙海兰信海洋信息科技有限公司（以下简称</w:t>
            </w:r>
            <w:r>
              <w:rPr>
                <w:szCs w:val="24"/>
              </w:rPr>
              <w:t>“</w:t>
            </w:r>
            <w:r>
              <w:rPr>
                <w:rFonts w:hint="eastAsia"/>
                <w:szCs w:val="24"/>
              </w:rPr>
              <w:t>三沙海兰信</w:t>
            </w:r>
            <w:r>
              <w:rPr>
                <w:szCs w:val="24"/>
              </w:rPr>
              <w:t>”</w:t>
            </w:r>
            <w:r>
              <w:rPr>
                <w:rFonts w:hint="eastAsia"/>
                <w:szCs w:val="24"/>
              </w:rPr>
              <w:t>）使用超募资金</w:t>
            </w:r>
            <w:r>
              <w:rPr>
                <w:szCs w:val="24"/>
              </w:rPr>
              <w:t>1200</w:t>
            </w:r>
            <w:r>
              <w:rPr>
                <w:rFonts w:hint="eastAsia"/>
                <w:szCs w:val="24"/>
              </w:rPr>
              <w:t>万元入股武汉劳雷绿湾船舶科技有限公司（以下简称</w:t>
            </w:r>
            <w:r>
              <w:rPr>
                <w:szCs w:val="24"/>
              </w:rPr>
              <w:t>“</w:t>
            </w:r>
            <w:r>
              <w:rPr>
                <w:rFonts w:hint="eastAsia"/>
                <w:szCs w:val="24"/>
              </w:rPr>
              <w:t>劳雷绿湾</w:t>
            </w:r>
            <w:r>
              <w:rPr>
                <w:szCs w:val="24"/>
              </w:rPr>
              <w:t>”</w:t>
            </w:r>
            <w:r>
              <w:rPr>
                <w:rFonts w:hint="eastAsia"/>
                <w:szCs w:val="24"/>
              </w:rPr>
              <w:t>），其中拟出资</w:t>
            </w:r>
            <w:r>
              <w:rPr>
                <w:szCs w:val="24"/>
              </w:rPr>
              <w:t>200</w:t>
            </w:r>
            <w:r>
              <w:rPr>
                <w:rFonts w:hint="eastAsia"/>
                <w:szCs w:val="24"/>
              </w:rPr>
              <w:t>万元人民币从原股东马卫泽先生处收购其持有</w:t>
            </w:r>
            <w:r>
              <w:rPr>
                <w:szCs w:val="24"/>
              </w:rPr>
              <w:t>10.41%</w:t>
            </w:r>
            <w:r>
              <w:rPr>
                <w:rFonts w:hint="eastAsia"/>
                <w:szCs w:val="24"/>
              </w:rPr>
              <w:t>的股权，拟出资</w:t>
            </w:r>
            <w:r>
              <w:rPr>
                <w:szCs w:val="24"/>
              </w:rPr>
              <w:t>1000</w:t>
            </w:r>
            <w:r>
              <w:rPr>
                <w:rFonts w:hint="eastAsia"/>
                <w:szCs w:val="24"/>
              </w:rPr>
              <w:t>万元人民币认购劳雷绿湾增资扩股后</w:t>
            </w:r>
            <w:r>
              <w:rPr>
                <w:szCs w:val="24"/>
              </w:rPr>
              <w:t>27.45%</w:t>
            </w:r>
            <w:r>
              <w:rPr>
                <w:rFonts w:hint="eastAsia"/>
                <w:szCs w:val="24"/>
              </w:rPr>
              <w:t>的股份，合计持股比例为</w:t>
            </w:r>
            <w:r>
              <w:rPr>
                <w:szCs w:val="24"/>
              </w:rPr>
              <w:t>35%</w:t>
            </w:r>
            <w:r>
              <w:rPr>
                <w:rFonts w:hint="eastAsia"/>
                <w:szCs w:val="24"/>
              </w:rPr>
              <w:t>，并于</w:t>
            </w:r>
            <w:r>
              <w:rPr>
                <w:szCs w:val="24"/>
              </w:rPr>
              <w:t>2015</w:t>
            </w:r>
            <w:r>
              <w:rPr>
                <w:rFonts w:hint="eastAsia"/>
                <w:szCs w:val="24"/>
              </w:rPr>
              <w:t>年</w:t>
            </w:r>
            <w:r>
              <w:rPr>
                <w:szCs w:val="24"/>
              </w:rPr>
              <w:t>9</w:t>
            </w:r>
            <w:r>
              <w:rPr>
                <w:rFonts w:hint="eastAsia"/>
                <w:szCs w:val="24"/>
              </w:rPr>
              <w:t>月</w:t>
            </w:r>
            <w:r>
              <w:rPr>
                <w:szCs w:val="24"/>
              </w:rPr>
              <w:t>18</w:t>
            </w:r>
            <w:r>
              <w:rPr>
                <w:rFonts w:hint="eastAsia"/>
                <w:szCs w:val="24"/>
              </w:rPr>
              <w:t>日完成了工商相应变更。</w:t>
            </w:r>
            <w:r>
              <w:rPr>
                <w:szCs w:val="24"/>
              </w:rPr>
              <w:t>11</w:t>
            </w:r>
            <w:r>
              <w:rPr>
                <w:rFonts w:hint="eastAsia"/>
                <w:szCs w:val="24"/>
              </w:rPr>
              <w:t>、</w:t>
            </w:r>
            <w:r>
              <w:rPr>
                <w:szCs w:val="24"/>
              </w:rPr>
              <w:t>2015</w:t>
            </w:r>
            <w:r>
              <w:rPr>
                <w:rFonts w:hint="eastAsia"/>
                <w:szCs w:val="24"/>
              </w:rPr>
              <w:t>年</w:t>
            </w:r>
            <w:r>
              <w:rPr>
                <w:szCs w:val="24"/>
              </w:rPr>
              <w:t>6</w:t>
            </w:r>
            <w:r>
              <w:rPr>
                <w:rFonts w:hint="eastAsia"/>
                <w:szCs w:val="24"/>
              </w:rPr>
              <w:t>月</w:t>
            </w:r>
            <w:r>
              <w:rPr>
                <w:szCs w:val="24"/>
              </w:rPr>
              <w:t>30</w:t>
            </w:r>
            <w:r>
              <w:rPr>
                <w:rFonts w:hint="eastAsia"/>
                <w:szCs w:val="24"/>
              </w:rPr>
              <w:t>日，公司第三届董事会第十次会议审议通过《关于使用暂时闲置募集资金和自有资金进行现金管理的议案》，同意公司使用不超过</w:t>
            </w:r>
            <w:r>
              <w:rPr>
                <w:szCs w:val="24"/>
              </w:rPr>
              <w:t>3,000</w:t>
            </w:r>
            <w:r>
              <w:rPr>
                <w:rFonts w:hint="eastAsia"/>
                <w:szCs w:val="24"/>
              </w:rPr>
              <w:t>万元的暂时闲置募集资金进行现金管理，在上述额度内，资金可以在十二个月内进行滚动使用，且公司在任一时点利用募集资金购买银行理财产品总额不超过</w:t>
            </w:r>
            <w:r>
              <w:rPr>
                <w:szCs w:val="24"/>
              </w:rPr>
              <w:t>3,000</w:t>
            </w:r>
            <w:r>
              <w:rPr>
                <w:rFonts w:hint="eastAsia"/>
                <w:szCs w:val="24"/>
              </w:rPr>
              <w:t>万元。</w:t>
            </w:r>
            <w:r>
              <w:rPr>
                <w:szCs w:val="24"/>
              </w:rPr>
              <w:t xml:space="preserve"> </w:t>
            </w:r>
            <w:r>
              <w:rPr>
                <w:rFonts w:hint="eastAsia"/>
                <w:szCs w:val="24"/>
              </w:rPr>
              <w:t>上述银行理财产品不得用于质押，产品专用结算账户（如适用）不得存放非募集资金或用作其他用途，开立或注销产品专用结算账户的，公司将及时报深圳证券交易所备案并公告。</w:t>
            </w:r>
          </w:p>
        </w:tc>
      </w:tr>
      <w:tr>
        <w:tblPrEx>
          <w:tblLayout w:type="fixed"/>
          <w:tblCellMar>
            <w:top w:w="0" w:type="dxa"/>
            <w:left w:w="28" w:type="dxa"/>
            <w:bottom w:w="0" w:type="dxa"/>
            <w:right w:w="28" w:type="dxa"/>
          </w:tblCellMar>
        </w:tblPrEx>
        <w:tc>
          <w:tcPr>
            <w:tcW w:w="1770"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募集资金投资项目实施地点变更情况</w:t>
            </w:r>
          </w:p>
        </w:tc>
        <w:tc>
          <w:tcPr>
            <w:tcW w:w="7798" w:type="dxa"/>
            <w:gridSpan w:val="10"/>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不适用</w:t>
            </w:r>
          </w:p>
        </w:tc>
      </w:tr>
      <w:tr>
        <w:tblPrEx>
          <w:tblLayout w:type="fixed"/>
          <w:tblCellMar>
            <w:top w:w="0" w:type="dxa"/>
            <w:left w:w="28" w:type="dxa"/>
            <w:bottom w:w="0" w:type="dxa"/>
            <w:right w:w="28" w:type="dxa"/>
          </w:tblCellMar>
        </w:tblPrEx>
        <w:tc>
          <w:tcPr>
            <w:tcW w:w="1770" w:type="dxa"/>
            <w:vMerge w:val="continue"/>
            <w:tcBorders>
              <w:top w:val="single" w:color="auto" w:sz="4" w:space="0"/>
              <w:left w:val="single" w:color="auto" w:sz="4" w:space="0"/>
              <w:bottom w:val="single" w:color="auto" w:sz="4" w:space="0"/>
              <w:right w:val="single" w:color="auto" w:sz="4" w:space="0"/>
            </w:tcBorders>
            <w:vAlign w:val="center"/>
          </w:tcPr>
          <w:p>
            <w:pPr>
              <w:jc w:val="left"/>
              <w:rPr>
                <w:szCs w:val="24"/>
              </w:rPr>
            </w:pPr>
          </w:p>
        </w:tc>
        <w:tc>
          <w:tcPr>
            <w:tcW w:w="7798" w:type="dxa"/>
            <w:gridSpan w:val="10"/>
            <w:tcBorders>
              <w:top w:val="single" w:color="auto" w:sz="4" w:space="0"/>
              <w:left w:val="single" w:color="auto" w:sz="4" w:space="0"/>
              <w:bottom w:val="single" w:color="auto" w:sz="4" w:space="0"/>
              <w:right w:val="single" w:color="auto" w:sz="4" w:space="0"/>
            </w:tcBorders>
            <w:vAlign w:val="center"/>
          </w:tcPr>
          <w:p>
            <w:pPr>
              <w:jc w:val="left"/>
              <w:rPr>
                <w:szCs w:val="24"/>
              </w:rPr>
            </w:pPr>
          </w:p>
        </w:tc>
      </w:tr>
      <w:tr>
        <w:tblPrEx>
          <w:tblLayout w:type="fixed"/>
          <w:tblCellMar>
            <w:top w:w="0" w:type="dxa"/>
            <w:left w:w="28" w:type="dxa"/>
            <w:bottom w:w="0" w:type="dxa"/>
            <w:right w:w="28" w:type="dxa"/>
          </w:tblCellMar>
        </w:tblPrEx>
        <w:tc>
          <w:tcPr>
            <w:tcW w:w="1770" w:type="dxa"/>
            <w:vMerge w:val="continue"/>
            <w:tcBorders>
              <w:top w:val="single" w:color="auto" w:sz="4" w:space="0"/>
              <w:left w:val="single" w:color="auto" w:sz="4" w:space="0"/>
              <w:bottom w:val="single" w:color="auto" w:sz="4" w:space="0"/>
              <w:right w:val="single" w:color="auto" w:sz="4" w:space="0"/>
            </w:tcBorders>
            <w:vAlign w:val="center"/>
          </w:tcPr>
          <w:p>
            <w:pPr>
              <w:jc w:val="left"/>
              <w:rPr>
                <w:szCs w:val="24"/>
              </w:rPr>
            </w:pPr>
          </w:p>
        </w:tc>
        <w:tc>
          <w:tcPr>
            <w:tcW w:w="7798" w:type="dxa"/>
            <w:gridSpan w:val="10"/>
            <w:tcBorders>
              <w:top w:val="single" w:color="auto" w:sz="4" w:space="0"/>
              <w:left w:val="single" w:color="auto" w:sz="4" w:space="0"/>
              <w:bottom w:val="single" w:color="auto" w:sz="4" w:space="0"/>
              <w:right w:val="single" w:color="auto" w:sz="4" w:space="0"/>
            </w:tcBorders>
            <w:vAlign w:val="center"/>
          </w:tcPr>
          <w:p>
            <w:pPr>
              <w:jc w:val="left"/>
              <w:rPr>
                <w:szCs w:val="24"/>
              </w:rPr>
            </w:pPr>
          </w:p>
        </w:tc>
      </w:tr>
      <w:tr>
        <w:tblPrEx>
          <w:tblLayout w:type="fixed"/>
          <w:tblCellMar>
            <w:top w:w="0" w:type="dxa"/>
            <w:left w:w="28" w:type="dxa"/>
            <w:bottom w:w="0" w:type="dxa"/>
            <w:right w:w="28" w:type="dxa"/>
          </w:tblCellMar>
        </w:tblPrEx>
        <w:tc>
          <w:tcPr>
            <w:tcW w:w="1770"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募集资金投资项目实施方式调整情况</w:t>
            </w:r>
          </w:p>
        </w:tc>
        <w:tc>
          <w:tcPr>
            <w:tcW w:w="7798" w:type="dxa"/>
            <w:gridSpan w:val="10"/>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不适用</w:t>
            </w:r>
          </w:p>
        </w:tc>
      </w:tr>
      <w:tr>
        <w:tblPrEx>
          <w:tblLayout w:type="fixed"/>
          <w:tblCellMar>
            <w:top w:w="0" w:type="dxa"/>
            <w:left w:w="28" w:type="dxa"/>
            <w:bottom w:w="0" w:type="dxa"/>
            <w:right w:w="28" w:type="dxa"/>
          </w:tblCellMar>
        </w:tblPrEx>
        <w:tc>
          <w:tcPr>
            <w:tcW w:w="1770" w:type="dxa"/>
            <w:vMerge w:val="continue"/>
            <w:tcBorders>
              <w:top w:val="single" w:color="auto" w:sz="4" w:space="0"/>
              <w:left w:val="single" w:color="auto" w:sz="4" w:space="0"/>
              <w:bottom w:val="single" w:color="auto" w:sz="4" w:space="0"/>
              <w:right w:val="single" w:color="auto" w:sz="4" w:space="0"/>
            </w:tcBorders>
            <w:vAlign w:val="center"/>
          </w:tcPr>
          <w:p>
            <w:pPr>
              <w:jc w:val="left"/>
              <w:rPr>
                <w:szCs w:val="24"/>
              </w:rPr>
            </w:pPr>
          </w:p>
        </w:tc>
        <w:tc>
          <w:tcPr>
            <w:tcW w:w="7798" w:type="dxa"/>
            <w:gridSpan w:val="10"/>
            <w:tcBorders>
              <w:top w:val="single" w:color="auto" w:sz="4" w:space="0"/>
              <w:left w:val="single" w:color="auto" w:sz="4" w:space="0"/>
              <w:bottom w:val="single" w:color="auto" w:sz="4" w:space="0"/>
              <w:right w:val="single" w:color="auto" w:sz="4" w:space="0"/>
            </w:tcBorders>
            <w:vAlign w:val="center"/>
          </w:tcPr>
          <w:p>
            <w:pPr>
              <w:jc w:val="left"/>
              <w:rPr>
                <w:szCs w:val="24"/>
              </w:rPr>
            </w:pPr>
          </w:p>
        </w:tc>
      </w:tr>
      <w:tr>
        <w:tblPrEx>
          <w:tblLayout w:type="fixed"/>
          <w:tblCellMar>
            <w:top w:w="0" w:type="dxa"/>
            <w:left w:w="28" w:type="dxa"/>
            <w:bottom w:w="0" w:type="dxa"/>
            <w:right w:w="28" w:type="dxa"/>
          </w:tblCellMar>
        </w:tblPrEx>
        <w:tc>
          <w:tcPr>
            <w:tcW w:w="1770" w:type="dxa"/>
            <w:vMerge w:val="continue"/>
            <w:tcBorders>
              <w:top w:val="single" w:color="auto" w:sz="4" w:space="0"/>
              <w:left w:val="single" w:color="auto" w:sz="4" w:space="0"/>
              <w:bottom w:val="single" w:color="auto" w:sz="4" w:space="0"/>
              <w:right w:val="single" w:color="auto" w:sz="4" w:space="0"/>
            </w:tcBorders>
            <w:vAlign w:val="center"/>
          </w:tcPr>
          <w:p>
            <w:pPr>
              <w:jc w:val="left"/>
              <w:rPr>
                <w:szCs w:val="24"/>
              </w:rPr>
            </w:pPr>
          </w:p>
        </w:tc>
        <w:tc>
          <w:tcPr>
            <w:tcW w:w="7798" w:type="dxa"/>
            <w:gridSpan w:val="10"/>
            <w:tcBorders>
              <w:top w:val="single" w:color="auto" w:sz="4" w:space="0"/>
              <w:left w:val="single" w:color="auto" w:sz="4" w:space="0"/>
              <w:bottom w:val="single" w:color="auto" w:sz="4" w:space="0"/>
              <w:right w:val="single" w:color="auto" w:sz="4" w:space="0"/>
            </w:tcBorders>
            <w:vAlign w:val="center"/>
          </w:tcPr>
          <w:p>
            <w:pPr>
              <w:jc w:val="left"/>
              <w:rPr>
                <w:szCs w:val="24"/>
              </w:rPr>
            </w:pPr>
          </w:p>
        </w:tc>
      </w:tr>
      <w:tr>
        <w:tblPrEx>
          <w:tblLayout w:type="fixed"/>
          <w:tblCellMar>
            <w:top w:w="0" w:type="dxa"/>
            <w:left w:w="28" w:type="dxa"/>
            <w:bottom w:w="0" w:type="dxa"/>
            <w:right w:w="28" w:type="dxa"/>
          </w:tblCellMar>
        </w:tblPrEx>
        <w:tc>
          <w:tcPr>
            <w:tcW w:w="1770"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募集资金投资项目先期投入及置换情况</w:t>
            </w:r>
          </w:p>
        </w:tc>
        <w:tc>
          <w:tcPr>
            <w:tcW w:w="7798" w:type="dxa"/>
            <w:gridSpan w:val="10"/>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适用</w:t>
            </w:r>
          </w:p>
        </w:tc>
      </w:tr>
      <w:tr>
        <w:tblPrEx>
          <w:tblLayout w:type="fixed"/>
          <w:tblCellMar>
            <w:top w:w="0" w:type="dxa"/>
            <w:left w:w="28" w:type="dxa"/>
            <w:bottom w:w="0" w:type="dxa"/>
            <w:right w:w="28" w:type="dxa"/>
          </w:tblCellMar>
        </w:tblPrEx>
        <w:tc>
          <w:tcPr>
            <w:tcW w:w="1770" w:type="dxa"/>
            <w:vMerge w:val="continue"/>
            <w:tcBorders>
              <w:top w:val="single" w:color="auto" w:sz="4" w:space="0"/>
              <w:left w:val="single" w:color="auto" w:sz="4" w:space="0"/>
              <w:bottom w:val="single" w:color="auto" w:sz="4" w:space="0"/>
              <w:right w:val="single" w:color="auto" w:sz="4" w:space="0"/>
            </w:tcBorders>
            <w:vAlign w:val="center"/>
          </w:tcPr>
          <w:p>
            <w:pPr>
              <w:jc w:val="left"/>
              <w:rPr>
                <w:szCs w:val="24"/>
              </w:rPr>
            </w:pPr>
          </w:p>
        </w:tc>
        <w:tc>
          <w:tcPr>
            <w:tcW w:w="7798" w:type="dxa"/>
            <w:gridSpan w:val="10"/>
            <w:tcBorders>
              <w:top w:val="single" w:color="auto" w:sz="4" w:space="0"/>
              <w:left w:val="single" w:color="auto" w:sz="4" w:space="0"/>
              <w:bottom w:val="single" w:color="auto" w:sz="4" w:space="0"/>
              <w:right w:val="single" w:color="auto" w:sz="4" w:space="0"/>
            </w:tcBorders>
            <w:vAlign w:val="center"/>
          </w:tcPr>
          <w:p>
            <w:pPr>
              <w:jc w:val="left"/>
              <w:rPr>
                <w:szCs w:val="24"/>
              </w:rPr>
            </w:pPr>
            <w:r>
              <w:rPr>
                <w:szCs w:val="24"/>
              </w:rPr>
              <w:t>2009</w:t>
            </w:r>
            <w:r>
              <w:rPr>
                <w:rFonts w:hint="eastAsia"/>
                <w:szCs w:val="24"/>
              </w:rPr>
              <w:t>年</w:t>
            </w:r>
            <w:r>
              <w:rPr>
                <w:szCs w:val="24"/>
              </w:rPr>
              <w:t>12</w:t>
            </w:r>
            <w:r>
              <w:rPr>
                <w:rFonts w:hint="eastAsia"/>
                <w:szCs w:val="24"/>
              </w:rPr>
              <w:t>月</w:t>
            </w:r>
            <w:r>
              <w:rPr>
                <w:szCs w:val="24"/>
              </w:rPr>
              <w:t>22</w:t>
            </w:r>
            <w:r>
              <w:rPr>
                <w:rFonts w:hint="eastAsia"/>
                <w:szCs w:val="24"/>
              </w:rPr>
              <w:t>日，公司第一届董事会第十三次会议决议，同意公司以自筹资金支付房屋首付款</w:t>
            </w:r>
            <w:r>
              <w:rPr>
                <w:szCs w:val="24"/>
              </w:rPr>
              <w:t>2,000</w:t>
            </w:r>
            <w:r>
              <w:rPr>
                <w:rFonts w:hint="eastAsia"/>
                <w:szCs w:val="24"/>
              </w:rPr>
              <w:t>万元，公司于</w:t>
            </w:r>
            <w:r>
              <w:rPr>
                <w:szCs w:val="24"/>
              </w:rPr>
              <w:t>2009</w:t>
            </w:r>
            <w:r>
              <w:rPr>
                <w:rFonts w:hint="eastAsia"/>
                <w:szCs w:val="24"/>
              </w:rPr>
              <w:t>年</w:t>
            </w:r>
            <w:r>
              <w:rPr>
                <w:szCs w:val="24"/>
              </w:rPr>
              <w:t>12</w:t>
            </w:r>
            <w:r>
              <w:rPr>
                <w:rFonts w:hint="eastAsia"/>
                <w:szCs w:val="24"/>
              </w:rPr>
              <w:t>月</w:t>
            </w:r>
            <w:r>
              <w:rPr>
                <w:szCs w:val="24"/>
              </w:rPr>
              <w:t>25</w:t>
            </w:r>
            <w:r>
              <w:rPr>
                <w:rFonts w:hint="eastAsia"/>
                <w:szCs w:val="24"/>
              </w:rPr>
              <w:t>日已将房屋购房款</w:t>
            </w:r>
            <w:r>
              <w:rPr>
                <w:szCs w:val="24"/>
              </w:rPr>
              <w:t>2,000</w:t>
            </w:r>
            <w:r>
              <w:rPr>
                <w:rFonts w:hint="eastAsia"/>
                <w:szCs w:val="24"/>
              </w:rPr>
              <w:t>万元支付给开发商北京实创环保发展有限公司。公司于</w:t>
            </w:r>
            <w:r>
              <w:rPr>
                <w:szCs w:val="24"/>
              </w:rPr>
              <w:t>2010</w:t>
            </w:r>
            <w:r>
              <w:rPr>
                <w:rFonts w:hint="eastAsia"/>
                <w:szCs w:val="24"/>
              </w:rPr>
              <w:t>年</w:t>
            </w:r>
            <w:r>
              <w:rPr>
                <w:szCs w:val="24"/>
              </w:rPr>
              <w:t>4</w:t>
            </w:r>
            <w:r>
              <w:rPr>
                <w:rFonts w:hint="eastAsia"/>
                <w:szCs w:val="24"/>
              </w:rPr>
              <w:t>月</w:t>
            </w:r>
            <w:r>
              <w:rPr>
                <w:szCs w:val="24"/>
              </w:rPr>
              <w:t>13</w:t>
            </w:r>
            <w:r>
              <w:rPr>
                <w:rFonts w:hint="eastAsia"/>
                <w:szCs w:val="24"/>
              </w:rPr>
              <w:t>日以自有资金支付本次募集资金投资项目所需厂房尾款</w:t>
            </w:r>
            <w:r>
              <w:rPr>
                <w:szCs w:val="24"/>
              </w:rPr>
              <w:t>1,148.46</w:t>
            </w:r>
            <w:r>
              <w:rPr>
                <w:rFonts w:hint="eastAsia"/>
                <w:szCs w:val="24"/>
              </w:rPr>
              <w:t>万元。公司未进行以上募集资金置换。</w:t>
            </w:r>
          </w:p>
        </w:tc>
      </w:tr>
      <w:tr>
        <w:tblPrEx>
          <w:tblLayout w:type="fixed"/>
          <w:tblCellMar>
            <w:top w:w="0" w:type="dxa"/>
            <w:left w:w="28" w:type="dxa"/>
            <w:bottom w:w="0" w:type="dxa"/>
            <w:right w:w="28" w:type="dxa"/>
          </w:tblCellMar>
        </w:tblPrEx>
        <w:tc>
          <w:tcPr>
            <w:tcW w:w="1770"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用闲置募集资金暂时补充流动资金情况</w:t>
            </w:r>
          </w:p>
        </w:tc>
        <w:tc>
          <w:tcPr>
            <w:tcW w:w="7798" w:type="dxa"/>
            <w:gridSpan w:val="10"/>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适用</w:t>
            </w:r>
          </w:p>
        </w:tc>
      </w:tr>
      <w:tr>
        <w:tblPrEx>
          <w:tblLayout w:type="fixed"/>
          <w:tblCellMar>
            <w:top w:w="0" w:type="dxa"/>
            <w:left w:w="28" w:type="dxa"/>
            <w:bottom w:w="0" w:type="dxa"/>
            <w:right w:w="28" w:type="dxa"/>
          </w:tblCellMar>
        </w:tblPrEx>
        <w:tc>
          <w:tcPr>
            <w:tcW w:w="1770" w:type="dxa"/>
            <w:vMerge w:val="continue"/>
            <w:tcBorders>
              <w:top w:val="single" w:color="auto" w:sz="4" w:space="0"/>
              <w:left w:val="single" w:color="auto" w:sz="4" w:space="0"/>
              <w:bottom w:val="single" w:color="auto" w:sz="4" w:space="0"/>
              <w:right w:val="single" w:color="auto" w:sz="4" w:space="0"/>
            </w:tcBorders>
            <w:vAlign w:val="center"/>
          </w:tcPr>
          <w:p>
            <w:pPr>
              <w:jc w:val="left"/>
              <w:rPr>
                <w:szCs w:val="24"/>
              </w:rPr>
            </w:pPr>
          </w:p>
        </w:tc>
        <w:tc>
          <w:tcPr>
            <w:tcW w:w="7798" w:type="dxa"/>
            <w:gridSpan w:val="10"/>
            <w:tcBorders>
              <w:top w:val="single" w:color="auto" w:sz="4" w:space="0"/>
              <w:left w:val="single" w:color="auto" w:sz="4" w:space="0"/>
              <w:bottom w:val="single" w:color="auto" w:sz="4" w:space="0"/>
              <w:right w:val="single" w:color="auto" w:sz="4" w:space="0"/>
            </w:tcBorders>
            <w:vAlign w:val="center"/>
          </w:tcPr>
          <w:p>
            <w:pPr>
              <w:jc w:val="left"/>
              <w:rPr>
                <w:szCs w:val="24"/>
              </w:rPr>
            </w:pPr>
            <w:r>
              <w:rPr>
                <w:szCs w:val="24"/>
              </w:rPr>
              <w:t>1</w:t>
            </w:r>
            <w:r>
              <w:rPr>
                <w:rFonts w:hint="eastAsia"/>
                <w:szCs w:val="24"/>
              </w:rPr>
              <w:t>、</w:t>
            </w:r>
            <w:r>
              <w:rPr>
                <w:szCs w:val="24"/>
              </w:rPr>
              <w:t>2011</w:t>
            </w:r>
            <w:r>
              <w:rPr>
                <w:rFonts w:hint="eastAsia"/>
                <w:szCs w:val="24"/>
              </w:rPr>
              <w:t>年</w:t>
            </w:r>
            <w:r>
              <w:rPr>
                <w:szCs w:val="24"/>
              </w:rPr>
              <w:t>7</w:t>
            </w:r>
            <w:r>
              <w:rPr>
                <w:rFonts w:hint="eastAsia"/>
                <w:szCs w:val="24"/>
              </w:rPr>
              <w:t>月</w:t>
            </w:r>
            <w:r>
              <w:rPr>
                <w:szCs w:val="24"/>
              </w:rPr>
              <w:t>18</w:t>
            </w:r>
            <w:r>
              <w:rPr>
                <w:rFonts w:hint="eastAsia"/>
                <w:szCs w:val="24"/>
              </w:rPr>
              <w:t>日公司第二届董事会第二次会议审议通过了《关于使用部分超募资金暂时补充流动资金的议案》，同意公司使用</w:t>
            </w:r>
            <w:r>
              <w:rPr>
                <w:szCs w:val="24"/>
              </w:rPr>
              <w:t>4,000</w:t>
            </w:r>
            <w:r>
              <w:rPr>
                <w:rFonts w:hint="eastAsia"/>
                <w:szCs w:val="24"/>
              </w:rPr>
              <w:t>万元其他与主营业务相关的募集资金用于暂时补充流动资金。该事项已经独立董事、保荐机构发表了同意意见。公司分别于</w:t>
            </w:r>
            <w:r>
              <w:rPr>
                <w:szCs w:val="24"/>
              </w:rPr>
              <w:t>2011</w:t>
            </w:r>
            <w:r>
              <w:rPr>
                <w:rFonts w:hint="eastAsia"/>
                <w:szCs w:val="24"/>
              </w:rPr>
              <w:t>年</w:t>
            </w:r>
            <w:r>
              <w:rPr>
                <w:szCs w:val="24"/>
              </w:rPr>
              <w:t>7</w:t>
            </w:r>
            <w:r>
              <w:rPr>
                <w:rFonts w:hint="eastAsia"/>
                <w:szCs w:val="24"/>
              </w:rPr>
              <w:t>月</w:t>
            </w:r>
            <w:r>
              <w:rPr>
                <w:szCs w:val="24"/>
              </w:rPr>
              <w:t>28</w:t>
            </w:r>
            <w:r>
              <w:rPr>
                <w:rFonts w:hint="eastAsia"/>
                <w:szCs w:val="24"/>
              </w:rPr>
              <w:t>日、</w:t>
            </w:r>
            <w:r>
              <w:rPr>
                <w:szCs w:val="24"/>
              </w:rPr>
              <w:t>8</w:t>
            </w:r>
            <w:r>
              <w:rPr>
                <w:rFonts w:hint="eastAsia"/>
                <w:szCs w:val="24"/>
              </w:rPr>
              <w:t>月</w:t>
            </w:r>
            <w:r>
              <w:rPr>
                <w:szCs w:val="24"/>
              </w:rPr>
              <w:t>31</w:t>
            </w:r>
            <w:r>
              <w:rPr>
                <w:rFonts w:hint="eastAsia"/>
                <w:szCs w:val="24"/>
              </w:rPr>
              <w:t>日使用了</w:t>
            </w:r>
            <w:r>
              <w:rPr>
                <w:szCs w:val="24"/>
              </w:rPr>
              <w:t>3,671.54</w:t>
            </w:r>
            <w:r>
              <w:rPr>
                <w:rFonts w:hint="eastAsia"/>
                <w:szCs w:val="24"/>
              </w:rPr>
              <w:t>万元、</w:t>
            </w:r>
            <w:r>
              <w:rPr>
                <w:szCs w:val="24"/>
              </w:rPr>
              <w:t>328.46</w:t>
            </w:r>
            <w:r>
              <w:rPr>
                <w:rFonts w:hint="eastAsia"/>
                <w:szCs w:val="24"/>
              </w:rPr>
              <w:t>万元共计</w:t>
            </w:r>
            <w:r>
              <w:rPr>
                <w:szCs w:val="24"/>
              </w:rPr>
              <w:t>4,000</w:t>
            </w:r>
            <w:r>
              <w:rPr>
                <w:rFonts w:hint="eastAsia"/>
                <w:szCs w:val="24"/>
              </w:rPr>
              <w:t>万元其他与主营业务相关的募集资金暂时补充流动资金。截止</w:t>
            </w:r>
            <w:r>
              <w:rPr>
                <w:szCs w:val="24"/>
              </w:rPr>
              <w:t>2012</w:t>
            </w:r>
            <w:r>
              <w:rPr>
                <w:rFonts w:hint="eastAsia"/>
                <w:szCs w:val="24"/>
              </w:rPr>
              <w:t>年</w:t>
            </w:r>
            <w:r>
              <w:rPr>
                <w:szCs w:val="24"/>
              </w:rPr>
              <w:t>1</w:t>
            </w:r>
            <w:r>
              <w:rPr>
                <w:rFonts w:hint="eastAsia"/>
                <w:szCs w:val="24"/>
              </w:rPr>
              <w:t>月</w:t>
            </w:r>
            <w:r>
              <w:rPr>
                <w:szCs w:val="24"/>
              </w:rPr>
              <w:t>18</w:t>
            </w:r>
            <w:r>
              <w:rPr>
                <w:rFonts w:hint="eastAsia"/>
                <w:szCs w:val="24"/>
              </w:rPr>
              <w:t>日，公司已将上述暂时补充流动资金的</w:t>
            </w:r>
            <w:r>
              <w:rPr>
                <w:szCs w:val="24"/>
              </w:rPr>
              <w:t>4,000</w:t>
            </w:r>
            <w:r>
              <w:rPr>
                <w:rFonts w:hint="eastAsia"/>
                <w:szCs w:val="24"/>
              </w:rPr>
              <w:t>万元全部归还至公司募集资金专用账户。</w:t>
            </w:r>
            <w:r>
              <w:rPr>
                <w:szCs w:val="24"/>
              </w:rPr>
              <w:t>2</w:t>
            </w:r>
            <w:r>
              <w:rPr>
                <w:rFonts w:hint="eastAsia"/>
                <w:szCs w:val="24"/>
              </w:rPr>
              <w:t>、</w:t>
            </w:r>
            <w:r>
              <w:rPr>
                <w:szCs w:val="24"/>
              </w:rPr>
              <w:t>2013</w:t>
            </w:r>
            <w:r>
              <w:rPr>
                <w:rFonts w:hint="eastAsia"/>
                <w:szCs w:val="24"/>
              </w:rPr>
              <w:t>年</w:t>
            </w:r>
            <w:r>
              <w:rPr>
                <w:szCs w:val="24"/>
              </w:rPr>
              <w:t>10</w:t>
            </w:r>
            <w:r>
              <w:rPr>
                <w:rFonts w:hint="eastAsia"/>
                <w:szCs w:val="24"/>
              </w:rPr>
              <w:t>月</w:t>
            </w:r>
            <w:r>
              <w:rPr>
                <w:szCs w:val="24"/>
              </w:rPr>
              <w:t>8</w:t>
            </w:r>
            <w:r>
              <w:rPr>
                <w:rFonts w:hint="eastAsia"/>
                <w:szCs w:val="24"/>
              </w:rPr>
              <w:t>日，公司第二届董事会第二十二次会议审议通过《关于使用超募资金暂时补充流动资金的议案》，同意公司使用剩余超募资金</w:t>
            </w:r>
            <w:r>
              <w:rPr>
                <w:szCs w:val="24"/>
              </w:rPr>
              <w:t>1,450.19</w:t>
            </w:r>
            <w:r>
              <w:rPr>
                <w:rFonts w:hint="eastAsia"/>
                <w:szCs w:val="24"/>
              </w:rPr>
              <w:t>万元（包含利息）用于暂时补充流动资金。公司于</w:t>
            </w:r>
            <w:r>
              <w:rPr>
                <w:szCs w:val="24"/>
              </w:rPr>
              <w:t>2013</w:t>
            </w:r>
            <w:r>
              <w:rPr>
                <w:rFonts w:hint="eastAsia"/>
                <w:szCs w:val="24"/>
              </w:rPr>
              <w:t>年</w:t>
            </w:r>
            <w:r>
              <w:rPr>
                <w:szCs w:val="24"/>
              </w:rPr>
              <w:t>10</w:t>
            </w:r>
            <w:r>
              <w:rPr>
                <w:rFonts w:hint="eastAsia"/>
                <w:szCs w:val="24"/>
              </w:rPr>
              <w:t>月</w:t>
            </w:r>
            <w:r>
              <w:rPr>
                <w:szCs w:val="24"/>
              </w:rPr>
              <w:t>12</w:t>
            </w:r>
            <w:r>
              <w:rPr>
                <w:rFonts w:hint="eastAsia"/>
                <w:szCs w:val="24"/>
              </w:rPr>
              <w:t>日至</w:t>
            </w:r>
            <w:r>
              <w:rPr>
                <w:szCs w:val="24"/>
              </w:rPr>
              <w:t>2013</w:t>
            </w:r>
            <w:r>
              <w:rPr>
                <w:rFonts w:hint="eastAsia"/>
                <w:szCs w:val="24"/>
              </w:rPr>
              <w:t>年</w:t>
            </w:r>
            <w:r>
              <w:rPr>
                <w:szCs w:val="24"/>
              </w:rPr>
              <w:t>10</w:t>
            </w:r>
            <w:r>
              <w:rPr>
                <w:rFonts w:hint="eastAsia"/>
                <w:szCs w:val="24"/>
              </w:rPr>
              <w:t>月</w:t>
            </w:r>
            <w:r>
              <w:rPr>
                <w:szCs w:val="24"/>
              </w:rPr>
              <w:t>18</w:t>
            </w:r>
            <w:r>
              <w:rPr>
                <w:rFonts w:hint="eastAsia"/>
                <w:szCs w:val="24"/>
              </w:rPr>
              <w:t>日期间使用了</w:t>
            </w:r>
            <w:r>
              <w:rPr>
                <w:szCs w:val="24"/>
              </w:rPr>
              <w:t>1,450.19</w:t>
            </w:r>
            <w:r>
              <w:rPr>
                <w:rFonts w:hint="eastAsia"/>
                <w:szCs w:val="24"/>
              </w:rPr>
              <w:t>万元募集资金暂时补充流动资金。截止</w:t>
            </w:r>
            <w:r>
              <w:rPr>
                <w:szCs w:val="24"/>
              </w:rPr>
              <w:t>2014</w:t>
            </w:r>
            <w:r>
              <w:rPr>
                <w:rFonts w:hint="eastAsia"/>
                <w:szCs w:val="24"/>
              </w:rPr>
              <w:t>年</w:t>
            </w:r>
            <w:r>
              <w:rPr>
                <w:szCs w:val="24"/>
              </w:rPr>
              <w:t>4</w:t>
            </w:r>
            <w:r>
              <w:rPr>
                <w:rFonts w:hint="eastAsia"/>
                <w:szCs w:val="24"/>
              </w:rPr>
              <w:t>月</w:t>
            </w:r>
            <w:r>
              <w:rPr>
                <w:szCs w:val="24"/>
              </w:rPr>
              <w:t>8</w:t>
            </w:r>
            <w:r>
              <w:rPr>
                <w:rFonts w:hint="eastAsia"/>
                <w:szCs w:val="24"/>
              </w:rPr>
              <w:t>日，公司已将上述暂时补充流动资金的</w:t>
            </w:r>
            <w:r>
              <w:rPr>
                <w:szCs w:val="24"/>
              </w:rPr>
              <w:t>1,450.19</w:t>
            </w:r>
            <w:r>
              <w:rPr>
                <w:rFonts w:hint="eastAsia"/>
                <w:szCs w:val="24"/>
              </w:rPr>
              <w:t>万元全部归还至公司募集资金专用账户。</w:t>
            </w:r>
          </w:p>
        </w:tc>
      </w:tr>
      <w:tr>
        <w:tblPrEx>
          <w:tblLayout w:type="fixed"/>
          <w:tblCellMar>
            <w:top w:w="0" w:type="dxa"/>
            <w:left w:w="28" w:type="dxa"/>
            <w:bottom w:w="0" w:type="dxa"/>
            <w:right w:w="28" w:type="dxa"/>
          </w:tblCellMar>
        </w:tblPrEx>
        <w:tc>
          <w:tcPr>
            <w:tcW w:w="1770"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项目实施出现募集资金结余的金额及原因</w:t>
            </w:r>
          </w:p>
        </w:tc>
        <w:tc>
          <w:tcPr>
            <w:tcW w:w="7798" w:type="dxa"/>
            <w:gridSpan w:val="10"/>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适用</w:t>
            </w:r>
          </w:p>
        </w:tc>
      </w:tr>
      <w:tr>
        <w:tblPrEx>
          <w:tblLayout w:type="fixed"/>
          <w:tblCellMar>
            <w:top w:w="0" w:type="dxa"/>
            <w:left w:w="28" w:type="dxa"/>
            <w:bottom w:w="0" w:type="dxa"/>
            <w:right w:w="28" w:type="dxa"/>
          </w:tblCellMar>
        </w:tblPrEx>
        <w:tc>
          <w:tcPr>
            <w:tcW w:w="1770" w:type="dxa"/>
            <w:vMerge w:val="continue"/>
            <w:tcBorders>
              <w:top w:val="single" w:color="auto" w:sz="4" w:space="0"/>
              <w:left w:val="single" w:color="auto" w:sz="4" w:space="0"/>
              <w:bottom w:val="single" w:color="auto" w:sz="4" w:space="0"/>
              <w:right w:val="single" w:color="auto" w:sz="4" w:space="0"/>
            </w:tcBorders>
            <w:vAlign w:val="center"/>
          </w:tcPr>
          <w:p>
            <w:pPr>
              <w:jc w:val="left"/>
              <w:rPr>
                <w:szCs w:val="24"/>
              </w:rPr>
            </w:pPr>
          </w:p>
        </w:tc>
        <w:tc>
          <w:tcPr>
            <w:tcW w:w="7798" w:type="dxa"/>
            <w:gridSpan w:val="10"/>
            <w:tcBorders>
              <w:top w:val="single" w:color="auto" w:sz="4" w:space="0"/>
              <w:left w:val="single" w:color="auto" w:sz="4" w:space="0"/>
              <w:bottom w:val="single" w:color="auto" w:sz="4" w:space="0"/>
              <w:right w:val="single" w:color="auto" w:sz="4" w:space="0"/>
            </w:tcBorders>
            <w:vAlign w:val="center"/>
          </w:tcPr>
          <w:p>
            <w:pPr>
              <w:jc w:val="left"/>
              <w:rPr>
                <w:szCs w:val="24"/>
              </w:rPr>
            </w:pPr>
            <w:r>
              <w:rPr>
                <w:rFonts w:hint="eastAsia"/>
                <w:szCs w:val="24"/>
              </w:rPr>
              <w:t>为更好地把握市场机遇，公司在上市前即启动上述募投项目的建设筹备工作。</w:t>
            </w:r>
            <w:r>
              <w:rPr>
                <w:szCs w:val="24"/>
              </w:rPr>
              <w:t>2009</w:t>
            </w:r>
            <w:r>
              <w:rPr>
                <w:rFonts w:hint="eastAsia"/>
                <w:szCs w:val="24"/>
              </w:rPr>
              <w:t>年</w:t>
            </w:r>
            <w:r>
              <w:rPr>
                <w:szCs w:val="24"/>
              </w:rPr>
              <w:t>12</w:t>
            </w:r>
            <w:r>
              <w:rPr>
                <w:rFonts w:hint="eastAsia"/>
                <w:szCs w:val="24"/>
              </w:rPr>
              <w:t>月</w:t>
            </w:r>
            <w:r>
              <w:rPr>
                <w:szCs w:val="24"/>
              </w:rPr>
              <w:t>22</w:t>
            </w:r>
            <w:r>
              <w:rPr>
                <w:rFonts w:hint="eastAsia"/>
                <w:szCs w:val="24"/>
              </w:rPr>
              <w:t>日，公司第一届董事会第十三次会议决议，同意公司以自筹资金支付上述募投项目所需厂房首付款</w:t>
            </w:r>
            <w:r>
              <w:rPr>
                <w:szCs w:val="24"/>
              </w:rPr>
              <w:t>2,000</w:t>
            </w:r>
            <w:r>
              <w:rPr>
                <w:rFonts w:hint="eastAsia"/>
                <w:szCs w:val="24"/>
              </w:rPr>
              <w:t>万元，公司于</w:t>
            </w:r>
            <w:r>
              <w:rPr>
                <w:szCs w:val="24"/>
              </w:rPr>
              <w:t>2009</w:t>
            </w:r>
            <w:r>
              <w:rPr>
                <w:rFonts w:hint="eastAsia"/>
                <w:szCs w:val="24"/>
              </w:rPr>
              <w:t>年</w:t>
            </w:r>
            <w:r>
              <w:rPr>
                <w:szCs w:val="24"/>
              </w:rPr>
              <w:t>12</w:t>
            </w:r>
            <w:r>
              <w:rPr>
                <w:rFonts w:hint="eastAsia"/>
                <w:szCs w:val="24"/>
              </w:rPr>
              <w:t>月</w:t>
            </w:r>
            <w:r>
              <w:rPr>
                <w:szCs w:val="24"/>
              </w:rPr>
              <w:t>25</w:t>
            </w:r>
            <w:r>
              <w:rPr>
                <w:rFonts w:hint="eastAsia"/>
                <w:szCs w:val="24"/>
              </w:rPr>
              <w:t>日已将房屋购房款</w:t>
            </w:r>
            <w:r>
              <w:rPr>
                <w:szCs w:val="24"/>
              </w:rPr>
              <w:t>2,000</w:t>
            </w:r>
            <w:r>
              <w:rPr>
                <w:rFonts w:hint="eastAsia"/>
                <w:szCs w:val="24"/>
              </w:rPr>
              <w:t>万元支付给开发商北京实创环保发展有限公司；</w:t>
            </w:r>
            <w:r>
              <w:rPr>
                <w:szCs w:val="24"/>
              </w:rPr>
              <w:t>2010</w:t>
            </w:r>
            <w:r>
              <w:rPr>
                <w:rFonts w:hint="eastAsia"/>
                <w:szCs w:val="24"/>
              </w:rPr>
              <w:t>年</w:t>
            </w:r>
            <w:r>
              <w:rPr>
                <w:szCs w:val="24"/>
              </w:rPr>
              <w:t>4</w:t>
            </w:r>
            <w:r>
              <w:rPr>
                <w:rFonts w:hint="eastAsia"/>
                <w:szCs w:val="24"/>
              </w:rPr>
              <w:t>月</w:t>
            </w:r>
            <w:r>
              <w:rPr>
                <w:szCs w:val="24"/>
              </w:rPr>
              <w:t>13</w:t>
            </w:r>
            <w:r>
              <w:rPr>
                <w:rFonts w:hint="eastAsia"/>
                <w:szCs w:val="24"/>
              </w:rPr>
              <w:t>日，公司继续以自有资金支付了本次募集资金投资项目所需厂房尾款</w:t>
            </w:r>
            <w:r>
              <w:rPr>
                <w:szCs w:val="24"/>
              </w:rPr>
              <w:t>1,148.46</w:t>
            </w:r>
            <w:r>
              <w:rPr>
                <w:rFonts w:hint="eastAsia"/>
                <w:szCs w:val="24"/>
              </w:rPr>
              <w:t>万元；</w:t>
            </w:r>
            <w:r>
              <w:rPr>
                <w:szCs w:val="24"/>
              </w:rPr>
              <w:t>2010</w:t>
            </w:r>
            <w:r>
              <w:rPr>
                <w:rFonts w:hint="eastAsia"/>
                <w:szCs w:val="24"/>
              </w:rPr>
              <w:t>年</w:t>
            </w:r>
            <w:r>
              <w:rPr>
                <w:szCs w:val="24"/>
              </w:rPr>
              <w:t>9</w:t>
            </w:r>
            <w:r>
              <w:rPr>
                <w:rFonts w:hint="eastAsia"/>
                <w:szCs w:val="24"/>
              </w:rPr>
              <w:t>月</w:t>
            </w:r>
            <w:r>
              <w:rPr>
                <w:szCs w:val="24"/>
              </w:rPr>
              <w:t>16</w:t>
            </w:r>
            <w:r>
              <w:rPr>
                <w:rFonts w:hint="eastAsia"/>
                <w:szCs w:val="24"/>
              </w:rPr>
              <w:t>日，公司以自有资金支付房屋实测面积差额款</w:t>
            </w:r>
            <w:r>
              <w:rPr>
                <w:szCs w:val="24"/>
              </w:rPr>
              <w:t>6.78</w:t>
            </w:r>
            <w:r>
              <w:rPr>
                <w:rFonts w:hint="eastAsia"/>
                <w:szCs w:val="24"/>
              </w:rPr>
              <w:t>万元。公司一直未以募集资金置换上述预先已投入募投项目的自筹资金，合计</w:t>
            </w:r>
            <w:r>
              <w:rPr>
                <w:szCs w:val="24"/>
              </w:rPr>
              <w:t>3,162.03</w:t>
            </w:r>
            <w:r>
              <w:rPr>
                <w:rFonts w:hint="eastAsia"/>
                <w:szCs w:val="24"/>
              </w:rPr>
              <w:t>万元。同时，在募集资金项目的建设过程中，公司在保证项目建设质量的前提下，加强各项目的费用控制和管理，一定程度上节约了项目开支。截至目前，公司首次公开发行股票募集资金项目</w:t>
            </w:r>
            <w:r>
              <w:rPr>
                <w:szCs w:val="24"/>
              </w:rPr>
              <w:t>“</w:t>
            </w:r>
            <w:r>
              <w:rPr>
                <w:rFonts w:hint="eastAsia"/>
                <w:szCs w:val="24"/>
              </w:rPr>
              <w:t>船舶远程监控管理系统（</w:t>
            </w:r>
            <w:r>
              <w:rPr>
                <w:szCs w:val="24"/>
              </w:rPr>
              <w:t>VMS</w:t>
            </w:r>
            <w:r>
              <w:rPr>
                <w:rFonts w:hint="eastAsia"/>
                <w:szCs w:val="24"/>
              </w:rPr>
              <w:t>）产业化项目</w:t>
            </w:r>
            <w:r>
              <w:rPr>
                <w:szCs w:val="24"/>
              </w:rPr>
              <w:t>”</w:t>
            </w:r>
            <w:r>
              <w:rPr>
                <w:rFonts w:hint="eastAsia"/>
                <w:szCs w:val="24"/>
              </w:rPr>
              <w:t>、</w:t>
            </w:r>
            <w:r>
              <w:rPr>
                <w:szCs w:val="24"/>
              </w:rPr>
              <w:t>“</w:t>
            </w:r>
            <w:r>
              <w:rPr>
                <w:rFonts w:hint="eastAsia"/>
                <w:szCs w:val="24"/>
              </w:rPr>
              <w:t>船舶操舵仪（</w:t>
            </w:r>
            <w:r>
              <w:rPr>
                <w:szCs w:val="24"/>
              </w:rPr>
              <w:t>SCS</w:t>
            </w:r>
            <w:r>
              <w:rPr>
                <w:rFonts w:hint="eastAsia"/>
                <w:szCs w:val="24"/>
              </w:rPr>
              <w:t>）生产线建设项目</w:t>
            </w:r>
            <w:r>
              <w:rPr>
                <w:szCs w:val="24"/>
              </w:rPr>
              <w:t>”</w:t>
            </w:r>
            <w:r>
              <w:rPr>
                <w:rFonts w:hint="eastAsia"/>
                <w:szCs w:val="24"/>
              </w:rPr>
              <w:t>及</w:t>
            </w:r>
            <w:r>
              <w:rPr>
                <w:szCs w:val="24"/>
              </w:rPr>
              <w:t>“</w:t>
            </w:r>
            <w:r>
              <w:rPr>
                <w:rFonts w:hint="eastAsia"/>
                <w:szCs w:val="24"/>
              </w:rPr>
              <w:t>研发中心扩建项目</w:t>
            </w:r>
            <w:r>
              <w:rPr>
                <w:szCs w:val="24"/>
              </w:rPr>
              <w:t>”</w:t>
            </w:r>
            <w:r>
              <w:rPr>
                <w:rFonts w:hint="eastAsia"/>
                <w:szCs w:val="24"/>
              </w:rPr>
              <w:t>已达到预计可使用状态，公司募投项目确认完工，合计节余资金</w:t>
            </w:r>
            <w:r>
              <w:rPr>
                <w:szCs w:val="24"/>
              </w:rPr>
              <w:t>3510.73</w:t>
            </w:r>
            <w:r>
              <w:rPr>
                <w:rFonts w:hint="eastAsia"/>
                <w:szCs w:val="24"/>
              </w:rPr>
              <w:t>万元及利息收入</w:t>
            </w:r>
            <w:r>
              <w:rPr>
                <w:szCs w:val="24"/>
              </w:rPr>
              <w:t>180.85</w:t>
            </w:r>
            <w:r>
              <w:rPr>
                <w:rFonts w:hint="eastAsia"/>
                <w:szCs w:val="24"/>
              </w:rPr>
              <w:t>万元。</w:t>
            </w:r>
            <w:r>
              <w:rPr>
                <w:szCs w:val="24"/>
              </w:rPr>
              <w:t>2012</w:t>
            </w:r>
            <w:r>
              <w:rPr>
                <w:rFonts w:hint="eastAsia"/>
                <w:szCs w:val="24"/>
              </w:rPr>
              <w:t>年</w:t>
            </w:r>
            <w:r>
              <w:rPr>
                <w:szCs w:val="24"/>
              </w:rPr>
              <w:t>1</w:t>
            </w:r>
            <w:r>
              <w:rPr>
                <w:rFonts w:hint="eastAsia"/>
                <w:szCs w:val="24"/>
              </w:rPr>
              <w:t>月</w:t>
            </w:r>
            <w:r>
              <w:rPr>
                <w:szCs w:val="24"/>
              </w:rPr>
              <w:t>13</w:t>
            </w:r>
            <w:r>
              <w:rPr>
                <w:rFonts w:hint="eastAsia"/>
                <w:szCs w:val="24"/>
              </w:rPr>
              <w:t>日第二届董事会第七次会议和第二届监事会第五次会议分别审议通过了《关于将节余募集资金永久补充公司流动资金的议案》，同意将上述节余资金永久补充公司流动资金。</w:t>
            </w:r>
          </w:p>
        </w:tc>
      </w:tr>
      <w:tr>
        <w:tblPrEx>
          <w:tblLayout w:type="fixed"/>
          <w:tblCellMar>
            <w:top w:w="0" w:type="dxa"/>
            <w:left w:w="28" w:type="dxa"/>
            <w:bottom w:w="0" w:type="dxa"/>
            <w:right w:w="28" w:type="dxa"/>
          </w:tblCellMar>
        </w:tblPrEx>
        <w:tc>
          <w:tcPr>
            <w:tcW w:w="177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尚未使用的募集资金用途及去向</w:t>
            </w:r>
          </w:p>
        </w:tc>
        <w:tc>
          <w:tcPr>
            <w:tcW w:w="7798" w:type="dxa"/>
            <w:gridSpan w:val="10"/>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尚未使用的募集资金（包括超募资金）均存放在公司银行募集资金专户中</w:t>
            </w:r>
            <w:r>
              <w:rPr>
                <w:szCs w:val="24"/>
              </w:rPr>
              <w:t>,</w:t>
            </w:r>
            <w:r>
              <w:rPr>
                <w:rFonts w:hint="eastAsia"/>
                <w:szCs w:val="24"/>
              </w:rPr>
              <w:t>超募资金将全部用于主营业务，并根据公司的发展规划及实际生产经营需求，妥善安排使用计划，公司实际使用超募资金前，将履行相应的董事会或股东大会审议程序，并及时披露。</w:t>
            </w:r>
          </w:p>
        </w:tc>
      </w:tr>
      <w:tr>
        <w:tblPrEx>
          <w:tblLayout w:type="fixed"/>
          <w:tblCellMar>
            <w:top w:w="0" w:type="dxa"/>
            <w:left w:w="28" w:type="dxa"/>
            <w:bottom w:w="0" w:type="dxa"/>
            <w:right w:w="28" w:type="dxa"/>
          </w:tblCellMar>
        </w:tblPrEx>
        <w:tc>
          <w:tcPr>
            <w:tcW w:w="177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募集资金使用及披露中存在的问题或其他情况</w:t>
            </w:r>
          </w:p>
        </w:tc>
        <w:tc>
          <w:tcPr>
            <w:tcW w:w="7798" w:type="dxa"/>
            <w:gridSpan w:val="10"/>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不适用</w:t>
            </w:r>
          </w:p>
        </w:tc>
      </w:tr>
    </w:tbl>
    <w:p>
      <w:pPr>
        <w:pStyle w:val="11"/>
        <w:outlineLvl w:val="3"/>
        <w:rPr>
          <w:bCs w:val="0"/>
          <w:szCs w:val="24"/>
        </w:rPr>
      </w:pPr>
      <w:r>
        <w:rPr>
          <w:rFonts w:hint="eastAsia"/>
          <w:bCs w:val="0"/>
          <w:szCs w:val="24"/>
        </w:rPr>
        <w:t>（</w:t>
      </w:r>
      <w:r>
        <w:rPr>
          <w:bCs w:val="0"/>
          <w:szCs w:val="24"/>
        </w:rPr>
        <w:t>3</w:t>
      </w:r>
      <w:r>
        <w:rPr>
          <w:rFonts w:hint="eastAsia"/>
          <w:bCs w:val="0"/>
          <w:szCs w:val="24"/>
        </w:rPr>
        <w:t>）募集资金变更项目情况</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jc w:val="left"/>
        <w:rPr>
          <w:szCs w:val="24"/>
        </w:rPr>
      </w:pPr>
      <w:r>
        <w:rPr>
          <w:rFonts w:hint="eastAsia"/>
          <w:szCs w:val="24"/>
        </w:rPr>
        <w:t>公司报告期不存在募集资金变更项目情况。</w:t>
      </w:r>
    </w:p>
    <w:p>
      <w:pPr>
        <w:pStyle w:val="10"/>
        <w:outlineLvl w:val="1"/>
        <w:rPr>
          <w:bCs w:val="0"/>
        </w:rPr>
      </w:pPr>
      <w:r>
        <w:rPr>
          <w:rFonts w:hint="eastAsia"/>
          <w:bCs w:val="0"/>
        </w:rPr>
        <w:t>六、重大资产和股权出售</w:t>
      </w:r>
    </w:p>
    <w:p>
      <w:pPr>
        <w:pStyle w:val="11"/>
        <w:outlineLvl w:val="2"/>
        <w:rPr>
          <w:bCs w:val="0"/>
          <w:szCs w:val="24"/>
        </w:rPr>
      </w:pPr>
      <w:r>
        <w:rPr>
          <w:bCs w:val="0"/>
          <w:szCs w:val="24"/>
        </w:rPr>
        <w:t>1</w:t>
      </w:r>
      <w:r>
        <w:rPr>
          <w:rFonts w:hint="eastAsia"/>
          <w:bCs w:val="0"/>
          <w:szCs w:val="24"/>
        </w:rPr>
        <w:t>、出售重大资产情况</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jc w:val="left"/>
        <w:rPr>
          <w:szCs w:val="24"/>
        </w:rPr>
      </w:pPr>
      <w:r>
        <w:rPr>
          <w:rFonts w:hint="eastAsia"/>
          <w:szCs w:val="24"/>
        </w:rPr>
        <w:t>公司报告期未出售重大资产。</w:t>
      </w:r>
    </w:p>
    <w:p>
      <w:pPr>
        <w:pStyle w:val="11"/>
        <w:outlineLvl w:val="2"/>
        <w:rPr>
          <w:bCs w:val="0"/>
          <w:szCs w:val="24"/>
        </w:rPr>
      </w:pPr>
      <w:r>
        <w:rPr>
          <w:bCs w:val="0"/>
          <w:szCs w:val="24"/>
        </w:rPr>
        <w:t>2</w:t>
      </w:r>
      <w:r>
        <w:rPr>
          <w:rFonts w:hint="eastAsia"/>
          <w:bCs w:val="0"/>
          <w:szCs w:val="24"/>
        </w:rPr>
        <w:t>、出售重大股权情况</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pStyle w:val="10"/>
        <w:outlineLvl w:val="1"/>
        <w:rPr>
          <w:bCs w:val="0"/>
        </w:rPr>
      </w:pPr>
      <w:r>
        <w:rPr>
          <w:rFonts w:hint="eastAsia"/>
          <w:bCs w:val="0"/>
        </w:rPr>
        <w:t>七、主要控股参股公司分析</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jc w:val="left"/>
        <w:rPr>
          <w:szCs w:val="24"/>
        </w:rPr>
      </w:pPr>
      <w:r>
        <w:rPr>
          <w:rFonts w:hint="eastAsia"/>
          <w:szCs w:val="24"/>
        </w:rPr>
        <w:t>主要子公司及对公司净利润影响达</w:t>
      </w:r>
      <w:r>
        <w:rPr>
          <w:szCs w:val="24"/>
        </w:rPr>
        <w:t>10%</w:t>
      </w:r>
      <w:r>
        <w:rPr>
          <w:rFonts w:hint="eastAsia"/>
          <w:szCs w:val="24"/>
        </w:rPr>
        <w:t>以上的参股公司情况</w:t>
      </w:r>
    </w:p>
    <w:p>
      <w:pPr>
        <w:jc w:val="right"/>
        <w:rPr>
          <w:szCs w:val="24"/>
        </w:rPr>
      </w:pPr>
      <w:r>
        <w:rPr>
          <w:rFonts w:hint="eastAsia"/>
          <w:szCs w:val="24"/>
        </w:rPr>
        <w:t>单位：元</w:t>
      </w:r>
    </w:p>
    <w:tbl>
      <w:tblPr>
        <w:tblStyle w:val="8"/>
        <w:tblW w:w="9666" w:type="dxa"/>
        <w:tblInd w:w="28" w:type="dxa"/>
        <w:tblLayout w:type="fixed"/>
        <w:tblCellMar>
          <w:top w:w="0" w:type="dxa"/>
          <w:left w:w="28" w:type="dxa"/>
          <w:bottom w:w="0" w:type="dxa"/>
          <w:right w:w="28" w:type="dxa"/>
        </w:tblCellMar>
      </w:tblPr>
      <w:tblGrid>
        <w:gridCol w:w="1262"/>
        <w:gridCol w:w="441"/>
        <w:gridCol w:w="1057"/>
        <w:gridCol w:w="1181"/>
        <w:gridCol w:w="1181"/>
        <w:gridCol w:w="1181"/>
        <w:gridCol w:w="1181"/>
        <w:gridCol w:w="1091"/>
        <w:gridCol w:w="1091"/>
      </w:tblGrid>
      <w:tr>
        <w:tblPrEx>
          <w:tblLayout w:type="fixed"/>
          <w:tblCellMar>
            <w:top w:w="0" w:type="dxa"/>
            <w:left w:w="28" w:type="dxa"/>
            <w:bottom w:w="0" w:type="dxa"/>
            <w:right w:w="28" w:type="dxa"/>
          </w:tblCellMar>
        </w:tblPrEx>
        <w:tc>
          <w:tcPr>
            <w:tcW w:w="126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公司名称</w:t>
            </w:r>
          </w:p>
        </w:tc>
        <w:tc>
          <w:tcPr>
            <w:tcW w:w="44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公司类型</w:t>
            </w:r>
          </w:p>
        </w:tc>
        <w:tc>
          <w:tcPr>
            <w:tcW w:w="105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主要业务</w:t>
            </w:r>
          </w:p>
        </w:tc>
        <w:tc>
          <w:tcPr>
            <w:tcW w:w="118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注册资本</w:t>
            </w:r>
          </w:p>
        </w:tc>
        <w:tc>
          <w:tcPr>
            <w:tcW w:w="118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总资产</w:t>
            </w:r>
          </w:p>
        </w:tc>
        <w:tc>
          <w:tcPr>
            <w:tcW w:w="118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净资产</w:t>
            </w:r>
          </w:p>
        </w:tc>
        <w:tc>
          <w:tcPr>
            <w:tcW w:w="118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营业收入</w:t>
            </w:r>
          </w:p>
        </w:tc>
        <w:tc>
          <w:tcPr>
            <w:tcW w:w="109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营业利润</w:t>
            </w:r>
          </w:p>
        </w:tc>
        <w:tc>
          <w:tcPr>
            <w:tcW w:w="109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净利润</w:t>
            </w:r>
          </w:p>
        </w:tc>
      </w:tr>
      <w:tr>
        <w:tblPrEx>
          <w:tblLayout w:type="fixed"/>
          <w:tblCellMar>
            <w:top w:w="0" w:type="dxa"/>
            <w:left w:w="28" w:type="dxa"/>
            <w:bottom w:w="0" w:type="dxa"/>
            <w:right w:w="28" w:type="dxa"/>
          </w:tblCellMar>
        </w:tblPrEx>
        <w:tc>
          <w:tcPr>
            <w:tcW w:w="126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江苏海兰船舶电气系统科技有限公司</w:t>
            </w:r>
          </w:p>
        </w:tc>
        <w:tc>
          <w:tcPr>
            <w:tcW w:w="44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子公司</w:t>
            </w:r>
          </w:p>
        </w:tc>
        <w:tc>
          <w:tcPr>
            <w:tcW w:w="105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船用设备贸易</w:t>
            </w:r>
          </w:p>
        </w:tc>
        <w:tc>
          <w:tcPr>
            <w:tcW w:w="118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100,000,000.00</w:t>
            </w:r>
          </w:p>
        </w:tc>
        <w:tc>
          <w:tcPr>
            <w:tcW w:w="11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163,538,376.07</w:t>
            </w:r>
          </w:p>
        </w:tc>
        <w:tc>
          <w:tcPr>
            <w:tcW w:w="11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114,727,703.92</w:t>
            </w:r>
          </w:p>
        </w:tc>
        <w:tc>
          <w:tcPr>
            <w:tcW w:w="11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35,531,375.39</w:t>
            </w:r>
          </w:p>
        </w:tc>
        <w:tc>
          <w:tcPr>
            <w:tcW w:w="109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687,469.84</w:t>
            </w:r>
          </w:p>
        </w:tc>
        <w:tc>
          <w:tcPr>
            <w:tcW w:w="109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3,941,163.54</w:t>
            </w:r>
          </w:p>
        </w:tc>
      </w:tr>
      <w:tr>
        <w:tblPrEx>
          <w:tblLayout w:type="fixed"/>
          <w:tblCellMar>
            <w:top w:w="0" w:type="dxa"/>
            <w:left w:w="28" w:type="dxa"/>
            <w:bottom w:w="0" w:type="dxa"/>
            <w:right w:w="28" w:type="dxa"/>
          </w:tblCellMar>
        </w:tblPrEx>
        <w:tc>
          <w:tcPr>
            <w:tcW w:w="126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劳雷海洋系统有限公司</w:t>
            </w:r>
          </w:p>
        </w:tc>
        <w:tc>
          <w:tcPr>
            <w:tcW w:w="44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子公司</w:t>
            </w:r>
          </w:p>
        </w:tc>
        <w:tc>
          <w:tcPr>
            <w:tcW w:w="105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海洋仪器系统集成及技术服务</w:t>
            </w:r>
          </w:p>
        </w:tc>
        <w:tc>
          <w:tcPr>
            <w:tcW w:w="118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 xml:space="preserve"> 2,876,388.40 </w:t>
            </w:r>
          </w:p>
        </w:tc>
        <w:tc>
          <w:tcPr>
            <w:tcW w:w="11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260,903,326.35</w:t>
            </w:r>
          </w:p>
        </w:tc>
        <w:tc>
          <w:tcPr>
            <w:tcW w:w="11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150,832,998.71</w:t>
            </w:r>
          </w:p>
        </w:tc>
        <w:tc>
          <w:tcPr>
            <w:tcW w:w="11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400,220,294.76</w:t>
            </w:r>
          </w:p>
        </w:tc>
        <w:tc>
          <w:tcPr>
            <w:tcW w:w="109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60,828,217.83</w:t>
            </w:r>
          </w:p>
        </w:tc>
        <w:tc>
          <w:tcPr>
            <w:tcW w:w="109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50,257,288.37</w:t>
            </w:r>
          </w:p>
        </w:tc>
      </w:tr>
      <w:tr>
        <w:tblPrEx>
          <w:tblLayout w:type="fixed"/>
          <w:tblCellMar>
            <w:top w:w="0" w:type="dxa"/>
            <w:left w:w="28" w:type="dxa"/>
            <w:bottom w:w="0" w:type="dxa"/>
            <w:right w:w="28" w:type="dxa"/>
          </w:tblCellMar>
        </w:tblPrEx>
        <w:tc>
          <w:tcPr>
            <w:tcW w:w="126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广东蓝图信息技术有限公司</w:t>
            </w:r>
          </w:p>
        </w:tc>
        <w:tc>
          <w:tcPr>
            <w:tcW w:w="44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子公司</w:t>
            </w:r>
          </w:p>
        </w:tc>
        <w:tc>
          <w:tcPr>
            <w:tcW w:w="105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海洋信息化软件开发</w:t>
            </w:r>
          </w:p>
        </w:tc>
        <w:tc>
          <w:tcPr>
            <w:tcW w:w="118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5,000,000.00</w:t>
            </w:r>
          </w:p>
        </w:tc>
        <w:tc>
          <w:tcPr>
            <w:tcW w:w="11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42,326,980.00</w:t>
            </w:r>
          </w:p>
        </w:tc>
        <w:tc>
          <w:tcPr>
            <w:tcW w:w="11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17,949,317.14</w:t>
            </w:r>
          </w:p>
        </w:tc>
        <w:tc>
          <w:tcPr>
            <w:tcW w:w="11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32,402,532.71</w:t>
            </w:r>
          </w:p>
        </w:tc>
        <w:tc>
          <w:tcPr>
            <w:tcW w:w="109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11,981,052.98</w:t>
            </w:r>
          </w:p>
        </w:tc>
        <w:tc>
          <w:tcPr>
            <w:tcW w:w="109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10,888,598.76</w:t>
            </w:r>
          </w:p>
        </w:tc>
      </w:tr>
    </w:tbl>
    <w:p>
      <w:pPr>
        <w:jc w:val="left"/>
        <w:rPr>
          <w:szCs w:val="24"/>
        </w:rPr>
      </w:pPr>
      <w:r>
        <w:rPr>
          <w:rFonts w:hint="eastAsia"/>
          <w:szCs w:val="24"/>
        </w:rPr>
        <w:t>报告期内取得和处置子公司的情况</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tbl>
      <w:tblPr>
        <w:tblStyle w:val="8"/>
        <w:tblW w:w="9569" w:type="dxa"/>
        <w:tblInd w:w="28" w:type="dxa"/>
        <w:tblLayout w:type="fixed"/>
        <w:tblCellMar>
          <w:top w:w="0" w:type="dxa"/>
          <w:left w:w="28" w:type="dxa"/>
          <w:bottom w:w="0" w:type="dxa"/>
          <w:right w:w="28" w:type="dxa"/>
        </w:tblCellMar>
      </w:tblPr>
      <w:tblGrid>
        <w:gridCol w:w="3188"/>
        <w:gridCol w:w="3190"/>
        <w:gridCol w:w="3191"/>
      </w:tblGrid>
      <w:tr>
        <w:tblPrEx>
          <w:tblLayout w:type="fixed"/>
        </w:tblPrEx>
        <w:tc>
          <w:tcPr>
            <w:tcW w:w="3188"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公司名称</w:t>
            </w:r>
          </w:p>
        </w:tc>
        <w:tc>
          <w:tcPr>
            <w:tcW w:w="319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报告期内取得和处置子公司方式</w:t>
            </w:r>
          </w:p>
        </w:tc>
        <w:tc>
          <w:tcPr>
            <w:tcW w:w="319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对整体生产经营和业绩的影响</w:t>
            </w:r>
          </w:p>
        </w:tc>
      </w:tr>
      <w:tr>
        <w:tblPrEx>
          <w:tblLayout w:type="fixed"/>
          <w:tblCellMar>
            <w:top w:w="0" w:type="dxa"/>
            <w:left w:w="28" w:type="dxa"/>
            <w:bottom w:w="0" w:type="dxa"/>
            <w:right w:w="28" w:type="dxa"/>
          </w:tblCellMar>
        </w:tblPrEx>
        <w:tc>
          <w:tcPr>
            <w:tcW w:w="318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广东蓝图信息技术有限公司</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收购</w:t>
            </w:r>
          </w:p>
        </w:tc>
        <w:tc>
          <w:tcPr>
            <w:tcW w:w="319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报告期合并范围内实现净利润</w:t>
            </w:r>
            <w:r>
              <w:rPr>
                <w:szCs w:val="24"/>
              </w:rPr>
              <w:t xml:space="preserve"> 1,023.10</w:t>
            </w:r>
            <w:r>
              <w:rPr>
                <w:rFonts w:hint="eastAsia"/>
                <w:szCs w:val="24"/>
              </w:rPr>
              <w:t>万元</w:t>
            </w:r>
          </w:p>
        </w:tc>
      </w:tr>
      <w:tr>
        <w:tblPrEx>
          <w:tblLayout w:type="fixed"/>
          <w:tblCellMar>
            <w:top w:w="0" w:type="dxa"/>
            <w:left w:w="28" w:type="dxa"/>
            <w:bottom w:w="0" w:type="dxa"/>
            <w:right w:w="28" w:type="dxa"/>
          </w:tblCellMar>
        </w:tblPrEx>
        <w:tc>
          <w:tcPr>
            <w:tcW w:w="318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Rockson Automation GmbH</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收购</w:t>
            </w:r>
          </w:p>
        </w:tc>
        <w:tc>
          <w:tcPr>
            <w:tcW w:w="319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报告期合并范围内实现净利润为亏损</w:t>
            </w:r>
            <w:r>
              <w:rPr>
                <w:szCs w:val="24"/>
              </w:rPr>
              <w:t>112.14</w:t>
            </w:r>
            <w:r>
              <w:rPr>
                <w:rFonts w:hint="eastAsia"/>
                <w:szCs w:val="24"/>
              </w:rPr>
              <w:t>万元</w:t>
            </w:r>
          </w:p>
        </w:tc>
      </w:tr>
    </w:tbl>
    <w:p>
      <w:pPr>
        <w:jc w:val="left"/>
        <w:rPr>
          <w:szCs w:val="24"/>
        </w:rPr>
      </w:pPr>
      <w:r>
        <w:rPr>
          <w:rFonts w:hint="eastAsia"/>
          <w:szCs w:val="24"/>
        </w:rPr>
        <w:t>主要控股参股公司情况说明</w:t>
      </w:r>
    </w:p>
    <w:p>
      <w:pPr>
        <w:autoSpaceDE w:val="0"/>
        <w:autoSpaceDN w:val="0"/>
        <w:adjustRightInd w:val="0"/>
        <w:spacing w:before="0" w:after="0"/>
        <w:ind w:firstLine="422"/>
        <w:jc w:val="left"/>
        <w:rPr>
          <w:rFonts w:eastAsia="Times New Roman"/>
          <w:b/>
          <w:kern w:val="0"/>
          <w:sz w:val="21"/>
          <w:szCs w:val="24"/>
          <w:lang w:val="zh-CN"/>
        </w:rPr>
      </w:pPr>
      <w:r>
        <w:rPr>
          <w:rFonts w:eastAsia="Times New Roman"/>
          <w:b/>
          <w:kern w:val="0"/>
          <w:sz w:val="21"/>
          <w:szCs w:val="24"/>
          <w:lang w:val="zh-CN"/>
        </w:rPr>
        <w:t xml:space="preserve">1. </w:t>
      </w:r>
      <w:r>
        <w:rPr>
          <w:rFonts w:hint="eastAsia" w:ascii="宋体" w:hAnsi="宋体" w:cs="宋体"/>
          <w:b/>
          <w:kern w:val="0"/>
          <w:sz w:val="21"/>
          <w:szCs w:val="24"/>
          <w:lang w:val="zh-CN"/>
        </w:rPr>
        <w:t>江苏海兰船舶电气系统科技有限公司</w:t>
      </w:r>
      <w:r>
        <w:rPr>
          <w:rFonts w:eastAsia="Times New Roman"/>
          <w:b/>
          <w:kern w:val="0"/>
          <w:sz w:val="21"/>
          <w:szCs w:val="24"/>
          <w:lang w:val="zh-CN"/>
        </w:rPr>
        <w:t xml:space="preserve"> </w:t>
      </w:r>
    </w:p>
    <w:p>
      <w:pPr>
        <w:autoSpaceDE w:val="0"/>
        <w:autoSpaceDN w:val="0"/>
        <w:adjustRightInd w:val="0"/>
        <w:spacing w:before="0" w:after="0"/>
        <w:ind w:firstLine="420"/>
        <w:jc w:val="left"/>
        <w:rPr>
          <w:rFonts w:eastAsia="Times New Roman"/>
          <w:kern w:val="0"/>
          <w:sz w:val="21"/>
          <w:szCs w:val="24"/>
          <w:lang w:val="zh-CN"/>
        </w:rPr>
      </w:pPr>
      <w:r>
        <w:rPr>
          <w:rFonts w:hint="eastAsia" w:ascii="宋体" w:hAnsi="宋体" w:cs="宋体"/>
          <w:kern w:val="0"/>
          <w:sz w:val="21"/>
          <w:szCs w:val="24"/>
          <w:lang w:val="zh-CN"/>
        </w:rPr>
        <w:t>注册资本：</w:t>
      </w:r>
      <w:r>
        <w:rPr>
          <w:rFonts w:eastAsia="Times New Roman"/>
          <w:kern w:val="0"/>
          <w:sz w:val="21"/>
          <w:szCs w:val="24"/>
          <w:lang w:val="zh-CN"/>
        </w:rPr>
        <w:t xml:space="preserve"> 10,000</w:t>
      </w:r>
      <w:r>
        <w:rPr>
          <w:rFonts w:hint="eastAsia" w:ascii="宋体" w:hAnsi="宋体" w:cs="宋体"/>
          <w:kern w:val="0"/>
          <w:sz w:val="21"/>
          <w:szCs w:val="24"/>
          <w:lang w:val="zh-CN"/>
        </w:rPr>
        <w:t>万元</w:t>
      </w:r>
      <w:r>
        <w:rPr>
          <w:rFonts w:eastAsia="Times New Roman"/>
          <w:kern w:val="0"/>
          <w:sz w:val="21"/>
          <w:szCs w:val="24"/>
          <w:lang w:val="zh-CN"/>
        </w:rPr>
        <w:t xml:space="preserve"> </w:t>
      </w:r>
    </w:p>
    <w:p>
      <w:pPr>
        <w:autoSpaceDE w:val="0"/>
        <w:autoSpaceDN w:val="0"/>
        <w:adjustRightInd w:val="0"/>
        <w:spacing w:before="0" w:after="0"/>
        <w:ind w:firstLine="420"/>
        <w:jc w:val="left"/>
        <w:rPr>
          <w:rFonts w:eastAsia="Times New Roman"/>
          <w:kern w:val="0"/>
          <w:sz w:val="21"/>
          <w:szCs w:val="24"/>
          <w:lang w:val="zh-CN"/>
        </w:rPr>
      </w:pPr>
      <w:r>
        <w:rPr>
          <w:rFonts w:hint="eastAsia" w:ascii="宋体" w:hAnsi="宋体" w:cs="宋体"/>
          <w:kern w:val="0"/>
          <w:sz w:val="21"/>
          <w:szCs w:val="24"/>
          <w:lang w:val="zh-CN"/>
        </w:rPr>
        <w:t>法定代表人：</w:t>
      </w:r>
      <w:r>
        <w:rPr>
          <w:rFonts w:eastAsia="Times New Roman"/>
          <w:kern w:val="0"/>
          <w:sz w:val="21"/>
          <w:szCs w:val="24"/>
          <w:lang w:val="zh-CN"/>
        </w:rPr>
        <w:t xml:space="preserve"> </w:t>
      </w:r>
      <w:r>
        <w:rPr>
          <w:rFonts w:hint="eastAsia" w:ascii="宋体" w:hAnsi="宋体" w:cs="宋体"/>
          <w:kern w:val="0"/>
          <w:sz w:val="21"/>
          <w:szCs w:val="24"/>
          <w:lang w:val="zh-CN"/>
        </w:rPr>
        <w:t>申万秋</w:t>
      </w:r>
      <w:r>
        <w:rPr>
          <w:rFonts w:eastAsia="Times New Roman"/>
          <w:kern w:val="0"/>
          <w:sz w:val="21"/>
          <w:szCs w:val="24"/>
          <w:lang w:val="zh-CN"/>
        </w:rPr>
        <w:t xml:space="preserve"> </w:t>
      </w:r>
    </w:p>
    <w:p>
      <w:pPr>
        <w:autoSpaceDE w:val="0"/>
        <w:autoSpaceDN w:val="0"/>
        <w:adjustRightInd w:val="0"/>
        <w:spacing w:before="0" w:after="0"/>
        <w:ind w:firstLine="420"/>
        <w:jc w:val="left"/>
        <w:rPr>
          <w:rFonts w:eastAsia="Times New Roman"/>
          <w:kern w:val="0"/>
          <w:sz w:val="21"/>
          <w:szCs w:val="24"/>
          <w:lang w:val="zh-CN"/>
        </w:rPr>
      </w:pPr>
      <w:r>
        <w:rPr>
          <w:rFonts w:hint="eastAsia" w:ascii="宋体" w:hAnsi="宋体" w:cs="宋体"/>
          <w:kern w:val="0"/>
          <w:sz w:val="21"/>
          <w:szCs w:val="24"/>
          <w:lang w:val="zh-CN"/>
        </w:rPr>
        <w:t>成立日期：</w:t>
      </w:r>
      <w:r>
        <w:rPr>
          <w:rFonts w:eastAsia="Times New Roman"/>
          <w:kern w:val="0"/>
          <w:sz w:val="21"/>
          <w:szCs w:val="24"/>
          <w:lang w:val="zh-CN"/>
        </w:rPr>
        <w:t xml:space="preserve"> 2011</w:t>
      </w:r>
      <w:r>
        <w:rPr>
          <w:rFonts w:hint="eastAsia" w:ascii="宋体" w:hAnsi="宋体" w:cs="宋体"/>
          <w:kern w:val="0"/>
          <w:sz w:val="21"/>
          <w:szCs w:val="24"/>
          <w:lang w:val="zh-CN"/>
        </w:rPr>
        <w:t>年</w:t>
      </w:r>
      <w:r>
        <w:rPr>
          <w:rFonts w:eastAsia="Times New Roman"/>
          <w:kern w:val="0"/>
          <w:sz w:val="21"/>
          <w:szCs w:val="24"/>
          <w:lang w:val="zh-CN"/>
        </w:rPr>
        <w:t>3</w:t>
      </w:r>
      <w:r>
        <w:rPr>
          <w:rFonts w:hint="eastAsia" w:ascii="宋体" w:hAnsi="宋体" w:cs="宋体"/>
          <w:kern w:val="0"/>
          <w:sz w:val="21"/>
          <w:szCs w:val="24"/>
          <w:lang w:val="zh-CN"/>
        </w:rPr>
        <w:t>月</w:t>
      </w:r>
      <w:r>
        <w:rPr>
          <w:rFonts w:eastAsia="Times New Roman"/>
          <w:kern w:val="0"/>
          <w:sz w:val="21"/>
          <w:szCs w:val="24"/>
          <w:lang w:val="zh-CN"/>
        </w:rPr>
        <w:t>1</w:t>
      </w:r>
      <w:r>
        <w:rPr>
          <w:rFonts w:hint="eastAsia" w:ascii="宋体" w:hAnsi="宋体" w:cs="宋体"/>
          <w:kern w:val="0"/>
          <w:sz w:val="21"/>
          <w:szCs w:val="24"/>
          <w:lang w:val="zh-CN"/>
        </w:rPr>
        <w:t>日</w:t>
      </w:r>
      <w:r>
        <w:rPr>
          <w:rFonts w:eastAsia="Times New Roman"/>
          <w:kern w:val="0"/>
          <w:sz w:val="21"/>
          <w:szCs w:val="24"/>
          <w:lang w:val="zh-CN"/>
        </w:rPr>
        <w:t xml:space="preserve"> </w:t>
      </w:r>
    </w:p>
    <w:p>
      <w:pPr>
        <w:autoSpaceDE w:val="0"/>
        <w:autoSpaceDN w:val="0"/>
        <w:adjustRightInd w:val="0"/>
        <w:spacing w:before="0" w:after="0"/>
        <w:ind w:firstLine="420"/>
        <w:jc w:val="left"/>
        <w:rPr>
          <w:rFonts w:eastAsia="Times New Roman"/>
          <w:kern w:val="0"/>
          <w:sz w:val="21"/>
          <w:szCs w:val="24"/>
          <w:lang w:val="zh-CN"/>
        </w:rPr>
      </w:pPr>
      <w:r>
        <w:rPr>
          <w:rFonts w:hint="eastAsia" w:ascii="宋体" w:hAnsi="宋体" w:cs="宋体"/>
          <w:kern w:val="0"/>
          <w:sz w:val="21"/>
          <w:szCs w:val="24"/>
          <w:lang w:val="zh-CN"/>
        </w:rPr>
        <w:t>住</w:t>
      </w:r>
      <w:r>
        <w:rPr>
          <w:rFonts w:eastAsia="Times New Roman"/>
          <w:kern w:val="0"/>
          <w:sz w:val="21"/>
          <w:szCs w:val="24"/>
          <w:lang w:val="zh-CN"/>
        </w:rPr>
        <w:t xml:space="preserve"> </w:t>
      </w:r>
      <w:r>
        <w:rPr>
          <w:rFonts w:hint="eastAsia" w:ascii="宋体" w:hAnsi="宋体" w:cs="宋体"/>
          <w:kern w:val="0"/>
          <w:sz w:val="21"/>
          <w:szCs w:val="24"/>
          <w:lang w:val="zh-CN"/>
        </w:rPr>
        <w:t>所：</w:t>
      </w:r>
      <w:r>
        <w:rPr>
          <w:rFonts w:eastAsia="Times New Roman"/>
          <w:kern w:val="0"/>
          <w:sz w:val="21"/>
          <w:szCs w:val="24"/>
          <w:lang w:val="zh-CN"/>
        </w:rPr>
        <w:t xml:space="preserve"> </w:t>
      </w:r>
      <w:r>
        <w:rPr>
          <w:rFonts w:hint="eastAsia" w:ascii="宋体" w:hAnsi="宋体" w:cs="宋体"/>
          <w:kern w:val="0"/>
          <w:sz w:val="21"/>
          <w:szCs w:val="24"/>
          <w:lang w:val="zh-CN"/>
        </w:rPr>
        <w:t>南通市苏通科技产业园纬十四路</w:t>
      </w:r>
      <w:r>
        <w:rPr>
          <w:rFonts w:eastAsia="Times New Roman"/>
          <w:kern w:val="0"/>
          <w:sz w:val="21"/>
          <w:szCs w:val="24"/>
          <w:lang w:val="zh-CN"/>
        </w:rPr>
        <w:t>17</w:t>
      </w:r>
      <w:r>
        <w:rPr>
          <w:rFonts w:hint="eastAsia" w:ascii="宋体" w:hAnsi="宋体" w:cs="宋体"/>
          <w:kern w:val="0"/>
          <w:sz w:val="21"/>
          <w:szCs w:val="24"/>
          <w:lang w:val="zh-CN"/>
        </w:rPr>
        <w:t>号</w:t>
      </w:r>
      <w:r>
        <w:rPr>
          <w:rFonts w:eastAsia="Times New Roman"/>
          <w:kern w:val="0"/>
          <w:sz w:val="21"/>
          <w:szCs w:val="24"/>
          <w:lang w:val="zh-CN"/>
        </w:rPr>
        <w:t xml:space="preserve"> </w:t>
      </w:r>
    </w:p>
    <w:p>
      <w:pPr>
        <w:autoSpaceDE w:val="0"/>
        <w:autoSpaceDN w:val="0"/>
        <w:adjustRightInd w:val="0"/>
        <w:spacing w:before="0" w:after="0"/>
        <w:ind w:firstLine="420"/>
        <w:jc w:val="left"/>
        <w:rPr>
          <w:rFonts w:eastAsia="Times New Roman"/>
          <w:kern w:val="0"/>
          <w:sz w:val="21"/>
          <w:szCs w:val="24"/>
          <w:lang w:val="zh-CN"/>
        </w:rPr>
      </w:pPr>
      <w:r>
        <w:rPr>
          <w:rFonts w:hint="eastAsia" w:ascii="宋体" w:hAnsi="宋体" w:cs="宋体"/>
          <w:kern w:val="0"/>
          <w:sz w:val="21"/>
          <w:szCs w:val="24"/>
          <w:lang w:val="zh-CN"/>
        </w:rPr>
        <w:t>股东构成及控制情况：公司持有其6</w:t>
      </w:r>
      <w:r>
        <w:rPr>
          <w:rFonts w:eastAsia="Times New Roman"/>
          <w:kern w:val="0"/>
          <w:sz w:val="21"/>
          <w:szCs w:val="24"/>
          <w:lang w:val="zh-CN"/>
        </w:rPr>
        <w:t>0%</w:t>
      </w:r>
      <w:r>
        <w:rPr>
          <w:rFonts w:hint="eastAsia" w:ascii="宋体" w:hAnsi="宋体" w:cs="宋体"/>
          <w:kern w:val="0"/>
          <w:sz w:val="21"/>
          <w:szCs w:val="24"/>
          <w:lang w:val="zh-CN"/>
        </w:rPr>
        <w:t>的股权</w:t>
      </w:r>
      <w:r>
        <w:rPr>
          <w:rFonts w:eastAsia="Times New Roman"/>
          <w:kern w:val="0"/>
          <w:sz w:val="21"/>
          <w:szCs w:val="24"/>
          <w:lang w:val="zh-CN"/>
        </w:rPr>
        <w:t xml:space="preserve"> </w:t>
      </w:r>
    </w:p>
    <w:p>
      <w:pPr>
        <w:autoSpaceDE w:val="0"/>
        <w:autoSpaceDN w:val="0"/>
        <w:adjustRightInd w:val="0"/>
        <w:spacing w:before="0" w:after="0"/>
        <w:ind w:firstLine="420"/>
        <w:jc w:val="left"/>
        <w:rPr>
          <w:rFonts w:eastAsia="Times New Roman"/>
          <w:kern w:val="0"/>
          <w:sz w:val="21"/>
          <w:szCs w:val="24"/>
          <w:lang w:val="zh-CN"/>
        </w:rPr>
      </w:pPr>
      <w:r>
        <w:rPr>
          <w:rFonts w:hint="eastAsia" w:ascii="宋体" w:hAnsi="宋体" w:cs="宋体"/>
          <w:kern w:val="0"/>
          <w:sz w:val="21"/>
          <w:szCs w:val="24"/>
          <w:lang w:val="zh-CN"/>
        </w:rPr>
        <w:t>江苏海兰定位于为股东船厂提供船舶电气产品和服务，通过规模化、专业化、模块化降低船厂采购成本，提高船厂效率。报告期内，江苏海兰积极整合配电、自动化、内通等方面的优秀供应商资源，进一步完善包括导航系统、内通系统、机舱自动化、配电系统等在内的综合供应体系，形成了针对不同船东客户的多套电气系统集成方案；同时，公司报告期内成功参与自升式钻井平台的电气系统集成项目，在海洋工程领域取得实质突破；未来江苏海兰将持续加强系统型业务的订单数量及利润水平，持续强化系统集成商品牌。截止</w:t>
      </w:r>
      <w:r>
        <w:rPr>
          <w:rFonts w:eastAsia="Times New Roman"/>
          <w:kern w:val="0"/>
          <w:sz w:val="21"/>
          <w:szCs w:val="24"/>
          <w:lang w:val="zh-CN"/>
        </w:rPr>
        <w:t>2016</w:t>
      </w:r>
      <w:r>
        <w:rPr>
          <w:rFonts w:hint="eastAsia" w:ascii="宋体" w:hAnsi="宋体" w:cs="宋体"/>
          <w:kern w:val="0"/>
          <w:sz w:val="21"/>
          <w:szCs w:val="24"/>
          <w:lang w:val="zh-CN"/>
        </w:rPr>
        <w:t>年</w:t>
      </w:r>
      <w:r>
        <w:rPr>
          <w:rFonts w:eastAsia="Times New Roman"/>
          <w:kern w:val="0"/>
          <w:sz w:val="21"/>
          <w:szCs w:val="24"/>
          <w:lang w:val="zh-CN"/>
        </w:rPr>
        <w:t>12</w:t>
      </w:r>
      <w:r>
        <w:rPr>
          <w:rFonts w:hint="eastAsia" w:ascii="宋体" w:hAnsi="宋体" w:cs="宋体"/>
          <w:kern w:val="0"/>
          <w:sz w:val="21"/>
          <w:szCs w:val="24"/>
          <w:lang w:val="zh-CN"/>
        </w:rPr>
        <w:t>月</w:t>
      </w:r>
      <w:r>
        <w:rPr>
          <w:rFonts w:eastAsia="Times New Roman"/>
          <w:kern w:val="0"/>
          <w:sz w:val="21"/>
          <w:szCs w:val="24"/>
          <w:lang w:val="zh-CN"/>
        </w:rPr>
        <w:t>31</w:t>
      </w:r>
      <w:r>
        <w:rPr>
          <w:rFonts w:hint="eastAsia" w:ascii="宋体" w:hAnsi="宋体" w:cs="宋体"/>
          <w:kern w:val="0"/>
          <w:sz w:val="21"/>
          <w:szCs w:val="24"/>
          <w:lang w:val="zh-CN"/>
        </w:rPr>
        <w:t>日，江苏海兰总资产</w:t>
      </w:r>
      <w:r>
        <w:rPr>
          <w:rFonts w:eastAsia="Times New Roman"/>
          <w:kern w:val="0"/>
          <w:sz w:val="21"/>
          <w:szCs w:val="24"/>
          <w:lang w:val="zh-CN"/>
        </w:rPr>
        <w:t xml:space="preserve"> 163,538,376.07</w:t>
      </w:r>
      <w:r>
        <w:rPr>
          <w:rFonts w:hint="eastAsia" w:ascii="宋体" w:hAnsi="宋体" w:cs="宋体"/>
          <w:kern w:val="0"/>
          <w:sz w:val="21"/>
          <w:szCs w:val="24"/>
          <w:lang w:val="zh-CN"/>
        </w:rPr>
        <w:t>元，净资产</w:t>
      </w:r>
      <w:r>
        <w:rPr>
          <w:rFonts w:eastAsia="Times New Roman"/>
          <w:kern w:val="0"/>
          <w:sz w:val="21"/>
          <w:szCs w:val="24"/>
          <w:lang w:val="zh-CN"/>
        </w:rPr>
        <w:t>114,727,703.92</w:t>
      </w:r>
      <w:r>
        <w:rPr>
          <w:rFonts w:hint="eastAsia" w:ascii="宋体" w:hAnsi="宋体" w:cs="宋体"/>
          <w:kern w:val="0"/>
          <w:sz w:val="21"/>
          <w:szCs w:val="24"/>
          <w:lang w:val="zh-CN"/>
        </w:rPr>
        <w:t>元，营业收入</w:t>
      </w:r>
      <w:r>
        <w:rPr>
          <w:rFonts w:eastAsia="Times New Roman"/>
          <w:kern w:val="0"/>
          <w:sz w:val="21"/>
          <w:szCs w:val="24"/>
          <w:lang w:val="zh-CN"/>
        </w:rPr>
        <w:t xml:space="preserve"> 35,531,375.39</w:t>
      </w:r>
      <w:r>
        <w:rPr>
          <w:rFonts w:hint="eastAsia" w:ascii="宋体" w:hAnsi="宋体" w:cs="宋体"/>
          <w:kern w:val="0"/>
          <w:sz w:val="21"/>
          <w:szCs w:val="24"/>
          <w:lang w:val="zh-CN"/>
        </w:rPr>
        <w:t>元，净利润</w:t>
      </w:r>
      <w:r>
        <w:rPr>
          <w:rFonts w:eastAsia="Times New Roman"/>
          <w:kern w:val="0"/>
          <w:sz w:val="21"/>
          <w:szCs w:val="24"/>
          <w:lang w:val="zh-CN"/>
        </w:rPr>
        <w:t xml:space="preserve"> 3,941,163.54</w:t>
      </w:r>
      <w:r>
        <w:rPr>
          <w:rFonts w:hint="eastAsia" w:ascii="宋体" w:hAnsi="宋体" w:cs="宋体"/>
          <w:kern w:val="0"/>
          <w:sz w:val="21"/>
          <w:szCs w:val="24"/>
          <w:lang w:val="zh-CN"/>
        </w:rPr>
        <w:t>元。</w:t>
      </w:r>
    </w:p>
    <w:p>
      <w:pPr>
        <w:autoSpaceDE w:val="0"/>
        <w:autoSpaceDN w:val="0"/>
        <w:adjustRightInd w:val="0"/>
        <w:spacing w:before="0" w:after="0"/>
        <w:ind w:firstLine="422"/>
        <w:jc w:val="left"/>
        <w:rPr>
          <w:rFonts w:eastAsia="Times New Roman"/>
          <w:b/>
          <w:kern w:val="0"/>
          <w:sz w:val="21"/>
          <w:szCs w:val="24"/>
          <w:lang w:val="zh-CN"/>
        </w:rPr>
      </w:pPr>
      <w:r>
        <w:rPr>
          <w:rFonts w:eastAsia="Times New Roman"/>
          <w:b/>
          <w:kern w:val="0"/>
          <w:sz w:val="21"/>
          <w:szCs w:val="24"/>
          <w:lang w:val="zh-CN"/>
        </w:rPr>
        <w:t xml:space="preserve">2. </w:t>
      </w:r>
      <w:r>
        <w:rPr>
          <w:rFonts w:hint="eastAsia" w:ascii="宋体" w:hAnsi="宋体" w:cs="宋体"/>
          <w:b/>
          <w:kern w:val="0"/>
          <w:sz w:val="21"/>
          <w:szCs w:val="24"/>
          <w:lang w:val="zh-CN"/>
        </w:rPr>
        <w:t>劳雷海洋系统有限公司</w:t>
      </w:r>
    </w:p>
    <w:p>
      <w:pPr>
        <w:autoSpaceDE w:val="0"/>
        <w:autoSpaceDN w:val="0"/>
        <w:adjustRightInd w:val="0"/>
        <w:spacing w:before="0" w:after="0"/>
        <w:ind w:firstLine="420"/>
        <w:jc w:val="left"/>
        <w:rPr>
          <w:rFonts w:eastAsia="Times New Roman"/>
          <w:kern w:val="0"/>
          <w:sz w:val="21"/>
          <w:szCs w:val="24"/>
          <w:lang w:val="zh-CN"/>
        </w:rPr>
      </w:pPr>
      <w:r>
        <w:rPr>
          <w:rFonts w:hint="eastAsia" w:ascii="宋体" w:hAnsi="宋体" w:cs="宋体"/>
          <w:kern w:val="0"/>
          <w:sz w:val="21"/>
          <w:szCs w:val="24"/>
          <w:lang w:val="zh-CN"/>
        </w:rPr>
        <w:t>注册资本：</w:t>
      </w:r>
      <w:r>
        <w:rPr>
          <w:rFonts w:eastAsia="Times New Roman"/>
          <w:kern w:val="0"/>
          <w:sz w:val="21"/>
          <w:szCs w:val="24"/>
          <w:lang w:val="zh-CN"/>
        </w:rPr>
        <w:t>300</w:t>
      </w:r>
      <w:r>
        <w:rPr>
          <w:rFonts w:hint="eastAsia" w:ascii="宋体" w:hAnsi="宋体" w:cs="宋体"/>
          <w:kern w:val="0"/>
          <w:sz w:val="21"/>
          <w:szCs w:val="24"/>
          <w:lang w:val="zh-CN"/>
        </w:rPr>
        <w:t>万港币</w:t>
      </w:r>
    </w:p>
    <w:p>
      <w:pPr>
        <w:autoSpaceDE w:val="0"/>
        <w:autoSpaceDN w:val="0"/>
        <w:adjustRightInd w:val="0"/>
        <w:spacing w:before="0" w:after="0"/>
        <w:ind w:firstLine="420"/>
        <w:jc w:val="left"/>
        <w:rPr>
          <w:rFonts w:eastAsia="Times New Roman"/>
          <w:kern w:val="0"/>
          <w:sz w:val="21"/>
          <w:szCs w:val="24"/>
          <w:lang w:val="zh-CN"/>
        </w:rPr>
      </w:pPr>
      <w:r>
        <w:rPr>
          <w:rFonts w:hint="eastAsia" w:ascii="宋体" w:hAnsi="宋体" w:cs="宋体"/>
          <w:kern w:val="0"/>
          <w:sz w:val="21"/>
          <w:szCs w:val="24"/>
          <w:lang w:val="zh-CN"/>
        </w:rPr>
        <w:t>法定代表人：申万秋</w:t>
      </w:r>
    </w:p>
    <w:p>
      <w:pPr>
        <w:autoSpaceDE w:val="0"/>
        <w:autoSpaceDN w:val="0"/>
        <w:adjustRightInd w:val="0"/>
        <w:spacing w:before="0" w:after="0"/>
        <w:ind w:firstLine="420"/>
        <w:jc w:val="left"/>
        <w:rPr>
          <w:rFonts w:eastAsia="Times New Roman"/>
          <w:kern w:val="0"/>
          <w:sz w:val="21"/>
          <w:szCs w:val="24"/>
          <w:lang w:val="zh-CN"/>
        </w:rPr>
      </w:pPr>
      <w:r>
        <w:rPr>
          <w:rFonts w:hint="eastAsia" w:ascii="宋体" w:hAnsi="宋体" w:cs="宋体"/>
          <w:kern w:val="0"/>
          <w:sz w:val="21"/>
          <w:szCs w:val="24"/>
          <w:lang w:val="zh-CN"/>
        </w:rPr>
        <w:t>成立日期：</w:t>
      </w:r>
      <w:r>
        <w:rPr>
          <w:rFonts w:eastAsia="Times New Roman"/>
          <w:kern w:val="0"/>
          <w:sz w:val="21"/>
          <w:szCs w:val="24"/>
          <w:lang w:val="zh-CN"/>
        </w:rPr>
        <w:t>2003</w:t>
      </w:r>
      <w:r>
        <w:rPr>
          <w:rFonts w:hint="eastAsia" w:ascii="宋体" w:hAnsi="宋体" w:cs="宋体"/>
          <w:kern w:val="0"/>
          <w:sz w:val="21"/>
          <w:szCs w:val="24"/>
          <w:lang w:val="zh-CN"/>
        </w:rPr>
        <w:t>年</w:t>
      </w:r>
      <w:r>
        <w:rPr>
          <w:rFonts w:eastAsia="Times New Roman"/>
          <w:kern w:val="0"/>
          <w:sz w:val="21"/>
          <w:szCs w:val="24"/>
          <w:lang w:val="zh-CN"/>
        </w:rPr>
        <w:t>8</w:t>
      </w:r>
      <w:r>
        <w:rPr>
          <w:rFonts w:hint="eastAsia" w:ascii="宋体" w:hAnsi="宋体" w:cs="宋体"/>
          <w:kern w:val="0"/>
          <w:sz w:val="21"/>
          <w:szCs w:val="24"/>
          <w:lang w:val="zh-CN"/>
        </w:rPr>
        <w:t>月</w:t>
      </w:r>
      <w:r>
        <w:rPr>
          <w:rFonts w:eastAsia="Times New Roman"/>
          <w:kern w:val="0"/>
          <w:sz w:val="21"/>
          <w:szCs w:val="24"/>
          <w:lang w:val="zh-CN"/>
        </w:rPr>
        <w:t>25</w:t>
      </w:r>
      <w:r>
        <w:rPr>
          <w:rFonts w:hint="eastAsia" w:ascii="宋体" w:hAnsi="宋体" w:cs="宋体"/>
          <w:kern w:val="0"/>
          <w:sz w:val="21"/>
          <w:szCs w:val="24"/>
          <w:lang w:val="zh-CN"/>
        </w:rPr>
        <w:t>日</w:t>
      </w:r>
    </w:p>
    <w:p>
      <w:pPr>
        <w:autoSpaceDE w:val="0"/>
        <w:autoSpaceDN w:val="0"/>
        <w:adjustRightInd w:val="0"/>
        <w:spacing w:before="0" w:after="0"/>
        <w:ind w:firstLine="420"/>
        <w:jc w:val="left"/>
        <w:rPr>
          <w:rFonts w:eastAsia="Times New Roman"/>
          <w:kern w:val="0"/>
          <w:sz w:val="21"/>
          <w:szCs w:val="24"/>
          <w:lang w:val="zh-CN"/>
        </w:rPr>
      </w:pPr>
      <w:r>
        <w:rPr>
          <w:rFonts w:hint="eastAsia" w:ascii="宋体" w:hAnsi="宋体" w:cs="宋体"/>
          <w:kern w:val="0"/>
          <w:sz w:val="21"/>
          <w:szCs w:val="24"/>
          <w:lang w:val="zh-CN"/>
        </w:rPr>
        <w:t>住</w:t>
      </w:r>
      <w:r>
        <w:rPr>
          <w:rFonts w:eastAsia="Times New Roman"/>
          <w:kern w:val="0"/>
          <w:sz w:val="21"/>
          <w:szCs w:val="24"/>
          <w:lang w:val="zh-CN"/>
        </w:rPr>
        <w:t xml:space="preserve"> </w:t>
      </w:r>
      <w:r>
        <w:rPr>
          <w:rFonts w:hint="eastAsia" w:ascii="宋体" w:hAnsi="宋体" w:cs="宋体"/>
          <w:kern w:val="0"/>
          <w:sz w:val="21"/>
          <w:szCs w:val="24"/>
          <w:lang w:val="zh-CN"/>
        </w:rPr>
        <w:t>所：香港筲箕湾南安街</w:t>
      </w:r>
      <w:r>
        <w:rPr>
          <w:rFonts w:eastAsia="Times New Roman"/>
          <w:kern w:val="0"/>
          <w:sz w:val="21"/>
          <w:szCs w:val="24"/>
          <w:lang w:val="zh-CN"/>
        </w:rPr>
        <w:t>83</w:t>
      </w:r>
      <w:r>
        <w:rPr>
          <w:rFonts w:hint="eastAsia" w:ascii="宋体" w:hAnsi="宋体" w:cs="宋体"/>
          <w:kern w:val="0"/>
          <w:sz w:val="21"/>
          <w:szCs w:val="24"/>
          <w:lang w:val="zh-CN"/>
        </w:rPr>
        <w:t>号海安商业中心</w:t>
      </w:r>
      <w:r>
        <w:rPr>
          <w:rFonts w:eastAsia="Times New Roman"/>
          <w:kern w:val="0"/>
          <w:sz w:val="21"/>
          <w:szCs w:val="24"/>
          <w:lang w:val="zh-CN"/>
        </w:rPr>
        <w:t>15</w:t>
      </w:r>
      <w:r>
        <w:rPr>
          <w:rFonts w:hint="eastAsia" w:ascii="宋体" w:hAnsi="宋体" w:cs="宋体"/>
          <w:kern w:val="0"/>
          <w:sz w:val="21"/>
          <w:szCs w:val="24"/>
          <w:lang w:val="zh-CN"/>
        </w:rPr>
        <w:t>层</w:t>
      </w:r>
      <w:r>
        <w:rPr>
          <w:rFonts w:eastAsia="Times New Roman"/>
          <w:kern w:val="0"/>
          <w:sz w:val="21"/>
          <w:szCs w:val="24"/>
          <w:lang w:val="zh-CN"/>
        </w:rPr>
        <w:t>A</w:t>
      </w:r>
      <w:r>
        <w:rPr>
          <w:rFonts w:hint="eastAsia" w:ascii="宋体" w:hAnsi="宋体" w:cs="宋体"/>
          <w:kern w:val="0"/>
          <w:sz w:val="21"/>
          <w:szCs w:val="24"/>
          <w:lang w:val="zh-CN"/>
        </w:rPr>
        <w:t>室</w:t>
      </w:r>
    </w:p>
    <w:p>
      <w:pPr>
        <w:autoSpaceDE w:val="0"/>
        <w:autoSpaceDN w:val="0"/>
        <w:adjustRightInd w:val="0"/>
        <w:spacing w:before="0" w:after="0"/>
        <w:ind w:firstLine="420"/>
        <w:jc w:val="left"/>
        <w:rPr>
          <w:rFonts w:eastAsia="Times New Roman"/>
          <w:kern w:val="0"/>
          <w:sz w:val="21"/>
          <w:szCs w:val="24"/>
          <w:lang w:val="zh-CN"/>
        </w:rPr>
      </w:pPr>
      <w:r>
        <w:rPr>
          <w:rFonts w:hint="eastAsia" w:ascii="宋体" w:hAnsi="宋体" w:cs="宋体"/>
          <w:kern w:val="0"/>
          <w:sz w:val="21"/>
          <w:szCs w:val="24"/>
          <w:lang w:val="zh-CN"/>
        </w:rPr>
        <w:t>股东构成及控制情况：公司持有其</w:t>
      </w:r>
      <w:r>
        <w:rPr>
          <w:rFonts w:eastAsia="Times New Roman"/>
          <w:kern w:val="0"/>
          <w:sz w:val="21"/>
          <w:szCs w:val="24"/>
          <w:lang w:val="zh-CN"/>
        </w:rPr>
        <w:t>55%</w:t>
      </w:r>
      <w:r>
        <w:rPr>
          <w:rFonts w:hint="eastAsia" w:ascii="宋体" w:hAnsi="宋体" w:cs="宋体"/>
          <w:kern w:val="0"/>
          <w:sz w:val="21"/>
          <w:szCs w:val="24"/>
          <w:lang w:val="zh-CN"/>
        </w:rPr>
        <w:t>的股权</w:t>
      </w:r>
    </w:p>
    <w:p>
      <w:pPr>
        <w:autoSpaceDE w:val="0"/>
        <w:autoSpaceDN w:val="0"/>
        <w:adjustRightInd w:val="0"/>
        <w:spacing w:before="0" w:after="0"/>
        <w:ind w:firstLine="420"/>
        <w:jc w:val="left"/>
        <w:rPr>
          <w:rFonts w:eastAsia="Times New Roman"/>
          <w:kern w:val="0"/>
          <w:sz w:val="21"/>
          <w:szCs w:val="24"/>
          <w:lang w:val="zh-CN"/>
        </w:rPr>
      </w:pPr>
      <w:r>
        <w:rPr>
          <w:rFonts w:hint="eastAsia" w:ascii="宋体" w:hAnsi="宋体" w:cs="宋体"/>
          <w:kern w:val="0"/>
          <w:sz w:val="21"/>
          <w:szCs w:val="24"/>
          <w:lang w:val="zh-CN"/>
        </w:rPr>
        <w:t>公司定位于海洋调查行业，是海洋调查系统解决方案提供商，主要提供全球高端海洋调查仪器系统集成及技术服务。截止</w:t>
      </w:r>
      <w:r>
        <w:rPr>
          <w:rFonts w:eastAsia="Times New Roman"/>
          <w:kern w:val="0"/>
          <w:sz w:val="21"/>
          <w:szCs w:val="24"/>
          <w:lang w:val="zh-CN"/>
        </w:rPr>
        <w:t>2016</w:t>
      </w:r>
      <w:r>
        <w:rPr>
          <w:rFonts w:hint="eastAsia" w:ascii="宋体" w:hAnsi="宋体" w:cs="宋体"/>
          <w:kern w:val="0"/>
          <w:sz w:val="21"/>
          <w:szCs w:val="24"/>
          <w:lang w:val="zh-CN"/>
        </w:rPr>
        <w:t>年</w:t>
      </w:r>
      <w:r>
        <w:rPr>
          <w:rFonts w:eastAsia="Times New Roman"/>
          <w:kern w:val="0"/>
          <w:sz w:val="21"/>
          <w:szCs w:val="24"/>
          <w:lang w:val="zh-CN"/>
        </w:rPr>
        <w:t>12</w:t>
      </w:r>
      <w:r>
        <w:rPr>
          <w:rFonts w:hint="eastAsia" w:ascii="宋体" w:hAnsi="宋体" w:cs="宋体"/>
          <w:kern w:val="0"/>
          <w:sz w:val="21"/>
          <w:szCs w:val="24"/>
          <w:lang w:val="zh-CN"/>
        </w:rPr>
        <w:t>月</w:t>
      </w:r>
      <w:r>
        <w:rPr>
          <w:rFonts w:eastAsia="Times New Roman"/>
          <w:kern w:val="0"/>
          <w:sz w:val="21"/>
          <w:szCs w:val="24"/>
          <w:lang w:val="zh-CN"/>
        </w:rPr>
        <w:t>31</w:t>
      </w:r>
      <w:r>
        <w:rPr>
          <w:rFonts w:hint="eastAsia" w:ascii="宋体" w:hAnsi="宋体" w:cs="宋体"/>
          <w:kern w:val="0"/>
          <w:sz w:val="21"/>
          <w:szCs w:val="24"/>
          <w:lang w:val="zh-CN"/>
        </w:rPr>
        <w:t>日，公司总资产</w:t>
      </w:r>
      <w:r>
        <w:rPr>
          <w:rFonts w:eastAsia="Times New Roman"/>
          <w:kern w:val="0"/>
          <w:sz w:val="21"/>
          <w:szCs w:val="24"/>
          <w:lang w:val="zh-CN"/>
        </w:rPr>
        <w:t>26,0903,326.35</w:t>
      </w:r>
      <w:r>
        <w:rPr>
          <w:rFonts w:hint="eastAsia" w:ascii="宋体" w:hAnsi="宋体" w:cs="宋体"/>
          <w:kern w:val="0"/>
          <w:sz w:val="21"/>
          <w:szCs w:val="24"/>
          <w:lang w:val="zh-CN"/>
        </w:rPr>
        <w:t>元，净资产</w:t>
      </w:r>
      <w:r>
        <w:rPr>
          <w:rFonts w:eastAsia="Times New Roman"/>
          <w:kern w:val="0"/>
          <w:sz w:val="21"/>
          <w:szCs w:val="24"/>
          <w:lang w:val="zh-CN"/>
        </w:rPr>
        <w:t>150,832,998.71</w:t>
      </w:r>
      <w:r>
        <w:rPr>
          <w:rFonts w:hint="eastAsia" w:ascii="宋体" w:hAnsi="宋体" w:cs="宋体"/>
          <w:kern w:val="0"/>
          <w:sz w:val="21"/>
          <w:szCs w:val="24"/>
          <w:lang w:val="zh-CN"/>
        </w:rPr>
        <w:t>元，营业收入</w:t>
      </w:r>
      <w:r>
        <w:rPr>
          <w:rFonts w:eastAsia="Times New Roman"/>
          <w:kern w:val="0"/>
          <w:sz w:val="21"/>
          <w:szCs w:val="24"/>
          <w:lang w:val="zh-CN"/>
        </w:rPr>
        <w:t>400,220,294.76</w:t>
      </w:r>
      <w:r>
        <w:rPr>
          <w:rFonts w:hint="eastAsia" w:ascii="宋体" w:hAnsi="宋体" w:cs="宋体"/>
          <w:kern w:val="0"/>
          <w:sz w:val="21"/>
          <w:szCs w:val="24"/>
          <w:lang w:val="zh-CN"/>
        </w:rPr>
        <w:t>元，净利润</w:t>
      </w:r>
      <w:r>
        <w:rPr>
          <w:rFonts w:eastAsia="Times New Roman"/>
          <w:kern w:val="0"/>
          <w:sz w:val="21"/>
          <w:szCs w:val="24"/>
          <w:lang w:val="zh-CN"/>
        </w:rPr>
        <w:t>50,257,288.37</w:t>
      </w:r>
      <w:r>
        <w:rPr>
          <w:rFonts w:hint="eastAsia" w:ascii="宋体" w:hAnsi="宋体" w:cs="宋体"/>
          <w:kern w:val="0"/>
          <w:sz w:val="21"/>
          <w:szCs w:val="24"/>
          <w:lang w:val="zh-CN"/>
        </w:rPr>
        <w:t>元。</w:t>
      </w:r>
    </w:p>
    <w:p>
      <w:pPr>
        <w:autoSpaceDE w:val="0"/>
        <w:autoSpaceDN w:val="0"/>
        <w:adjustRightInd w:val="0"/>
        <w:spacing w:before="0" w:after="0"/>
        <w:ind w:firstLine="422"/>
        <w:jc w:val="left"/>
        <w:rPr>
          <w:rFonts w:eastAsia="Times New Roman"/>
          <w:kern w:val="0"/>
          <w:sz w:val="21"/>
          <w:szCs w:val="24"/>
          <w:lang w:val="zh-CN"/>
        </w:rPr>
      </w:pPr>
      <w:r>
        <w:rPr>
          <w:rFonts w:eastAsia="Times New Roman"/>
          <w:b/>
          <w:kern w:val="0"/>
          <w:sz w:val="21"/>
          <w:szCs w:val="24"/>
          <w:lang w:val="zh-CN"/>
        </w:rPr>
        <w:t xml:space="preserve">3. </w:t>
      </w:r>
      <w:r>
        <w:rPr>
          <w:rFonts w:hint="eastAsia" w:ascii="宋体" w:hAnsi="宋体" w:cs="宋体"/>
          <w:b/>
          <w:kern w:val="0"/>
          <w:sz w:val="21"/>
          <w:szCs w:val="24"/>
          <w:lang w:val="zh-CN"/>
        </w:rPr>
        <w:t>广东蓝图信息技术有限公司</w:t>
      </w:r>
    </w:p>
    <w:p>
      <w:pPr>
        <w:autoSpaceDE w:val="0"/>
        <w:autoSpaceDN w:val="0"/>
        <w:adjustRightInd w:val="0"/>
        <w:spacing w:before="0" w:after="0"/>
        <w:ind w:firstLine="420"/>
        <w:jc w:val="left"/>
        <w:rPr>
          <w:rFonts w:eastAsia="Times New Roman"/>
          <w:kern w:val="0"/>
          <w:sz w:val="21"/>
          <w:szCs w:val="24"/>
          <w:lang w:val="zh-CN"/>
        </w:rPr>
      </w:pPr>
      <w:r>
        <w:rPr>
          <w:rFonts w:hint="eastAsia" w:ascii="宋体" w:hAnsi="宋体" w:cs="宋体"/>
          <w:kern w:val="0"/>
          <w:sz w:val="21"/>
          <w:szCs w:val="24"/>
          <w:lang w:val="zh-CN"/>
        </w:rPr>
        <w:t>注册资本：</w:t>
      </w:r>
      <w:r>
        <w:rPr>
          <w:rFonts w:eastAsia="Times New Roman"/>
          <w:kern w:val="0"/>
          <w:sz w:val="21"/>
          <w:szCs w:val="24"/>
          <w:lang w:val="zh-CN"/>
        </w:rPr>
        <w:t>500</w:t>
      </w:r>
      <w:r>
        <w:rPr>
          <w:rFonts w:hint="eastAsia" w:ascii="宋体" w:hAnsi="宋体" w:cs="宋体"/>
          <w:kern w:val="0"/>
          <w:sz w:val="21"/>
          <w:szCs w:val="24"/>
          <w:lang w:val="zh-CN"/>
        </w:rPr>
        <w:t>万</w:t>
      </w:r>
    </w:p>
    <w:p>
      <w:pPr>
        <w:autoSpaceDE w:val="0"/>
        <w:autoSpaceDN w:val="0"/>
        <w:adjustRightInd w:val="0"/>
        <w:spacing w:before="0" w:after="0"/>
        <w:ind w:firstLine="420"/>
        <w:jc w:val="left"/>
        <w:rPr>
          <w:rFonts w:eastAsia="Times New Roman"/>
          <w:kern w:val="0"/>
          <w:sz w:val="21"/>
          <w:szCs w:val="24"/>
          <w:lang w:val="zh-CN"/>
        </w:rPr>
      </w:pPr>
      <w:r>
        <w:rPr>
          <w:rFonts w:hint="eastAsia" w:ascii="宋体" w:hAnsi="宋体" w:cs="宋体"/>
          <w:kern w:val="0"/>
          <w:sz w:val="21"/>
          <w:szCs w:val="24"/>
          <w:lang w:val="zh-CN"/>
        </w:rPr>
        <w:t>法定代表人：杨政</w:t>
      </w:r>
    </w:p>
    <w:p>
      <w:pPr>
        <w:autoSpaceDE w:val="0"/>
        <w:autoSpaceDN w:val="0"/>
        <w:adjustRightInd w:val="0"/>
        <w:spacing w:before="0" w:after="0"/>
        <w:ind w:firstLine="420"/>
        <w:jc w:val="left"/>
        <w:rPr>
          <w:rFonts w:eastAsia="Times New Roman"/>
          <w:kern w:val="0"/>
          <w:sz w:val="21"/>
          <w:szCs w:val="24"/>
          <w:lang w:val="zh-CN"/>
        </w:rPr>
      </w:pPr>
      <w:r>
        <w:rPr>
          <w:rFonts w:hint="eastAsia" w:ascii="宋体" w:hAnsi="宋体" w:cs="宋体"/>
          <w:kern w:val="0"/>
          <w:sz w:val="21"/>
          <w:szCs w:val="24"/>
          <w:lang w:val="zh-CN"/>
        </w:rPr>
        <w:t>成立日期：</w:t>
      </w:r>
      <w:r>
        <w:rPr>
          <w:rFonts w:eastAsia="Times New Roman"/>
          <w:kern w:val="0"/>
          <w:sz w:val="21"/>
          <w:szCs w:val="24"/>
          <w:lang w:val="zh-CN"/>
        </w:rPr>
        <w:t>2000</w:t>
      </w:r>
      <w:r>
        <w:rPr>
          <w:rFonts w:hint="eastAsia" w:ascii="宋体" w:hAnsi="宋体" w:cs="宋体"/>
          <w:kern w:val="0"/>
          <w:sz w:val="21"/>
          <w:szCs w:val="24"/>
          <w:lang w:val="zh-CN"/>
        </w:rPr>
        <w:t>年</w:t>
      </w:r>
      <w:r>
        <w:rPr>
          <w:rFonts w:eastAsia="Times New Roman"/>
          <w:kern w:val="0"/>
          <w:sz w:val="21"/>
          <w:szCs w:val="24"/>
          <w:lang w:val="zh-CN"/>
        </w:rPr>
        <w:t>12</w:t>
      </w:r>
      <w:r>
        <w:rPr>
          <w:rFonts w:hint="eastAsia" w:ascii="宋体" w:hAnsi="宋体" w:cs="宋体"/>
          <w:kern w:val="0"/>
          <w:sz w:val="21"/>
          <w:szCs w:val="24"/>
          <w:lang w:val="zh-CN"/>
        </w:rPr>
        <w:t>月</w:t>
      </w:r>
      <w:r>
        <w:rPr>
          <w:rFonts w:eastAsia="Times New Roman"/>
          <w:kern w:val="0"/>
          <w:sz w:val="21"/>
          <w:szCs w:val="24"/>
          <w:lang w:val="zh-CN"/>
        </w:rPr>
        <w:t>05</w:t>
      </w:r>
      <w:r>
        <w:rPr>
          <w:rFonts w:hint="eastAsia" w:ascii="宋体" w:hAnsi="宋体" w:cs="宋体"/>
          <w:kern w:val="0"/>
          <w:sz w:val="21"/>
          <w:szCs w:val="24"/>
          <w:lang w:val="zh-CN"/>
        </w:rPr>
        <w:t>日</w:t>
      </w:r>
    </w:p>
    <w:p>
      <w:pPr>
        <w:autoSpaceDE w:val="0"/>
        <w:autoSpaceDN w:val="0"/>
        <w:adjustRightInd w:val="0"/>
        <w:spacing w:before="0" w:after="0"/>
        <w:ind w:firstLine="420"/>
        <w:jc w:val="left"/>
        <w:rPr>
          <w:rFonts w:eastAsia="Times New Roman"/>
          <w:kern w:val="0"/>
          <w:sz w:val="21"/>
          <w:szCs w:val="24"/>
          <w:lang w:val="zh-CN"/>
        </w:rPr>
      </w:pPr>
      <w:r>
        <w:rPr>
          <w:rFonts w:hint="eastAsia" w:ascii="宋体" w:hAnsi="宋体" w:cs="宋体"/>
          <w:kern w:val="0"/>
          <w:sz w:val="21"/>
          <w:szCs w:val="24"/>
          <w:lang w:val="zh-CN"/>
        </w:rPr>
        <w:t>住</w:t>
      </w:r>
      <w:r>
        <w:rPr>
          <w:rFonts w:eastAsia="Times New Roman"/>
          <w:kern w:val="0"/>
          <w:sz w:val="21"/>
          <w:szCs w:val="24"/>
          <w:lang w:val="zh-CN"/>
        </w:rPr>
        <w:t> </w:t>
      </w:r>
      <w:r>
        <w:rPr>
          <w:rFonts w:hint="eastAsia" w:ascii="宋体" w:hAnsi="宋体" w:cs="宋体"/>
          <w:kern w:val="0"/>
          <w:sz w:val="21"/>
          <w:szCs w:val="24"/>
          <w:lang w:val="zh-CN"/>
        </w:rPr>
        <w:t>所：广州市天河区高新技术开发区首期工业园建中路</w:t>
      </w:r>
      <w:r>
        <w:rPr>
          <w:rFonts w:eastAsia="Times New Roman"/>
          <w:kern w:val="0"/>
          <w:sz w:val="21"/>
          <w:szCs w:val="24"/>
          <w:lang w:val="zh-CN"/>
        </w:rPr>
        <w:t>62</w:t>
      </w:r>
      <w:r>
        <w:rPr>
          <w:rFonts w:hint="eastAsia" w:ascii="宋体" w:hAnsi="宋体" w:cs="宋体"/>
          <w:kern w:val="0"/>
          <w:sz w:val="21"/>
          <w:szCs w:val="24"/>
          <w:lang w:val="zh-CN"/>
        </w:rPr>
        <w:t>号</w:t>
      </w:r>
      <w:r>
        <w:rPr>
          <w:rFonts w:eastAsia="Times New Roman"/>
          <w:kern w:val="0"/>
          <w:sz w:val="21"/>
          <w:szCs w:val="24"/>
          <w:lang w:val="zh-CN"/>
        </w:rPr>
        <w:t>6</w:t>
      </w:r>
      <w:r>
        <w:rPr>
          <w:rFonts w:hint="eastAsia" w:ascii="宋体" w:hAnsi="宋体" w:cs="宋体"/>
          <w:kern w:val="0"/>
          <w:sz w:val="21"/>
          <w:szCs w:val="24"/>
          <w:lang w:val="zh-CN"/>
        </w:rPr>
        <w:t>楼</w:t>
      </w:r>
    </w:p>
    <w:p>
      <w:pPr>
        <w:autoSpaceDE w:val="0"/>
        <w:autoSpaceDN w:val="0"/>
        <w:adjustRightInd w:val="0"/>
        <w:spacing w:before="0" w:after="0"/>
        <w:ind w:firstLine="420"/>
        <w:jc w:val="left"/>
        <w:rPr>
          <w:rFonts w:eastAsia="Times New Roman"/>
          <w:kern w:val="0"/>
          <w:sz w:val="21"/>
          <w:szCs w:val="24"/>
          <w:lang w:val="zh-CN"/>
        </w:rPr>
      </w:pPr>
      <w:r>
        <w:rPr>
          <w:rFonts w:hint="eastAsia" w:ascii="宋体" w:hAnsi="宋体" w:cs="宋体"/>
          <w:kern w:val="0"/>
          <w:sz w:val="21"/>
          <w:szCs w:val="24"/>
          <w:lang w:val="zh-CN"/>
        </w:rPr>
        <w:t>股东构成及控制情况：公司持有其</w:t>
      </w:r>
      <w:r>
        <w:rPr>
          <w:rFonts w:eastAsia="Times New Roman"/>
          <w:kern w:val="0"/>
          <w:sz w:val="21"/>
          <w:szCs w:val="24"/>
          <w:lang w:val="zh-CN"/>
        </w:rPr>
        <w:t xml:space="preserve"> 65%</w:t>
      </w:r>
      <w:r>
        <w:rPr>
          <w:rFonts w:hint="eastAsia" w:ascii="宋体" w:hAnsi="宋体" w:cs="宋体"/>
          <w:kern w:val="0"/>
          <w:sz w:val="21"/>
          <w:szCs w:val="24"/>
          <w:lang w:val="zh-CN"/>
        </w:rPr>
        <w:t>的股权</w:t>
      </w:r>
    </w:p>
    <w:p>
      <w:pPr>
        <w:autoSpaceDE w:val="0"/>
        <w:autoSpaceDN w:val="0"/>
        <w:adjustRightInd w:val="0"/>
        <w:spacing w:before="0" w:after="0"/>
        <w:ind w:firstLine="420"/>
        <w:jc w:val="left"/>
        <w:rPr>
          <w:rFonts w:eastAsia="Times New Roman"/>
          <w:kern w:val="0"/>
          <w:sz w:val="21"/>
          <w:szCs w:val="24"/>
          <w:lang w:val="zh-CN"/>
        </w:rPr>
      </w:pPr>
      <w:r>
        <w:rPr>
          <w:rFonts w:hint="eastAsia" w:ascii="宋体" w:hAnsi="宋体" w:cs="宋体"/>
          <w:kern w:val="0"/>
          <w:sz w:val="21"/>
          <w:szCs w:val="24"/>
          <w:lang w:val="zh-CN"/>
        </w:rPr>
        <w:t>公司定位于海洋信息系统行业，是海洋信息系统解决方案提供商。截止</w:t>
      </w:r>
      <w:r>
        <w:rPr>
          <w:rFonts w:eastAsia="Times New Roman"/>
          <w:kern w:val="0"/>
          <w:sz w:val="21"/>
          <w:szCs w:val="24"/>
          <w:lang w:val="zh-CN"/>
        </w:rPr>
        <w:t>2016</w:t>
      </w:r>
      <w:r>
        <w:rPr>
          <w:rFonts w:hint="eastAsia" w:ascii="宋体" w:hAnsi="宋体" w:cs="宋体"/>
          <w:kern w:val="0"/>
          <w:sz w:val="21"/>
          <w:szCs w:val="24"/>
          <w:lang w:val="zh-CN"/>
        </w:rPr>
        <w:t>年</w:t>
      </w:r>
      <w:r>
        <w:rPr>
          <w:rFonts w:eastAsia="Times New Roman"/>
          <w:kern w:val="0"/>
          <w:sz w:val="21"/>
          <w:szCs w:val="24"/>
          <w:lang w:val="zh-CN"/>
        </w:rPr>
        <w:t>12</w:t>
      </w:r>
      <w:r>
        <w:rPr>
          <w:rFonts w:hint="eastAsia" w:ascii="宋体" w:hAnsi="宋体" w:cs="宋体"/>
          <w:kern w:val="0"/>
          <w:sz w:val="21"/>
          <w:szCs w:val="24"/>
          <w:lang w:val="zh-CN"/>
        </w:rPr>
        <w:t>月</w:t>
      </w:r>
      <w:r>
        <w:rPr>
          <w:rFonts w:eastAsia="Times New Roman"/>
          <w:kern w:val="0"/>
          <w:sz w:val="21"/>
          <w:szCs w:val="24"/>
          <w:lang w:val="zh-CN"/>
        </w:rPr>
        <w:t>31</w:t>
      </w:r>
      <w:r>
        <w:rPr>
          <w:rFonts w:hint="eastAsia" w:ascii="宋体" w:hAnsi="宋体" w:cs="宋体"/>
          <w:kern w:val="0"/>
          <w:sz w:val="21"/>
          <w:szCs w:val="24"/>
          <w:lang w:val="zh-CN"/>
        </w:rPr>
        <w:t>日，公司总资产</w:t>
      </w:r>
      <w:r>
        <w:rPr>
          <w:rFonts w:eastAsia="Times New Roman"/>
          <w:kern w:val="0"/>
          <w:sz w:val="21"/>
          <w:szCs w:val="24"/>
          <w:lang w:val="zh-CN"/>
        </w:rPr>
        <w:t>42,326,980.00</w:t>
      </w:r>
      <w:r>
        <w:rPr>
          <w:rFonts w:hint="eastAsia" w:ascii="宋体" w:hAnsi="宋体" w:cs="宋体"/>
          <w:kern w:val="0"/>
          <w:sz w:val="21"/>
          <w:szCs w:val="24"/>
          <w:lang w:val="zh-CN"/>
        </w:rPr>
        <w:t>元，净资产</w:t>
      </w:r>
      <w:r>
        <w:rPr>
          <w:rFonts w:eastAsia="Times New Roman"/>
          <w:kern w:val="0"/>
          <w:sz w:val="21"/>
          <w:szCs w:val="24"/>
          <w:lang w:val="zh-CN"/>
        </w:rPr>
        <w:t>17,949,317.14</w:t>
      </w:r>
      <w:r>
        <w:rPr>
          <w:rFonts w:hint="eastAsia" w:ascii="宋体" w:hAnsi="宋体" w:cs="宋体"/>
          <w:kern w:val="0"/>
          <w:sz w:val="21"/>
          <w:szCs w:val="24"/>
          <w:lang w:val="zh-CN"/>
        </w:rPr>
        <w:t>元，营业收入</w:t>
      </w:r>
      <w:r>
        <w:rPr>
          <w:rFonts w:eastAsia="Times New Roman"/>
          <w:kern w:val="0"/>
          <w:sz w:val="21"/>
          <w:szCs w:val="24"/>
          <w:lang w:val="zh-CN"/>
        </w:rPr>
        <w:t>32,402,532.71</w:t>
      </w:r>
      <w:r>
        <w:rPr>
          <w:rFonts w:hint="eastAsia" w:ascii="宋体" w:hAnsi="宋体" w:cs="宋体"/>
          <w:kern w:val="0"/>
          <w:sz w:val="21"/>
          <w:szCs w:val="24"/>
          <w:lang w:val="zh-CN"/>
        </w:rPr>
        <w:t>元，净利润</w:t>
      </w:r>
      <w:r>
        <w:rPr>
          <w:rFonts w:eastAsia="Times New Roman"/>
          <w:kern w:val="0"/>
          <w:sz w:val="21"/>
          <w:szCs w:val="24"/>
          <w:lang w:val="zh-CN"/>
        </w:rPr>
        <w:t>10,888,598.76</w:t>
      </w:r>
      <w:r>
        <w:rPr>
          <w:rFonts w:hint="eastAsia" w:ascii="宋体" w:hAnsi="宋体" w:cs="宋体"/>
          <w:kern w:val="0"/>
          <w:sz w:val="21"/>
          <w:szCs w:val="24"/>
          <w:lang w:val="zh-CN"/>
        </w:rPr>
        <w:t>元。</w:t>
      </w:r>
    </w:p>
    <w:p>
      <w:pPr>
        <w:pStyle w:val="10"/>
        <w:outlineLvl w:val="1"/>
        <w:rPr>
          <w:bCs w:val="0"/>
        </w:rPr>
      </w:pPr>
      <w:r>
        <w:rPr>
          <w:rFonts w:hint="eastAsia"/>
          <w:bCs w:val="0"/>
        </w:rPr>
        <w:t>八、公司控制的结构化主体情况</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pStyle w:val="10"/>
        <w:outlineLvl w:val="1"/>
        <w:rPr>
          <w:bCs w:val="0"/>
        </w:rPr>
      </w:pPr>
      <w:r>
        <w:rPr>
          <w:rFonts w:hint="eastAsia"/>
          <w:bCs w:val="0"/>
        </w:rPr>
        <w:t>九、公司未来发展的展望</w:t>
      </w:r>
    </w:p>
    <w:p>
      <w:pPr>
        <w:autoSpaceDE w:val="0"/>
        <w:autoSpaceDN w:val="0"/>
        <w:adjustRightInd w:val="0"/>
        <w:spacing w:before="0" w:after="0"/>
        <w:ind w:firstLine="422"/>
        <w:jc w:val="left"/>
        <w:rPr>
          <w:rFonts w:eastAsia="Times New Roman"/>
          <w:b/>
          <w:kern w:val="0"/>
          <w:sz w:val="21"/>
          <w:szCs w:val="24"/>
          <w:lang w:val="zh-CN"/>
        </w:rPr>
      </w:pPr>
      <w:r>
        <w:rPr>
          <w:rFonts w:eastAsia="Times New Roman"/>
          <w:b/>
          <w:kern w:val="0"/>
          <w:sz w:val="21"/>
          <w:szCs w:val="24"/>
          <w:lang w:val="zh-CN"/>
        </w:rPr>
        <w:t>(</w:t>
      </w:r>
      <w:r>
        <w:rPr>
          <w:rFonts w:hint="eastAsia" w:ascii="宋体" w:hAnsi="宋体" w:cs="宋体"/>
          <w:b/>
          <w:kern w:val="0"/>
          <w:sz w:val="21"/>
          <w:szCs w:val="24"/>
          <w:lang w:val="zh-CN"/>
        </w:rPr>
        <w:t>一</w:t>
      </w:r>
      <w:r>
        <w:rPr>
          <w:rFonts w:eastAsia="Times New Roman"/>
          <w:b/>
          <w:kern w:val="0"/>
          <w:sz w:val="21"/>
          <w:szCs w:val="24"/>
          <w:lang w:val="zh-CN"/>
        </w:rPr>
        <w:t>)</w:t>
      </w:r>
      <w:r>
        <w:rPr>
          <w:rFonts w:hint="eastAsia" w:ascii="宋体" w:hAnsi="宋体" w:cs="宋体"/>
          <w:b/>
          <w:kern w:val="0"/>
          <w:sz w:val="21"/>
          <w:szCs w:val="24"/>
          <w:lang w:val="zh-CN"/>
        </w:rPr>
        <w:t>智能航海业务未来发展展望</w:t>
      </w:r>
    </w:p>
    <w:p>
      <w:pPr>
        <w:autoSpaceDE w:val="0"/>
        <w:autoSpaceDN w:val="0"/>
        <w:adjustRightInd w:val="0"/>
        <w:spacing w:before="0" w:after="0"/>
        <w:ind w:firstLine="420"/>
        <w:rPr>
          <w:rFonts w:eastAsia="Times New Roman"/>
          <w:kern w:val="0"/>
          <w:sz w:val="21"/>
          <w:szCs w:val="24"/>
          <w:lang w:val="zh-CN"/>
        </w:rPr>
      </w:pPr>
      <w:r>
        <w:rPr>
          <w:rFonts w:hint="eastAsia" w:ascii="宋体" w:hAnsi="宋体" w:cs="宋体"/>
          <w:kern w:val="0"/>
          <w:sz w:val="21"/>
          <w:szCs w:val="24"/>
          <w:lang w:val="zh-CN"/>
        </w:rPr>
        <w:t>公司将一直坚持</w:t>
      </w:r>
      <w:r>
        <w:rPr>
          <w:rFonts w:eastAsia="Times New Roman"/>
          <w:kern w:val="0"/>
          <w:sz w:val="21"/>
          <w:szCs w:val="24"/>
          <w:lang w:val="zh-CN"/>
        </w:rPr>
        <w:t>“</w:t>
      </w:r>
      <w:r>
        <w:rPr>
          <w:rFonts w:hint="eastAsia" w:ascii="宋体" w:hAnsi="宋体" w:cs="宋体"/>
          <w:kern w:val="0"/>
          <w:sz w:val="21"/>
          <w:szCs w:val="24"/>
          <w:lang w:val="zh-CN"/>
        </w:rPr>
        <w:t>成为智能航海中国的引领者</w:t>
      </w:r>
      <w:r>
        <w:rPr>
          <w:rFonts w:eastAsia="Times New Roman"/>
          <w:kern w:val="0"/>
          <w:sz w:val="21"/>
          <w:szCs w:val="24"/>
          <w:lang w:val="zh-CN"/>
        </w:rPr>
        <w:t>”</w:t>
      </w:r>
      <w:r>
        <w:rPr>
          <w:rFonts w:hint="eastAsia" w:ascii="宋体" w:hAnsi="宋体" w:cs="宋体"/>
          <w:kern w:val="0"/>
          <w:sz w:val="21"/>
          <w:szCs w:val="24"/>
          <w:lang w:val="zh-CN"/>
        </w:rPr>
        <w:t>这一企业愿景，通过国际化的技术研发平台，深度洞察行业客户在智能化方面的需求，形成为客户带来现实价值的产品及解决方案。</w:t>
      </w:r>
    </w:p>
    <w:p>
      <w:pPr>
        <w:autoSpaceDE w:val="0"/>
        <w:autoSpaceDN w:val="0"/>
        <w:adjustRightInd w:val="0"/>
        <w:spacing w:before="0" w:after="0"/>
        <w:ind w:firstLine="420"/>
        <w:rPr>
          <w:rFonts w:eastAsia="Times New Roman"/>
          <w:kern w:val="0"/>
          <w:sz w:val="21"/>
          <w:szCs w:val="24"/>
          <w:lang w:val="zh-CN"/>
        </w:rPr>
      </w:pPr>
      <w:r>
        <w:rPr>
          <w:rFonts w:hint="eastAsia" w:ascii="宋体" w:hAnsi="宋体" w:cs="宋体"/>
          <w:kern w:val="0"/>
          <w:sz w:val="21"/>
          <w:szCs w:val="24"/>
          <w:lang w:val="zh-CN"/>
        </w:rPr>
        <w:t>鉴于世界经济复苏缓慢，国际航运市场低迷持续，公司借助调整期做好以下工作：</w:t>
      </w:r>
    </w:p>
    <w:p>
      <w:pPr>
        <w:autoSpaceDE w:val="0"/>
        <w:autoSpaceDN w:val="0"/>
        <w:adjustRightInd w:val="0"/>
        <w:spacing w:before="0" w:after="0"/>
        <w:ind w:firstLine="424"/>
        <w:rPr>
          <w:rFonts w:eastAsia="Times New Roman"/>
          <w:kern w:val="0"/>
          <w:sz w:val="21"/>
          <w:szCs w:val="24"/>
          <w:lang w:val="zh-CN"/>
        </w:rPr>
      </w:pPr>
      <w:r>
        <w:rPr>
          <w:rFonts w:hint="eastAsia" w:ascii="宋体" w:hAnsi="宋体" w:cs="宋体"/>
          <w:kern w:val="0"/>
          <w:sz w:val="21"/>
          <w:szCs w:val="24"/>
          <w:lang w:val="zh-CN"/>
        </w:rPr>
        <w:t>首先，继续发力智能化。智能化已经成为客户的现实需求，这无论是远洋商船的客户、公务船客户以及军船客户。公司借助承担国家职能船专项这一重要契机，与行业的研究院所、大船东、大船厂、船级社等组成紧密合作体，努力做成样板项目，为产品进入高端客户打下牢固基础。公司也将进一步完善</w:t>
      </w:r>
      <w:r>
        <w:rPr>
          <w:rFonts w:eastAsia="Times New Roman"/>
          <w:kern w:val="0"/>
          <w:sz w:val="21"/>
          <w:szCs w:val="24"/>
          <w:lang w:val="zh-CN"/>
        </w:rPr>
        <w:t>INS+</w:t>
      </w:r>
      <w:r>
        <w:rPr>
          <w:rFonts w:hint="eastAsia" w:ascii="宋体" w:hAnsi="宋体" w:cs="宋体"/>
          <w:kern w:val="0"/>
          <w:sz w:val="21"/>
          <w:szCs w:val="24"/>
          <w:lang w:val="zh-CN"/>
        </w:rPr>
        <w:t>，使得公司</w:t>
      </w:r>
      <w:r>
        <w:rPr>
          <w:rFonts w:eastAsia="Times New Roman"/>
          <w:kern w:val="0"/>
          <w:sz w:val="21"/>
          <w:szCs w:val="24"/>
          <w:lang w:val="zh-CN"/>
        </w:rPr>
        <w:t>INS</w:t>
      </w:r>
      <w:r>
        <w:rPr>
          <w:rFonts w:hint="eastAsia" w:ascii="宋体" w:hAnsi="宋体" w:cs="宋体"/>
          <w:kern w:val="0"/>
          <w:sz w:val="21"/>
          <w:szCs w:val="24"/>
          <w:lang w:val="zh-CN"/>
        </w:rPr>
        <w:t>产品具有鲜明的互联网</w:t>
      </w:r>
      <w:r>
        <w:rPr>
          <w:rFonts w:eastAsia="Times New Roman"/>
          <w:kern w:val="0"/>
          <w:sz w:val="21"/>
          <w:szCs w:val="24"/>
          <w:lang w:val="zh-CN"/>
        </w:rPr>
        <w:t>+</w:t>
      </w:r>
      <w:r>
        <w:rPr>
          <w:rFonts w:hint="eastAsia" w:ascii="宋体" w:hAnsi="宋体" w:cs="宋体"/>
          <w:kern w:val="0"/>
          <w:sz w:val="21"/>
          <w:szCs w:val="24"/>
          <w:lang w:val="zh-CN"/>
        </w:rPr>
        <w:t>功能，为客户智能驾驶乃至未来的无人驾驶提供保障。</w:t>
      </w:r>
    </w:p>
    <w:p>
      <w:pPr>
        <w:autoSpaceDE w:val="0"/>
        <w:autoSpaceDN w:val="0"/>
        <w:adjustRightInd w:val="0"/>
        <w:spacing w:before="0" w:after="0"/>
        <w:ind w:firstLine="424"/>
        <w:rPr>
          <w:rFonts w:eastAsia="Times New Roman"/>
          <w:kern w:val="0"/>
          <w:sz w:val="21"/>
          <w:szCs w:val="24"/>
          <w:lang w:val="zh-CN"/>
        </w:rPr>
      </w:pPr>
      <w:r>
        <w:rPr>
          <w:rFonts w:hint="eastAsia" w:ascii="宋体" w:hAnsi="宋体" w:cs="宋体"/>
          <w:kern w:val="0"/>
          <w:sz w:val="21"/>
          <w:szCs w:val="24"/>
          <w:lang w:val="zh-CN"/>
        </w:rPr>
        <w:t>同时，公司将进一步强化军工市场及公务船市场。公司将借助商船市场调整期，全力以赴强化军工。伴随着军民融合以及军改的推进，海军处于历史上最好的大发展时期，公司要顺应大势，强化军工业务，抓住历史机遇。强化军工首先要强化队伍。一方面我们要有效地吸收融合体系内人才，帮助我们用内部的视角来分析问题，发掘新的机会，与我们原有人员配合来提升经营能力，加强军工的市场队伍。另外要加强军工的技术队伍，保障已有产品质量做好新产品突破，包括突破综合驾控仪、复合雷达、固态雷达、无人驾驶系统等产品，加强预研参与力度。</w:t>
      </w:r>
    </w:p>
    <w:p>
      <w:pPr>
        <w:autoSpaceDE w:val="0"/>
        <w:autoSpaceDN w:val="0"/>
        <w:adjustRightInd w:val="0"/>
        <w:spacing w:before="0" w:after="0"/>
        <w:ind w:firstLine="424"/>
        <w:rPr>
          <w:rFonts w:eastAsia="Times New Roman"/>
          <w:kern w:val="0"/>
          <w:sz w:val="21"/>
          <w:szCs w:val="24"/>
          <w:lang w:val="zh-CN"/>
        </w:rPr>
      </w:pPr>
      <w:r>
        <w:rPr>
          <w:rFonts w:hint="eastAsia" w:ascii="宋体" w:hAnsi="宋体" w:cs="宋体"/>
          <w:kern w:val="0"/>
          <w:sz w:val="21"/>
          <w:szCs w:val="24"/>
          <w:lang w:val="zh-CN"/>
        </w:rPr>
        <w:t>鉴于国家海洋战略的推进，国家对海上维权、执法进一步加强，以及国家海警局体系的形成，公务船将面临一个较大的机会。公务船介于军、民之间，属于一个特殊的市场，海兰信因为拥有军品资质，有国际化的产品认证和业绩，已经在这个领域内有相对独特的竞争优势。为了进一步获得竞争优势，公司一方面将根据客户的体制优化市场体系，形成总部与区域协同的市场模式，同时，公司将深度参与公务船技术设计及需求研究，不仅提供满足船舶航行的标准化产品，还将把公司现有的海洋探测技术、雷达技术、驾驶技术有机整合，形成一个为客户提供业务支撑的业务化系统，与客户建立战略伙伴关系。</w:t>
      </w:r>
    </w:p>
    <w:p>
      <w:pPr>
        <w:autoSpaceDE w:val="0"/>
        <w:autoSpaceDN w:val="0"/>
        <w:adjustRightInd w:val="0"/>
        <w:spacing w:before="0" w:after="0"/>
        <w:ind w:firstLine="420"/>
        <w:rPr>
          <w:rFonts w:eastAsia="Times New Roman"/>
          <w:kern w:val="0"/>
          <w:sz w:val="21"/>
          <w:szCs w:val="24"/>
          <w:lang w:val="zh-CN"/>
        </w:rPr>
      </w:pPr>
    </w:p>
    <w:p>
      <w:pPr>
        <w:autoSpaceDE w:val="0"/>
        <w:autoSpaceDN w:val="0"/>
        <w:adjustRightInd w:val="0"/>
        <w:spacing w:before="0" w:after="0"/>
        <w:ind w:firstLine="422"/>
        <w:rPr>
          <w:rFonts w:eastAsia="Times New Roman"/>
          <w:b/>
          <w:kern w:val="0"/>
          <w:sz w:val="21"/>
          <w:szCs w:val="24"/>
          <w:lang w:val="zh-CN"/>
        </w:rPr>
      </w:pPr>
      <w:r>
        <w:rPr>
          <w:rFonts w:eastAsia="Times New Roman"/>
          <w:b/>
          <w:kern w:val="0"/>
          <w:sz w:val="21"/>
          <w:szCs w:val="24"/>
          <w:lang w:val="zh-CN"/>
        </w:rPr>
        <w:t xml:space="preserve"> (</w:t>
      </w:r>
      <w:r>
        <w:rPr>
          <w:rFonts w:hint="eastAsia" w:ascii="宋体" w:hAnsi="宋体" w:cs="宋体"/>
          <w:b/>
          <w:kern w:val="0"/>
          <w:sz w:val="21"/>
          <w:szCs w:val="24"/>
          <w:lang w:val="zh-CN"/>
        </w:rPr>
        <w:t>二</w:t>
      </w:r>
      <w:r>
        <w:rPr>
          <w:rFonts w:eastAsia="Times New Roman"/>
          <w:b/>
          <w:kern w:val="0"/>
          <w:sz w:val="21"/>
          <w:szCs w:val="24"/>
          <w:lang w:val="zh-CN"/>
        </w:rPr>
        <w:t>)</w:t>
      </w:r>
      <w:r>
        <w:rPr>
          <w:rFonts w:hint="eastAsia" w:ascii="宋体" w:hAnsi="宋体" w:cs="宋体"/>
          <w:b/>
          <w:kern w:val="0"/>
          <w:sz w:val="21"/>
          <w:szCs w:val="24"/>
          <w:lang w:val="zh-CN"/>
        </w:rPr>
        <w:t>智慧海洋业务未来发展展望</w:t>
      </w:r>
    </w:p>
    <w:p>
      <w:pPr>
        <w:autoSpaceDE w:val="0"/>
        <w:autoSpaceDN w:val="0"/>
        <w:adjustRightInd w:val="0"/>
        <w:ind w:firstLine="420"/>
        <w:rPr>
          <w:rFonts w:eastAsia="Times New Roman"/>
          <w:kern w:val="0"/>
          <w:sz w:val="21"/>
          <w:szCs w:val="24"/>
          <w:lang w:val="zh-CN"/>
        </w:rPr>
      </w:pPr>
      <w:r>
        <w:rPr>
          <w:rFonts w:hint="eastAsia" w:ascii="宋体" w:hAnsi="宋体" w:cs="宋体"/>
          <w:kern w:val="0"/>
          <w:sz w:val="21"/>
          <w:szCs w:val="24"/>
          <w:lang w:val="zh-CN"/>
        </w:rPr>
        <w:t>智慧海洋领域处于国家海洋高技术领域</w:t>
      </w:r>
      <w:r>
        <w:rPr>
          <w:rFonts w:eastAsia="Times New Roman"/>
          <w:kern w:val="0"/>
          <w:sz w:val="21"/>
          <w:szCs w:val="24"/>
          <w:lang w:val="zh-CN"/>
        </w:rPr>
        <w:t>20</w:t>
      </w:r>
      <w:r>
        <w:rPr>
          <w:rFonts w:hint="eastAsia" w:ascii="宋体" w:hAnsi="宋体" w:cs="宋体"/>
          <w:kern w:val="0"/>
          <w:sz w:val="21"/>
          <w:szCs w:val="24"/>
          <w:lang w:val="zh-CN"/>
        </w:rPr>
        <w:t>余年积累后的行业高速发展、需求爆发式增长的前期。未来</w:t>
      </w:r>
      <w:r>
        <w:rPr>
          <w:rFonts w:eastAsia="Times New Roman"/>
          <w:kern w:val="0"/>
          <w:sz w:val="21"/>
          <w:szCs w:val="24"/>
          <w:lang w:val="zh-CN"/>
        </w:rPr>
        <w:t>10</w:t>
      </w:r>
      <w:r>
        <w:rPr>
          <w:rFonts w:hint="eastAsia" w:ascii="宋体" w:hAnsi="宋体" w:cs="宋体"/>
          <w:kern w:val="0"/>
          <w:sz w:val="21"/>
          <w:szCs w:val="24"/>
          <w:lang w:val="zh-CN"/>
        </w:rPr>
        <w:t>年，国家在海洋信息技术领域、海洋观测</w:t>
      </w:r>
      <w:r>
        <w:rPr>
          <w:rFonts w:eastAsia="Times New Roman"/>
          <w:kern w:val="0"/>
          <w:sz w:val="21"/>
          <w:szCs w:val="24"/>
          <w:lang w:val="zh-CN"/>
        </w:rPr>
        <w:t>/</w:t>
      </w:r>
      <w:r>
        <w:rPr>
          <w:rFonts w:hint="eastAsia" w:ascii="宋体" w:hAnsi="宋体" w:cs="宋体"/>
          <w:kern w:val="0"/>
          <w:sz w:val="21"/>
          <w:szCs w:val="24"/>
          <w:lang w:val="zh-CN"/>
        </w:rPr>
        <w:t>监测的基础设施和立体观测网络投入将超过之前</w:t>
      </w:r>
      <w:r>
        <w:rPr>
          <w:rFonts w:eastAsia="Times New Roman"/>
          <w:kern w:val="0"/>
          <w:sz w:val="21"/>
          <w:szCs w:val="24"/>
          <w:lang w:val="zh-CN"/>
        </w:rPr>
        <w:t>40</w:t>
      </w:r>
      <w:r>
        <w:rPr>
          <w:rFonts w:hint="eastAsia" w:ascii="宋体" w:hAnsi="宋体" w:cs="宋体"/>
          <w:kern w:val="0"/>
          <w:sz w:val="21"/>
          <w:szCs w:val="24"/>
          <w:lang w:val="zh-CN"/>
        </w:rPr>
        <w:t>年投入的总和的</w:t>
      </w:r>
      <w:r>
        <w:rPr>
          <w:rFonts w:eastAsia="Times New Roman"/>
          <w:kern w:val="0"/>
          <w:sz w:val="21"/>
          <w:szCs w:val="24"/>
          <w:lang w:val="zh-CN"/>
        </w:rPr>
        <w:t>5</w:t>
      </w:r>
      <w:r>
        <w:rPr>
          <w:rFonts w:hint="eastAsia" w:ascii="宋体" w:hAnsi="宋体" w:cs="宋体"/>
          <w:kern w:val="0"/>
          <w:sz w:val="21"/>
          <w:szCs w:val="24"/>
          <w:lang w:val="zh-CN"/>
        </w:rPr>
        <w:t>倍。如</w:t>
      </w:r>
      <w:r>
        <w:rPr>
          <w:rFonts w:eastAsia="Times New Roman"/>
          <w:kern w:val="0"/>
          <w:sz w:val="21"/>
          <w:szCs w:val="24"/>
          <w:lang w:val="zh-CN"/>
        </w:rPr>
        <w:t>“</w:t>
      </w:r>
      <w:r>
        <w:rPr>
          <w:rFonts w:hint="eastAsia" w:ascii="宋体" w:hAnsi="宋体" w:cs="宋体"/>
          <w:kern w:val="0"/>
          <w:sz w:val="21"/>
          <w:szCs w:val="24"/>
          <w:lang w:val="zh-CN"/>
        </w:rPr>
        <w:t>海洋强国</w:t>
      </w:r>
      <w:r>
        <w:rPr>
          <w:rFonts w:eastAsia="Times New Roman"/>
          <w:kern w:val="0"/>
          <w:sz w:val="21"/>
          <w:szCs w:val="24"/>
          <w:lang w:val="zh-CN"/>
        </w:rPr>
        <w:t>”</w:t>
      </w:r>
      <w:r>
        <w:rPr>
          <w:rFonts w:hint="eastAsia" w:ascii="宋体" w:hAnsi="宋体" w:cs="宋体"/>
          <w:kern w:val="0"/>
          <w:sz w:val="21"/>
          <w:szCs w:val="24"/>
          <w:lang w:val="zh-CN"/>
        </w:rPr>
        <w:t>、</w:t>
      </w:r>
      <w:r>
        <w:rPr>
          <w:rFonts w:eastAsia="Times New Roman"/>
          <w:kern w:val="0"/>
          <w:sz w:val="21"/>
          <w:szCs w:val="24"/>
          <w:lang w:val="zh-CN"/>
        </w:rPr>
        <w:t>“</w:t>
      </w:r>
      <w:r>
        <w:rPr>
          <w:rFonts w:hint="eastAsia" w:ascii="宋体" w:hAnsi="宋体" w:cs="宋体"/>
          <w:kern w:val="0"/>
          <w:sz w:val="21"/>
          <w:szCs w:val="24"/>
          <w:lang w:val="zh-CN"/>
        </w:rPr>
        <w:t>智慧海洋</w:t>
      </w:r>
      <w:r>
        <w:rPr>
          <w:rFonts w:eastAsia="Times New Roman"/>
          <w:kern w:val="0"/>
          <w:sz w:val="21"/>
          <w:szCs w:val="24"/>
          <w:lang w:val="zh-CN"/>
        </w:rPr>
        <w:t>”</w:t>
      </w:r>
      <w:r>
        <w:rPr>
          <w:rFonts w:hint="eastAsia" w:ascii="宋体" w:hAnsi="宋体" w:cs="宋体"/>
          <w:kern w:val="0"/>
          <w:sz w:val="21"/>
          <w:szCs w:val="24"/>
          <w:lang w:val="zh-CN"/>
        </w:rPr>
        <w:t>、</w:t>
      </w:r>
      <w:r>
        <w:rPr>
          <w:rFonts w:eastAsia="Times New Roman"/>
          <w:kern w:val="0"/>
          <w:sz w:val="21"/>
          <w:szCs w:val="24"/>
          <w:lang w:val="zh-CN"/>
        </w:rPr>
        <w:t>“</w:t>
      </w:r>
      <w:r>
        <w:rPr>
          <w:rFonts w:hint="eastAsia" w:ascii="宋体" w:hAnsi="宋体" w:cs="宋体"/>
          <w:kern w:val="0"/>
          <w:sz w:val="21"/>
          <w:szCs w:val="24"/>
          <w:lang w:val="zh-CN"/>
        </w:rPr>
        <w:t>新丝路</w:t>
      </w:r>
      <w:r>
        <w:rPr>
          <w:rFonts w:eastAsia="Times New Roman"/>
          <w:kern w:val="0"/>
          <w:sz w:val="21"/>
          <w:szCs w:val="24"/>
          <w:lang w:val="zh-CN"/>
        </w:rPr>
        <w:t>”</w:t>
      </w:r>
      <w:r>
        <w:rPr>
          <w:rFonts w:hint="eastAsia" w:ascii="宋体" w:hAnsi="宋体" w:cs="宋体"/>
          <w:kern w:val="0"/>
          <w:sz w:val="21"/>
          <w:szCs w:val="24"/>
          <w:lang w:val="zh-CN"/>
        </w:rPr>
        <w:t>等等一系列的重大海洋专项建设。国家十三五规划纲要提出，要进一步壮大海洋经济深入实施以海洋生态系统为基础的综合管理，加强海上执法机构能力建设，将计划实施</w:t>
      </w:r>
      <w:r>
        <w:rPr>
          <w:rFonts w:eastAsia="Times New Roman"/>
          <w:kern w:val="0"/>
          <w:sz w:val="21"/>
          <w:szCs w:val="24"/>
          <w:lang w:val="zh-CN"/>
        </w:rPr>
        <w:t>100</w:t>
      </w:r>
      <w:r>
        <w:rPr>
          <w:rFonts w:hint="eastAsia" w:ascii="宋体" w:hAnsi="宋体" w:cs="宋体"/>
          <w:kern w:val="0"/>
          <w:sz w:val="21"/>
          <w:szCs w:val="24"/>
          <w:lang w:val="zh-CN"/>
        </w:rPr>
        <w:t>个重大工程及项目，涉及多个涉海工程和海洋监测；同时，国家印发《海洋气象发展规划</w:t>
      </w:r>
      <w:r>
        <w:rPr>
          <w:rFonts w:eastAsia="Times New Roman"/>
          <w:kern w:val="0"/>
          <w:sz w:val="21"/>
          <w:szCs w:val="24"/>
          <w:lang w:val="zh-CN"/>
        </w:rPr>
        <w:t>(2016</w:t>
      </w:r>
      <w:r>
        <w:rPr>
          <w:rFonts w:hint="eastAsia" w:ascii="宋体" w:hAnsi="宋体" w:cs="宋体"/>
          <w:kern w:val="0"/>
          <w:sz w:val="21"/>
          <w:szCs w:val="24"/>
          <w:lang w:val="zh-CN"/>
        </w:rPr>
        <w:t>年</w:t>
      </w:r>
      <w:r>
        <w:rPr>
          <w:rFonts w:eastAsia="Times New Roman"/>
          <w:kern w:val="0"/>
          <w:sz w:val="21"/>
          <w:szCs w:val="24"/>
          <w:lang w:val="zh-CN"/>
        </w:rPr>
        <w:t>~2025</w:t>
      </w:r>
      <w:r>
        <w:rPr>
          <w:rFonts w:hint="eastAsia" w:ascii="宋体" w:hAnsi="宋体" w:cs="宋体"/>
          <w:kern w:val="0"/>
          <w:sz w:val="21"/>
          <w:szCs w:val="24"/>
          <w:lang w:val="zh-CN"/>
        </w:rPr>
        <w:t>年</w:t>
      </w:r>
      <w:r>
        <w:rPr>
          <w:rFonts w:eastAsia="Times New Roman"/>
          <w:kern w:val="0"/>
          <w:sz w:val="21"/>
          <w:szCs w:val="24"/>
          <w:lang w:val="zh-CN"/>
        </w:rPr>
        <w:t>)</w:t>
      </w:r>
      <w:r>
        <w:rPr>
          <w:rFonts w:hint="eastAsia" w:ascii="宋体" w:hAnsi="宋体" w:cs="宋体"/>
          <w:kern w:val="0"/>
          <w:sz w:val="21"/>
          <w:szCs w:val="24"/>
          <w:lang w:val="zh-CN"/>
        </w:rPr>
        <w:t>》，我国将构建岸基、海基、空基、天基一体化的海洋气象综合观测系统和相应的配套保障体系；同年，国家海洋局印发《国家海洋局海洋生态文明建设实施方案》（</w:t>
      </w:r>
      <w:r>
        <w:rPr>
          <w:rFonts w:eastAsia="Times New Roman"/>
          <w:kern w:val="0"/>
          <w:sz w:val="21"/>
          <w:szCs w:val="24"/>
          <w:lang w:val="zh-CN"/>
        </w:rPr>
        <w:t>2015~2020</w:t>
      </w:r>
      <w:r>
        <w:rPr>
          <w:rFonts w:hint="eastAsia" w:ascii="宋体" w:hAnsi="宋体" w:cs="宋体"/>
          <w:kern w:val="0"/>
          <w:sz w:val="21"/>
          <w:szCs w:val="24"/>
          <w:lang w:val="zh-CN"/>
        </w:rPr>
        <w:t>年），提出实施</w:t>
      </w:r>
      <w:r>
        <w:rPr>
          <w:rFonts w:eastAsia="Times New Roman"/>
          <w:kern w:val="0"/>
          <w:sz w:val="21"/>
          <w:szCs w:val="24"/>
          <w:lang w:val="zh-CN"/>
        </w:rPr>
        <w:t>20</w:t>
      </w:r>
      <w:r>
        <w:rPr>
          <w:rFonts w:hint="eastAsia" w:ascii="宋体" w:hAnsi="宋体" w:cs="宋体"/>
          <w:kern w:val="0"/>
          <w:sz w:val="21"/>
          <w:szCs w:val="24"/>
          <w:lang w:val="zh-CN"/>
        </w:rPr>
        <w:t>项重大工程项目，在能力建设类工程项目中，包括海洋环境监测基础能力建设、海域动态监控体系建设等。结合国家海洋强国战略，面对中国海洋领域的巨大市场空间和机遇，为海兰信业务快速增长提供可能。</w:t>
      </w:r>
    </w:p>
    <w:p>
      <w:pPr>
        <w:autoSpaceDE w:val="0"/>
        <w:autoSpaceDN w:val="0"/>
        <w:adjustRightInd w:val="0"/>
        <w:ind w:firstLine="420"/>
        <w:rPr>
          <w:rFonts w:eastAsia="Times New Roman"/>
          <w:kern w:val="0"/>
          <w:sz w:val="21"/>
          <w:szCs w:val="24"/>
          <w:lang w:val="zh-CN"/>
        </w:rPr>
      </w:pPr>
      <w:r>
        <w:rPr>
          <w:rFonts w:hint="eastAsia" w:ascii="宋体" w:hAnsi="宋体" w:cs="宋体"/>
          <w:kern w:val="0"/>
          <w:sz w:val="21"/>
          <w:szCs w:val="24"/>
          <w:lang w:val="zh-CN"/>
        </w:rPr>
        <w:t>海洋观（监）测业务方面，海兰信已积累了国际先进水平的海洋监测系统技术基础，其中极小目标探测雷达技术已实现广泛的示范应用，包括航运、港口及舰船等，该技术能够有效抑制海杂波，提取海上极小目标并自动完成对目标的跟踪、探测及识别，以此为基础能够为客户提供溢油监测、海浪监测等海洋观测信息服务，能够应用于岸基、船载</w:t>
      </w:r>
      <w:r>
        <w:rPr>
          <w:rFonts w:eastAsia="Times New Roman"/>
          <w:kern w:val="0"/>
          <w:sz w:val="21"/>
          <w:szCs w:val="24"/>
          <w:lang w:val="zh-CN"/>
        </w:rPr>
        <w:t>/</w:t>
      </w:r>
      <w:r>
        <w:rPr>
          <w:rFonts w:hint="eastAsia" w:ascii="宋体" w:hAnsi="宋体" w:cs="宋体"/>
          <w:kern w:val="0"/>
          <w:sz w:val="21"/>
          <w:szCs w:val="24"/>
          <w:lang w:val="zh-CN"/>
        </w:rPr>
        <w:t>舰载对海监控领域，为监控海域的行动部署提供高度融合的实时态势信息，实现港口监控、海域监控、岛礁监控、海上平台安全监控、海上搜救执法等综合管理功能。随着市场占有率持续提升，后期将进入批量推广阶段。</w:t>
      </w:r>
    </w:p>
    <w:p>
      <w:pPr>
        <w:autoSpaceDE w:val="0"/>
        <w:autoSpaceDN w:val="0"/>
        <w:adjustRightInd w:val="0"/>
        <w:ind w:firstLine="420"/>
        <w:rPr>
          <w:rFonts w:eastAsia="Times New Roman"/>
          <w:kern w:val="0"/>
          <w:sz w:val="21"/>
          <w:szCs w:val="24"/>
          <w:lang w:val="zh-CN"/>
        </w:rPr>
      </w:pPr>
      <w:r>
        <w:rPr>
          <w:rFonts w:hint="eastAsia" w:ascii="宋体" w:hAnsi="宋体" w:cs="宋体"/>
          <w:kern w:val="0"/>
          <w:sz w:val="21"/>
          <w:szCs w:val="24"/>
          <w:lang w:val="zh-CN"/>
        </w:rPr>
        <w:t>海洋调查业务方面，公司将积极协同劳雷产业的业务发展，做大做强劳雷产业现有的海洋调查仪器设备规模及持续提升其全球领先的系统集成解决方案能力，双方将共同打造海上无人智能综合监测平台，为客户提供稳定、实时的海洋数据；凭借劳雷产业在全球海洋调查领域的影响力，通过技术合作和投资并购等方式拓展海洋观测（监测）产品线。</w:t>
      </w:r>
    </w:p>
    <w:p>
      <w:pPr>
        <w:autoSpaceDE w:val="0"/>
        <w:autoSpaceDN w:val="0"/>
        <w:adjustRightInd w:val="0"/>
        <w:spacing w:before="0" w:after="0"/>
        <w:ind w:firstLine="420"/>
        <w:jc w:val="left"/>
        <w:rPr>
          <w:rFonts w:eastAsia="Times New Roman"/>
          <w:kern w:val="0"/>
          <w:sz w:val="21"/>
          <w:szCs w:val="24"/>
          <w:lang w:val="zh-CN"/>
        </w:rPr>
      </w:pPr>
    </w:p>
    <w:p>
      <w:pPr>
        <w:autoSpaceDE w:val="0"/>
        <w:autoSpaceDN w:val="0"/>
        <w:adjustRightInd w:val="0"/>
        <w:spacing w:before="0" w:after="0"/>
        <w:ind w:firstLine="422"/>
        <w:rPr>
          <w:rFonts w:eastAsia="Times New Roman"/>
          <w:b/>
          <w:kern w:val="0"/>
          <w:sz w:val="21"/>
          <w:szCs w:val="24"/>
          <w:lang w:val="zh-CN"/>
        </w:rPr>
      </w:pPr>
      <w:r>
        <w:rPr>
          <w:rFonts w:eastAsia="Times New Roman"/>
          <w:b/>
          <w:kern w:val="0"/>
          <w:sz w:val="21"/>
          <w:szCs w:val="24"/>
          <w:lang w:val="zh-CN"/>
        </w:rPr>
        <w:t>(</w:t>
      </w:r>
      <w:r>
        <w:rPr>
          <w:rFonts w:hint="eastAsia" w:ascii="宋体" w:hAnsi="宋体" w:cs="宋体"/>
          <w:b/>
          <w:kern w:val="0"/>
          <w:sz w:val="21"/>
          <w:szCs w:val="24"/>
          <w:lang w:val="zh-CN"/>
        </w:rPr>
        <w:t>三</w:t>
      </w:r>
      <w:r>
        <w:rPr>
          <w:rFonts w:eastAsia="Times New Roman"/>
          <w:b/>
          <w:kern w:val="0"/>
          <w:sz w:val="21"/>
          <w:szCs w:val="24"/>
          <w:lang w:val="zh-CN"/>
        </w:rPr>
        <w:t>)</w:t>
      </w:r>
      <w:r>
        <w:rPr>
          <w:rFonts w:hint="eastAsia" w:ascii="宋体" w:hAnsi="宋体" w:cs="宋体"/>
          <w:b/>
          <w:kern w:val="0"/>
          <w:sz w:val="21"/>
          <w:szCs w:val="24"/>
          <w:lang w:val="zh-CN"/>
        </w:rPr>
        <w:t>军（警）业务未来发展展望</w:t>
      </w:r>
    </w:p>
    <w:p>
      <w:pPr>
        <w:autoSpaceDE w:val="0"/>
        <w:autoSpaceDN w:val="0"/>
        <w:adjustRightInd w:val="0"/>
        <w:ind w:firstLine="420"/>
        <w:rPr>
          <w:rFonts w:eastAsia="Times New Roman"/>
          <w:kern w:val="0"/>
          <w:sz w:val="21"/>
          <w:szCs w:val="24"/>
          <w:lang w:val="zh-CN"/>
        </w:rPr>
      </w:pPr>
      <w:r>
        <w:rPr>
          <w:rFonts w:hint="eastAsia" w:ascii="宋体" w:hAnsi="宋体" w:cs="宋体"/>
          <w:kern w:val="0"/>
          <w:sz w:val="21"/>
          <w:szCs w:val="24"/>
          <w:lang w:val="zh-CN"/>
        </w:rPr>
        <w:t>当前国家海洋领土安全形势严峻，与周边国家的海洋纠纷日趋常态化，国际形势日趋复杂，这一切对国家建设强大海军提出了迫切要求。与美、日等国相比，中国海军在舰艇规模和质量上，均存在较大差距，因此，增加舰船数量，提升装备水平，淘汰老旧舰船及设备，提升舰船信息化智能化水平，成为海军建设的当务之急；另外，我国海警体系整合后，执法效率大幅提高，十三五期间将通过加强信息系统建设，提高海警船自动化、信息化水平，这其中不仅涉及到船载信息获取、信息传输、信息处理、指挥控制等电子和信息化设备的统一体制、齐装配套，还涉及全船各类操控、电子、武备的系统集成，集中操控，以及海警船与其他岸、海、空、天信息系统的有机交联，全面提升信息化水平，提高海上执法效率；以上将为海兰信在智能航海领域与海观（监）测领域的相关业务拓展带来了更多的机会。公司作为中国海军指定的供应商，产品已应用到包括中国首艘航母</w:t>
      </w:r>
      <w:r>
        <w:rPr>
          <w:rFonts w:eastAsia="Times New Roman"/>
          <w:kern w:val="0"/>
          <w:sz w:val="21"/>
          <w:szCs w:val="24"/>
          <w:lang w:val="zh-CN"/>
        </w:rPr>
        <w:t>“</w:t>
      </w:r>
      <w:r>
        <w:rPr>
          <w:rFonts w:hint="eastAsia" w:ascii="宋体" w:hAnsi="宋体" w:cs="宋体"/>
          <w:kern w:val="0"/>
          <w:sz w:val="21"/>
          <w:szCs w:val="24"/>
          <w:lang w:val="zh-CN"/>
        </w:rPr>
        <w:t>辽宁舰</w:t>
      </w:r>
      <w:r>
        <w:rPr>
          <w:rFonts w:eastAsia="Times New Roman"/>
          <w:kern w:val="0"/>
          <w:sz w:val="21"/>
          <w:szCs w:val="24"/>
          <w:lang w:val="zh-CN"/>
        </w:rPr>
        <w:t>”</w:t>
      </w:r>
      <w:r>
        <w:rPr>
          <w:rFonts w:hint="eastAsia" w:ascii="宋体" w:hAnsi="宋体" w:cs="宋体"/>
          <w:kern w:val="0"/>
          <w:sz w:val="21"/>
          <w:szCs w:val="24"/>
          <w:lang w:val="zh-CN"/>
        </w:rPr>
        <w:t>在内的各类舰船上，并实现了从单一产品供应向系统解决方案的转变；通过产品创新积极由船（舰）载领域向岸基对海监控领域拓展业务，公司智能雷达监控系统可应用于岸基和船载</w:t>
      </w:r>
      <w:r>
        <w:rPr>
          <w:rFonts w:eastAsia="Times New Roman"/>
          <w:kern w:val="0"/>
          <w:sz w:val="21"/>
          <w:szCs w:val="24"/>
          <w:lang w:val="zh-CN"/>
        </w:rPr>
        <w:t>/</w:t>
      </w:r>
      <w:r>
        <w:rPr>
          <w:rFonts w:hint="eastAsia" w:ascii="宋体" w:hAnsi="宋体" w:cs="宋体"/>
          <w:kern w:val="0"/>
          <w:sz w:val="21"/>
          <w:szCs w:val="24"/>
          <w:lang w:val="zh-CN"/>
        </w:rPr>
        <w:t>舰载对海监控领域，为监控海域的行动部署提供高度融合的实时信息，实现港口监控、海域监控、岛礁监控、海上平台监控、海上搜救执法等综合管理功能；另外，在国家</w:t>
      </w:r>
      <w:r>
        <w:rPr>
          <w:rFonts w:eastAsia="Times New Roman"/>
          <w:kern w:val="0"/>
          <w:sz w:val="21"/>
          <w:szCs w:val="24"/>
          <w:lang w:val="zh-CN"/>
        </w:rPr>
        <w:t>“</w:t>
      </w:r>
      <w:r>
        <w:rPr>
          <w:rFonts w:hint="eastAsia" w:ascii="宋体" w:hAnsi="宋体" w:cs="宋体"/>
          <w:kern w:val="0"/>
          <w:sz w:val="21"/>
          <w:szCs w:val="24"/>
          <w:lang w:val="zh-CN"/>
        </w:rPr>
        <w:t>海洋强国战略</w:t>
      </w:r>
      <w:r>
        <w:rPr>
          <w:rFonts w:eastAsia="Times New Roman"/>
          <w:kern w:val="0"/>
          <w:sz w:val="21"/>
          <w:szCs w:val="24"/>
          <w:lang w:val="zh-CN"/>
        </w:rPr>
        <w:t>”</w:t>
      </w:r>
      <w:r>
        <w:rPr>
          <w:rFonts w:hint="eastAsia" w:ascii="宋体" w:hAnsi="宋体" w:cs="宋体"/>
          <w:kern w:val="0"/>
          <w:sz w:val="21"/>
          <w:szCs w:val="24"/>
          <w:lang w:val="zh-CN"/>
        </w:rPr>
        <w:t>的背景下，海底观测</w:t>
      </w:r>
      <w:r>
        <w:rPr>
          <w:rFonts w:eastAsia="Times New Roman"/>
          <w:kern w:val="0"/>
          <w:sz w:val="21"/>
          <w:szCs w:val="24"/>
          <w:lang w:val="zh-CN"/>
        </w:rPr>
        <w:t>/</w:t>
      </w:r>
      <w:r>
        <w:rPr>
          <w:rFonts w:hint="eastAsia" w:ascii="宋体" w:hAnsi="宋体" w:cs="宋体"/>
          <w:kern w:val="0"/>
          <w:sz w:val="21"/>
          <w:szCs w:val="24"/>
          <w:lang w:val="zh-CN"/>
        </w:rPr>
        <w:t>监测领域投入也将大幅增长，海洋传感器和信号处理等设备是关键的辅助装置，公司在海洋领域丰富的产品线市场拓展也将面临历史性机遇。未来，在国家</w:t>
      </w:r>
      <w:r>
        <w:rPr>
          <w:rFonts w:eastAsia="Times New Roman"/>
          <w:kern w:val="0"/>
          <w:sz w:val="21"/>
          <w:szCs w:val="24"/>
          <w:lang w:val="zh-CN"/>
        </w:rPr>
        <w:t>“</w:t>
      </w:r>
      <w:r>
        <w:rPr>
          <w:rFonts w:hint="eastAsia" w:ascii="宋体" w:hAnsi="宋体" w:cs="宋体"/>
          <w:kern w:val="0"/>
          <w:sz w:val="21"/>
          <w:szCs w:val="24"/>
          <w:lang w:val="zh-CN"/>
        </w:rPr>
        <w:t>海洋强国战略</w:t>
      </w:r>
      <w:r>
        <w:rPr>
          <w:rFonts w:eastAsia="Times New Roman"/>
          <w:kern w:val="0"/>
          <w:sz w:val="21"/>
          <w:szCs w:val="24"/>
          <w:lang w:val="zh-CN"/>
        </w:rPr>
        <w:t>”</w:t>
      </w:r>
      <w:r>
        <w:rPr>
          <w:rFonts w:hint="eastAsia" w:ascii="宋体" w:hAnsi="宋体" w:cs="宋体"/>
          <w:kern w:val="0"/>
          <w:sz w:val="21"/>
          <w:szCs w:val="24"/>
          <w:lang w:val="zh-CN"/>
        </w:rPr>
        <w:t>、</w:t>
      </w:r>
      <w:r>
        <w:rPr>
          <w:rFonts w:eastAsia="Times New Roman"/>
          <w:kern w:val="0"/>
          <w:sz w:val="21"/>
          <w:szCs w:val="24"/>
          <w:lang w:val="zh-CN"/>
        </w:rPr>
        <w:t>“</w:t>
      </w:r>
      <w:r>
        <w:rPr>
          <w:rFonts w:hint="eastAsia" w:ascii="宋体" w:hAnsi="宋体" w:cs="宋体"/>
          <w:kern w:val="0"/>
          <w:sz w:val="21"/>
          <w:szCs w:val="24"/>
          <w:lang w:val="zh-CN"/>
        </w:rPr>
        <w:t>军民深度融合</w:t>
      </w:r>
      <w:r>
        <w:rPr>
          <w:rFonts w:eastAsia="Times New Roman"/>
          <w:kern w:val="0"/>
          <w:sz w:val="21"/>
          <w:szCs w:val="24"/>
          <w:lang w:val="zh-CN"/>
        </w:rPr>
        <w:t>”</w:t>
      </w:r>
      <w:r>
        <w:rPr>
          <w:rFonts w:hint="eastAsia" w:ascii="宋体" w:hAnsi="宋体" w:cs="宋体"/>
          <w:kern w:val="0"/>
          <w:sz w:val="21"/>
          <w:szCs w:val="24"/>
          <w:lang w:val="zh-CN"/>
        </w:rPr>
        <w:t>、</w:t>
      </w:r>
      <w:r>
        <w:rPr>
          <w:rFonts w:eastAsia="Times New Roman"/>
          <w:kern w:val="0"/>
          <w:sz w:val="21"/>
          <w:szCs w:val="24"/>
          <w:lang w:val="zh-CN"/>
        </w:rPr>
        <w:t>“</w:t>
      </w:r>
      <w:r>
        <w:rPr>
          <w:rFonts w:hint="eastAsia" w:ascii="宋体" w:hAnsi="宋体" w:cs="宋体"/>
          <w:kern w:val="0"/>
          <w:sz w:val="21"/>
          <w:szCs w:val="24"/>
          <w:lang w:val="zh-CN"/>
        </w:rPr>
        <w:t>一带一路</w:t>
      </w:r>
      <w:r>
        <w:rPr>
          <w:rFonts w:eastAsia="Times New Roman"/>
          <w:kern w:val="0"/>
          <w:sz w:val="21"/>
          <w:szCs w:val="24"/>
          <w:lang w:val="zh-CN"/>
        </w:rPr>
        <w:t>”</w:t>
      </w:r>
      <w:r>
        <w:rPr>
          <w:rFonts w:hint="eastAsia" w:ascii="宋体" w:hAnsi="宋体" w:cs="宋体"/>
          <w:kern w:val="0"/>
          <w:sz w:val="21"/>
          <w:szCs w:val="24"/>
          <w:lang w:val="zh-CN"/>
        </w:rPr>
        <w:t>、</w:t>
      </w:r>
      <w:r>
        <w:rPr>
          <w:rFonts w:eastAsia="Times New Roman"/>
          <w:kern w:val="0"/>
          <w:sz w:val="21"/>
          <w:szCs w:val="24"/>
          <w:lang w:val="zh-CN"/>
        </w:rPr>
        <w:t>“</w:t>
      </w:r>
      <w:r>
        <w:rPr>
          <w:rFonts w:hint="eastAsia" w:ascii="宋体" w:hAnsi="宋体" w:cs="宋体"/>
          <w:kern w:val="0"/>
          <w:sz w:val="21"/>
          <w:szCs w:val="24"/>
          <w:lang w:val="zh-CN"/>
        </w:rPr>
        <w:t>军队改革和装备信息化水平提升</w:t>
      </w:r>
      <w:r>
        <w:rPr>
          <w:rFonts w:eastAsia="Times New Roman"/>
          <w:kern w:val="0"/>
          <w:sz w:val="21"/>
          <w:szCs w:val="24"/>
          <w:lang w:val="zh-CN"/>
        </w:rPr>
        <w:t>”</w:t>
      </w:r>
      <w:r>
        <w:rPr>
          <w:rFonts w:hint="eastAsia" w:ascii="宋体" w:hAnsi="宋体" w:cs="宋体"/>
          <w:kern w:val="0"/>
          <w:sz w:val="21"/>
          <w:szCs w:val="24"/>
          <w:lang w:val="zh-CN"/>
        </w:rPr>
        <w:t>以及海洋维权等防务能力提升的背景下，公司军品和民品业务将迎来重大发展机遇。</w:t>
      </w:r>
    </w:p>
    <w:p>
      <w:pPr>
        <w:autoSpaceDE w:val="0"/>
        <w:autoSpaceDN w:val="0"/>
        <w:adjustRightInd w:val="0"/>
        <w:spacing w:before="0" w:after="0"/>
        <w:ind w:firstLine="420"/>
        <w:rPr>
          <w:rFonts w:eastAsia="Times New Roman"/>
          <w:kern w:val="0"/>
          <w:sz w:val="21"/>
          <w:szCs w:val="24"/>
          <w:lang w:val="zh-CN"/>
        </w:rPr>
      </w:pPr>
    </w:p>
    <w:p>
      <w:pPr>
        <w:autoSpaceDE w:val="0"/>
        <w:autoSpaceDN w:val="0"/>
        <w:adjustRightInd w:val="0"/>
        <w:spacing w:before="0" w:after="0"/>
        <w:ind w:firstLine="422"/>
        <w:jc w:val="left"/>
        <w:rPr>
          <w:rFonts w:eastAsia="Times New Roman"/>
          <w:b/>
          <w:kern w:val="0"/>
          <w:sz w:val="21"/>
          <w:szCs w:val="24"/>
          <w:lang w:val="zh-CN"/>
        </w:rPr>
      </w:pPr>
      <w:r>
        <w:rPr>
          <w:rFonts w:eastAsia="Times New Roman"/>
          <w:b/>
          <w:kern w:val="0"/>
          <w:sz w:val="21"/>
          <w:szCs w:val="24"/>
          <w:lang w:val="zh-CN"/>
        </w:rPr>
        <w:t>(</w:t>
      </w:r>
      <w:r>
        <w:rPr>
          <w:rFonts w:hint="eastAsia" w:ascii="宋体" w:hAnsi="宋体" w:cs="宋体"/>
          <w:b/>
          <w:kern w:val="0"/>
          <w:sz w:val="21"/>
          <w:szCs w:val="24"/>
          <w:lang w:val="zh-CN"/>
        </w:rPr>
        <w:t>四</w:t>
      </w:r>
      <w:r>
        <w:rPr>
          <w:rFonts w:eastAsia="Times New Roman"/>
          <w:b/>
          <w:kern w:val="0"/>
          <w:sz w:val="21"/>
          <w:szCs w:val="24"/>
          <w:lang w:val="zh-CN"/>
        </w:rPr>
        <w:t>)</w:t>
      </w:r>
      <w:r>
        <w:rPr>
          <w:rFonts w:hint="eastAsia" w:ascii="宋体" w:hAnsi="宋体" w:cs="宋体"/>
          <w:b/>
          <w:kern w:val="0"/>
          <w:sz w:val="21"/>
          <w:szCs w:val="24"/>
          <w:lang w:val="zh-CN"/>
        </w:rPr>
        <w:t>公司二〇一七年度工作计划</w:t>
      </w:r>
    </w:p>
    <w:p>
      <w:pPr>
        <w:autoSpaceDE w:val="0"/>
        <w:autoSpaceDN w:val="0"/>
        <w:adjustRightInd w:val="0"/>
        <w:ind w:firstLine="420"/>
        <w:rPr>
          <w:rFonts w:eastAsia="Times New Roman"/>
          <w:kern w:val="0"/>
          <w:sz w:val="21"/>
          <w:szCs w:val="24"/>
          <w:lang w:val="zh-CN"/>
        </w:rPr>
      </w:pPr>
      <w:r>
        <w:rPr>
          <w:rFonts w:hint="eastAsia" w:ascii="宋体" w:hAnsi="宋体" w:cs="宋体"/>
          <w:kern w:val="0"/>
          <w:sz w:val="21"/>
          <w:szCs w:val="24"/>
          <w:lang w:val="zh-CN"/>
        </w:rPr>
        <w:t>未来五年，公司还将聚焦于</w:t>
      </w:r>
      <w:r>
        <w:rPr>
          <w:rFonts w:eastAsia="Times New Roman"/>
          <w:kern w:val="0"/>
          <w:sz w:val="21"/>
          <w:szCs w:val="24"/>
          <w:lang w:val="zh-CN"/>
        </w:rPr>
        <w:t>“</w:t>
      </w:r>
      <w:r>
        <w:rPr>
          <w:rFonts w:hint="eastAsia" w:ascii="宋体" w:hAnsi="宋体" w:cs="宋体"/>
          <w:kern w:val="0"/>
          <w:sz w:val="21"/>
          <w:szCs w:val="24"/>
          <w:lang w:val="zh-CN"/>
        </w:rPr>
        <w:t>海</w:t>
      </w:r>
      <w:r>
        <w:rPr>
          <w:rFonts w:eastAsia="Times New Roman"/>
          <w:kern w:val="0"/>
          <w:sz w:val="21"/>
          <w:szCs w:val="24"/>
          <w:lang w:val="zh-CN"/>
        </w:rPr>
        <w:t>”</w:t>
      </w:r>
      <w:r>
        <w:rPr>
          <w:rFonts w:hint="eastAsia" w:ascii="宋体" w:hAnsi="宋体" w:cs="宋体"/>
          <w:kern w:val="0"/>
          <w:sz w:val="21"/>
          <w:szCs w:val="24"/>
          <w:lang w:val="zh-CN"/>
        </w:rPr>
        <w:t>这个领域，坚持公司的愿景、使命与核心价值观。公司还将坚持自身的</w:t>
      </w:r>
      <w:r>
        <w:rPr>
          <w:rFonts w:eastAsia="Times New Roman"/>
          <w:kern w:val="0"/>
          <w:sz w:val="21"/>
          <w:szCs w:val="24"/>
          <w:lang w:val="zh-CN"/>
        </w:rPr>
        <w:t>“</w:t>
      </w:r>
      <w:r>
        <w:rPr>
          <w:rFonts w:hint="eastAsia" w:ascii="宋体" w:hAnsi="宋体" w:cs="宋体"/>
          <w:kern w:val="0"/>
          <w:sz w:val="21"/>
          <w:szCs w:val="24"/>
          <w:lang w:val="zh-CN"/>
        </w:rPr>
        <w:t>三驱动</w:t>
      </w:r>
      <w:r>
        <w:rPr>
          <w:rFonts w:eastAsia="Times New Roman"/>
          <w:kern w:val="0"/>
          <w:sz w:val="21"/>
          <w:szCs w:val="24"/>
          <w:lang w:val="zh-CN"/>
        </w:rPr>
        <w:t>”</w:t>
      </w:r>
      <w:r>
        <w:rPr>
          <w:rFonts w:hint="eastAsia" w:ascii="宋体" w:hAnsi="宋体" w:cs="宋体"/>
          <w:kern w:val="0"/>
          <w:sz w:val="21"/>
          <w:szCs w:val="24"/>
          <w:lang w:val="zh-CN"/>
        </w:rPr>
        <w:t>发展战略，即：国际化驱动本地化，资本驱动实业，军民深度融合相互驱动。公司要抵御各种诱惑，信奉坚持产生价值的文化。</w:t>
      </w:r>
      <w:r>
        <w:rPr>
          <w:rFonts w:eastAsia="Times New Roman"/>
          <w:kern w:val="0"/>
          <w:sz w:val="21"/>
          <w:szCs w:val="24"/>
          <w:lang w:val="zh-CN"/>
        </w:rPr>
        <w:t>2017</w:t>
      </w:r>
      <w:r>
        <w:rPr>
          <w:rFonts w:hint="eastAsia" w:ascii="宋体" w:hAnsi="宋体" w:cs="宋体"/>
          <w:kern w:val="0"/>
          <w:sz w:val="21"/>
          <w:szCs w:val="24"/>
          <w:lang w:val="zh-CN"/>
        </w:rPr>
        <w:t>年，公司要放眼未来，奠定持续发展的基础，从以往以业绩为主转变为能力与业绩并重。</w:t>
      </w:r>
      <w:r>
        <w:rPr>
          <w:rFonts w:eastAsia="Times New Roman"/>
          <w:kern w:val="0"/>
          <w:sz w:val="21"/>
          <w:szCs w:val="24"/>
          <w:lang w:val="zh-CN"/>
        </w:rPr>
        <w:t>2017</w:t>
      </w:r>
      <w:r>
        <w:rPr>
          <w:rFonts w:hint="eastAsia" w:ascii="宋体" w:hAnsi="宋体" w:cs="宋体"/>
          <w:kern w:val="0"/>
          <w:sz w:val="21"/>
          <w:szCs w:val="24"/>
          <w:lang w:val="zh-CN"/>
        </w:rPr>
        <w:t>年公司在实现经营指标的同时，要切实做好能力提升工作</w:t>
      </w:r>
      <w:r>
        <w:rPr>
          <w:rFonts w:eastAsia="Times New Roman"/>
          <w:kern w:val="0"/>
          <w:sz w:val="21"/>
          <w:szCs w:val="24"/>
          <w:lang w:val="zh-CN"/>
        </w:rPr>
        <w:t>,</w:t>
      </w:r>
      <w:r>
        <w:rPr>
          <w:rFonts w:hint="eastAsia" w:ascii="宋体" w:hAnsi="宋体" w:cs="宋体"/>
          <w:kern w:val="0"/>
          <w:sz w:val="21"/>
          <w:szCs w:val="24"/>
          <w:lang w:val="zh-CN"/>
        </w:rPr>
        <w:t>包括核心技术能力</w:t>
      </w:r>
      <w:r>
        <w:rPr>
          <w:rFonts w:eastAsia="Times New Roman"/>
          <w:kern w:val="0"/>
          <w:sz w:val="21"/>
          <w:szCs w:val="24"/>
          <w:lang w:val="zh-CN"/>
        </w:rPr>
        <w:t>,</w:t>
      </w:r>
      <w:r>
        <w:rPr>
          <w:rFonts w:hint="eastAsia" w:ascii="宋体" w:hAnsi="宋体" w:cs="宋体"/>
          <w:kern w:val="0"/>
          <w:sz w:val="21"/>
          <w:szCs w:val="24"/>
          <w:lang w:val="zh-CN"/>
        </w:rPr>
        <w:t>核心经营能力，综合管理能力</w:t>
      </w:r>
      <w:r>
        <w:rPr>
          <w:rFonts w:eastAsia="Times New Roman"/>
          <w:kern w:val="0"/>
          <w:sz w:val="21"/>
          <w:szCs w:val="24"/>
          <w:lang w:val="zh-CN"/>
        </w:rPr>
        <w:t>,</w:t>
      </w:r>
      <w:r>
        <w:rPr>
          <w:rFonts w:hint="eastAsia" w:ascii="宋体" w:hAnsi="宋体" w:cs="宋体"/>
          <w:kern w:val="0"/>
          <w:sz w:val="21"/>
          <w:szCs w:val="24"/>
          <w:lang w:val="zh-CN"/>
        </w:rPr>
        <w:t>军工业务能力，文化软实力等。</w:t>
      </w:r>
    </w:p>
    <w:p>
      <w:pPr>
        <w:autoSpaceDE w:val="0"/>
        <w:autoSpaceDN w:val="0"/>
        <w:adjustRightInd w:val="0"/>
        <w:spacing w:before="0" w:after="0"/>
        <w:ind w:firstLine="424"/>
        <w:jc w:val="left"/>
        <w:rPr>
          <w:rFonts w:eastAsia="Times New Roman"/>
          <w:kern w:val="0"/>
          <w:sz w:val="21"/>
          <w:szCs w:val="24"/>
          <w:lang w:val="zh-CN"/>
        </w:rPr>
      </w:pPr>
      <w:r>
        <w:rPr>
          <w:rFonts w:eastAsia="Times New Roman"/>
          <w:kern w:val="0"/>
          <w:sz w:val="21"/>
          <w:szCs w:val="24"/>
          <w:lang w:val="zh-CN"/>
        </w:rPr>
        <w:t>2017</w:t>
      </w:r>
      <w:r>
        <w:rPr>
          <w:rFonts w:hint="eastAsia" w:ascii="宋体" w:hAnsi="宋体" w:cs="宋体"/>
          <w:kern w:val="0"/>
          <w:sz w:val="21"/>
          <w:szCs w:val="24"/>
          <w:lang w:val="zh-CN"/>
        </w:rPr>
        <w:t>年年度核心工作将围绕能力提升、布局海洋、巩固海事、创新分享等四大方面开展工作。</w:t>
      </w:r>
    </w:p>
    <w:p>
      <w:pPr>
        <w:autoSpaceDE w:val="0"/>
        <w:autoSpaceDN w:val="0"/>
        <w:adjustRightInd w:val="0"/>
        <w:ind w:firstLine="422"/>
        <w:rPr>
          <w:rFonts w:eastAsia="Times New Roman"/>
          <w:b/>
          <w:kern w:val="0"/>
          <w:sz w:val="21"/>
          <w:szCs w:val="24"/>
          <w:lang w:val="zh-CN"/>
        </w:rPr>
      </w:pPr>
      <w:r>
        <w:rPr>
          <w:rFonts w:eastAsia="Times New Roman"/>
          <w:b/>
          <w:kern w:val="0"/>
          <w:sz w:val="21"/>
          <w:szCs w:val="24"/>
          <w:lang w:val="zh-CN"/>
        </w:rPr>
        <w:t>1</w:t>
      </w:r>
      <w:r>
        <w:rPr>
          <w:rFonts w:hint="eastAsia" w:ascii="宋体" w:hAnsi="宋体" w:cs="宋体"/>
          <w:b/>
          <w:kern w:val="0"/>
          <w:sz w:val="21"/>
          <w:szCs w:val="24"/>
          <w:lang w:val="zh-CN"/>
        </w:rPr>
        <w:t>、能力提升</w:t>
      </w:r>
    </w:p>
    <w:p>
      <w:pPr>
        <w:autoSpaceDE w:val="0"/>
        <w:autoSpaceDN w:val="0"/>
        <w:adjustRightInd w:val="0"/>
        <w:spacing w:before="0" w:after="0"/>
        <w:ind w:firstLine="424"/>
        <w:jc w:val="left"/>
        <w:rPr>
          <w:rFonts w:eastAsia="Times New Roman"/>
          <w:kern w:val="0"/>
          <w:sz w:val="21"/>
          <w:szCs w:val="24"/>
          <w:lang w:val="zh-CN"/>
        </w:rPr>
      </w:pPr>
      <w:r>
        <w:rPr>
          <w:rFonts w:eastAsia="Times New Roman"/>
          <w:kern w:val="0"/>
          <w:sz w:val="21"/>
          <w:szCs w:val="24"/>
          <w:lang w:val="zh-CN"/>
        </w:rPr>
        <w:t>2017</w:t>
      </w:r>
      <w:r>
        <w:rPr>
          <w:rFonts w:hint="eastAsia" w:ascii="宋体" w:hAnsi="宋体" w:cs="宋体"/>
          <w:kern w:val="0"/>
          <w:sz w:val="21"/>
          <w:szCs w:val="24"/>
          <w:lang w:val="zh-CN"/>
        </w:rPr>
        <w:t>年，能力提升工作将作为贯穿全年的核心工作。其中重点包括军工能力提升、技术能力提升、经营能力提升、投后管理提升、综合管理提升、以及文化软实力的提升。为全面做好能力提升工作，公司在年度任务指标考核、组织设计、人才引进及培养等方面入手，其中每个业务单元的核心指标都包括能力提升指标，组织设计中增加相关的部门或要素，为能力提升引进相关的人才并着力培育相关人才。</w:t>
      </w:r>
    </w:p>
    <w:p>
      <w:pPr>
        <w:autoSpaceDE w:val="0"/>
        <w:autoSpaceDN w:val="0"/>
        <w:adjustRightInd w:val="0"/>
        <w:ind w:firstLine="422"/>
        <w:rPr>
          <w:rFonts w:eastAsia="Times New Roman"/>
          <w:b/>
          <w:kern w:val="0"/>
          <w:sz w:val="21"/>
          <w:szCs w:val="24"/>
          <w:lang w:val="zh-CN"/>
        </w:rPr>
      </w:pPr>
      <w:r>
        <w:rPr>
          <w:rFonts w:eastAsia="Times New Roman"/>
          <w:b/>
          <w:kern w:val="0"/>
          <w:sz w:val="21"/>
          <w:szCs w:val="24"/>
          <w:lang w:val="zh-CN"/>
        </w:rPr>
        <w:t>2</w:t>
      </w:r>
      <w:r>
        <w:rPr>
          <w:rFonts w:hint="eastAsia" w:ascii="宋体" w:hAnsi="宋体" w:cs="宋体"/>
          <w:b/>
          <w:kern w:val="0"/>
          <w:sz w:val="21"/>
          <w:szCs w:val="24"/>
          <w:lang w:val="zh-CN"/>
        </w:rPr>
        <w:t>、布局海洋</w:t>
      </w:r>
    </w:p>
    <w:p>
      <w:pPr>
        <w:autoSpaceDE w:val="0"/>
        <w:autoSpaceDN w:val="0"/>
        <w:adjustRightInd w:val="0"/>
        <w:spacing w:before="0" w:after="0"/>
        <w:ind w:firstLine="424"/>
        <w:jc w:val="left"/>
        <w:rPr>
          <w:rFonts w:eastAsia="Times New Roman"/>
          <w:kern w:val="0"/>
          <w:sz w:val="21"/>
          <w:szCs w:val="24"/>
          <w:lang w:val="zh-CN"/>
        </w:rPr>
      </w:pPr>
      <w:r>
        <w:rPr>
          <w:rFonts w:eastAsia="Times New Roman"/>
          <w:kern w:val="0"/>
          <w:sz w:val="21"/>
          <w:szCs w:val="24"/>
          <w:lang w:val="zh-CN"/>
        </w:rPr>
        <w:t>2017</w:t>
      </w:r>
      <w:r>
        <w:rPr>
          <w:rFonts w:hint="eastAsia" w:ascii="宋体" w:hAnsi="宋体" w:cs="宋体"/>
          <w:kern w:val="0"/>
          <w:sz w:val="21"/>
          <w:szCs w:val="24"/>
          <w:lang w:val="zh-CN"/>
        </w:rPr>
        <w:t>年，是十三五的第二年，是国家智慧海洋建设、军民融合全球海洋观测等重大项目的实质启动年，国家海洋科技产业将迎来大发展的良好契机。</w:t>
      </w:r>
    </w:p>
    <w:p>
      <w:pPr>
        <w:autoSpaceDE w:val="0"/>
        <w:autoSpaceDN w:val="0"/>
        <w:adjustRightInd w:val="0"/>
        <w:spacing w:before="0" w:after="0"/>
        <w:ind w:firstLine="424"/>
        <w:jc w:val="left"/>
        <w:rPr>
          <w:rFonts w:eastAsia="Times New Roman"/>
          <w:kern w:val="0"/>
          <w:sz w:val="21"/>
          <w:szCs w:val="24"/>
          <w:lang w:val="zh-CN"/>
        </w:rPr>
      </w:pPr>
      <w:r>
        <w:rPr>
          <w:rFonts w:hint="eastAsia" w:ascii="宋体" w:hAnsi="宋体" w:cs="宋体"/>
          <w:kern w:val="0"/>
          <w:sz w:val="21"/>
          <w:szCs w:val="24"/>
          <w:lang w:val="zh-CN"/>
        </w:rPr>
        <w:t>公司将重力拓展在海洋产业的布局，做好海洋领域的关键项目，树立海洋领域的示范性工程。同时，公司海洋体系做好统领全局的工作</w:t>
      </w:r>
      <w:r>
        <w:rPr>
          <w:rFonts w:eastAsia="Times New Roman"/>
          <w:kern w:val="0"/>
          <w:sz w:val="21"/>
          <w:szCs w:val="24"/>
          <w:lang w:val="zh-CN"/>
        </w:rPr>
        <w:t>,</w:t>
      </w:r>
      <w:r>
        <w:rPr>
          <w:rFonts w:hint="eastAsia" w:ascii="宋体" w:hAnsi="宋体" w:cs="宋体"/>
          <w:kern w:val="0"/>
          <w:sz w:val="21"/>
          <w:szCs w:val="24"/>
          <w:lang w:val="zh-CN"/>
        </w:rPr>
        <w:t>以海底关键技术布局海底网，以三亚布局近海雷达信息网，以劳雷布局传感器，以广东蓝图渗透软件服务。公司将进一步深入洞察</w:t>
      </w:r>
      <w:r>
        <w:rPr>
          <w:rFonts w:eastAsia="Times New Roman"/>
          <w:kern w:val="0"/>
          <w:sz w:val="21"/>
          <w:szCs w:val="24"/>
          <w:lang w:val="zh-CN"/>
        </w:rPr>
        <w:t>,</w:t>
      </w:r>
      <w:r>
        <w:rPr>
          <w:rFonts w:hint="eastAsia" w:ascii="宋体" w:hAnsi="宋体" w:cs="宋体"/>
          <w:kern w:val="0"/>
          <w:sz w:val="21"/>
          <w:szCs w:val="24"/>
          <w:lang w:val="zh-CN"/>
        </w:rPr>
        <w:t>规划修订公司海洋发展战略</w:t>
      </w:r>
      <w:r>
        <w:rPr>
          <w:rFonts w:eastAsia="Times New Roman"/>
          <w:kern w:val="0"/>
          <w:sz w:val="21"/>
          <w:szCs w:val="24"/>
          <w:lang w:val="zh-CN"/>
        </w:rPr>
        <w:t>,</w:t>
      </w:r>
      <w:r>
        <w:rPr>
          <w:rFonts w:hint="eastAsia" w:ascii="宋体" w:hAnsi="宋体" w:cs="宋体"/>
          <w:kern w:val="0"/>
          <w:sz w:val="21"/>
          <w:szCs w:val="24"/>
          <w:lang w:val="zh-CN"/>
        </w:rPr>
        <w:t>引导资本投向</w:t>
      </w:r>
      <w:r>
        <w:rPr>
          <w:rFonts w:eastAsia="Times New Roman"/>
          <w:kern w:val="0"/>
          <w:sz w:val="21"/>
          <w:szCs w:val="24"/>
          <w:lang w:val="zh-CN"/>
        </w:rPr>
        <w:t>,</w:t>
      </w:r>
      <w:r>
        <w:rPr>
          <w:rFonts w:hint="eastAsia" w:ascii="宋体" w:hAnsi="宋体" w:cs="宋体"/>
          <w:kern w:val="0"/>
          <w:sz w:val="21"/>
          <w:szCs w:val="24"/>
          <w:lang w:val="zh-CN"/>
        </w:rPr>
        <w:t>打磨海洋核心团队，深度参与国家智慧海洋规划。</w:t>
      </w:r>
    </w:p>
    <w:p>
      <w:pPr>
        <w:autoSpaceDE w:val="0"/>
        <w:autoSpaceDN w:val="0"/>
        <w:adjustRightInd w:val="0"/>
        <w:ind w:firstLine="422"/>
        <w:rPr>
          <w:rFonts w:eastAsia="Times New Roman"/>
          <w:b/>
          <w:kern w:val="0"/>
          <w:sz w:val="21"/>
          <w:szCs w:val="24"/>
          <w:lang w:val="zh-CN"/>
        </w:rPr>
      </w:pPr>
      <w:r>
        <w:rPr>
          <w:rFonts w:eastAsia="Times New Roman"/>
          <w:b/>
          <w:kern w:val="0"/>
          <w:sz w:val="21"/>
          <w:szCs w:val="24"/>
          <w:lang w:val="zh-CN"/>
        </w:rPr>
        <w:t>3</w:t>
      </w:r>
      <w:r>
        <w:rPr>
          <w:rFonts w:hint="eastAsia" w:ascii="宋体" w:hAnsi="宋体" w:cs="宋体"/>
          <w:b/>
          <w:kern w:val="0"/>
          <w:sz w:val="21"/>
          <w:szCs w:val="24"/>
          <w:lang w:val="zh-CN"/>
        </w:rPr>
        <w:t>、巩固海事</w:t>
      </w:r>
    </w:p>
    <w:p>
      <w:pPr>
        <w:autoSpaceDE w:val="0"/>
        <w:autoSpaceDN w:val="0"/>
        <w:adjustRightInd w:val="0"/>
        <w:spacing w:before="0" w:after="0"/>
        <w:ind w:firstLine="424"/>
        <w:jc w:val="left"/>
        <w:rPr>
          <w:rFonts w:eastAsia="Times New Roman"/>
          <w:kern w:val="0"/>
          <w:sz w:val="21"/>
          <w:szCs w:val="24"/>
          <w:lang w:val="zh-CN"/>
        </w:rPr>
      </w:pPr>
      <w:r>
        <w:rPr>
          <w:rFonts w:hint="eastAsia" w:ascii="宋体" w:hAnsi="宋体" w:cs="宋体"/>
          <w:kern w:val="0"/>
          <w:sz w:val="21"/>
          <w:szCs w:val="24"/>
          <w:lang w:val="zh-CN"/>
        </w:rPr>
        <w:t>花大力量在能力提升上，尤其是技术研发能力、军工经营能力、内部管理能力等，使得本事业部成为公司发展的战略支撑。重点突破核心技术、强化军工能力，发力智能化，打造核心团队。</w:t>
      </w:r>
    </w:p>
    <w:p>
      <w:pPr>
        <w:autoSpaceDE w:val="0"/>
        <w:autoSpaceDN w:val="0"/>
        <w:adjustRightInd w:val="0"/>
        <w:ind w:firstLine="422"/>
        <w:rPr>
          <w:rFonts w:eastAsia="Times New Roman"/>
          <w:b/>
          <w:kern w:val="0"/>
          <w:sz w:val="21"/>
          <w:szCs w:val="24"/>
          <w:lang w:val="zh-CN"/>
        </w:rPr>
      </w:pPr>
      <w:r>
        <w:rPr>
          <w:rFonts w:eastAsia="Times New Roman"/>
          <w:b/>
          <w:kern w:val="0"/>
          <w:sz w:val="21"/>
          <w:szCs w:val="24"/>
          <w:lang w:val="zh-CN"/>
        </w:rPr>
        <w:t>4</w:t>
      </w:r>
      <w:r>
        <w:rPr>
          <w:rFonts w:hint="eastAsia" w:ascii="宋体" w:hAnsi="宋体" w:cs="宋体"/>
          <w:b/>
          <w:kern w:val="0"/>
          <w:sz w:val="21"/>
          <w:szCs w:val="24"/>
          <w:lang w:val="zh-CN"/>
        </w:rPr>
        <w:t>、创新分享</w:t>
      </w:r>
    </w:p>
    <w:p>
      <w:pPr>
        <w:autoSpaceDE w:val="0"/>
        <w:autoSpaceDN w:val="0"/>
        <w:adjustRightInd w:val="0"/>
        <w:spacing w:before="0" w:after="0"/>
        <w:ind w:firstLine="424"/>
        <w:jc w:val="left"/>
        <w:rPr>
          <w:rFonts w:eastAsia="Times New Roman"/>
          <w:kern w:val="0"/>
          <w:sz w:val="21"/>
          <w:szCs w:val="24"/>
          <w:lang w:val="zh-CN"/>
        </w:rPr>
      </w:pPr>
      <w:r>
        <w:rPr>
          <w:rFonts w:hint="eastAsia" w:ascii="宋体" w:hAnsi="宋体" w:cs="宋体"/>
          <w:kern w:val="0"/>
          <w:sz w:val="21"/>
          <w:szCs w:val="24"/>
          <w:lang w:val="zh-CN"/>
        </w:rPr>
        <w:t>本年度将全力推进与践行模式创新，在国家海洋建设领域</w:t>
      </w:r>
      <w:r>
        <w:rPr>
          <w:rFonts w:eastAsia="Times New Roman"/>
          <w:kern w:val="0"/>
          <w:sz w:val="21"/>
          <w:szCs w:val="24"/>
          <w:lang w:val="zh-CN"/>
        </w:rPr>
        <w:t>,</w:t>
      </w:r>
      <w:r>
        <w:rPr>
          <w:rFonts w:hint="eastAsia" w:ascii="宋体" w:hAnsi="宋体" w:cs="宋体"/>
          <w:kern w:val="0"/>
          <w:sz w:val="21"/>
          <w:szCs w:val="24"/>
          <w:lang w:val="zh-CN"/>
        </w:rPr>
        <w:t>推动企业建设</w:t>
      </w:r>
      <w:r>
        <w:rPr>
          <w:rFonts w:eastAsia="Times New Roman"/>
          <w:kern w:val="0"/>
          <w:sz w:val="21"/>
          <w:szCs w:val="24"/>
          <w:lang w:val="zh-CN"/>
        </w:rPr>
        <w:t>,</w:t>
      </w:r>
      <w:r>
        <w:rPr>
          <w:rFonts w:hint="eastAsia" w:ascii="宋体" w:hAnsi="宋体" w:cs="宋体"/>
          <w:kern w:val="0"/>
          <w:sz w:val="21"/>
          <w:szCs w:val="24"/>
          <w:lang w:val="zh-CN"/>
        </w:rPr>
        <w:t>用户购买服务的新模式。本年公司将进一步推进激励与分享工作，从顶层设计入手，推出切实可行的激励分享政策，让员工分享到公司发展的成果，让核心团队成员逐步发展成为公司的主人。</w:t>
      </w:r>
    </w:p>
    <w:p>
      <w:pPr>
        <w:pStyle w:val="10"/>
        <w:outlineLvl w:val="1"/>
        <w:rPr>
          <w:bCs w:val="0"/>
        </w:rPr>
      </w:pPr>
      <w:r>
        <w:rPr>
          <w:rFonts w:hint="eastAsia"/>
          <w:bCs w:val="0"/>
        </w:rPr>
        <w:t>十、接待调研、沟通、采访等活动登记表</w:t>
      </w:r>
    </w:p>
    <w:p>
      <w:pPr>
        <w:pStyle w:val="11"/>
        <w:outlineLvl w:val="2"/>
        <w:rPr>
          <w:bCs w:val="0"/>
          <w:szCs w:val="24"/>
        </w:rPr>
      </w:pPr>
      <w:r>
        <w:rPr>
          <w:bCs w:val="0"/>
          <w:szCs w:val="24"/>
        </w:rPr>
        <w:t>1</w:t>
      </w:r>
      <w:r>
        <w:rPr>
          <w:rFonts w:hint="eastAsia"/>
          <w:bCs w:val="0"/>
          <w:szCs w:val="24"/>
        </w:rPr>
        <w:t>、报告期内接待调研、沟通、采访等活动登记表</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tbl>
      <w:tblPr>
        <w:tblStyle w:val="8"/>
        <w:tblW w:w="9569" w:type="dxa"/>
        <w:tblInd w:w="28" w:type="dxa"/>
        <w:tblLayout w:type="fixed"/>
        <w:tblCellMar>
          <w:top w:w="0" w:type="dxa"/>
          <w:left w:w="28" w:type="dxa"/>
          <w:bottom w:w="0" w:type="dxa"/>
          <w:right w:w="28" w:type="dxa"/>
        </w:tblCellMar>
      </w:tblPr>
      <w:tblGrid>
        <w:gridCol w:w="2178"/>
        <w:gridCol w:w="2177"/>
        <w:gridCol w:w="2177"/>
        <w:gridCol w:w="3037"/>
      </w:tblGrid>
      <w:tr>
        <w:tblPrEx>
          <w:tblLayout w:type="fixed"/>
          <w:tblCellMar>
            <w:top w:w="0" w:type="dxa"/>
            <w:left w:w="28" w:type="dxa"/>
            <w:bottom w:w="0" w:type="dxa"/>
            <w:right w:w="28" w:type="dxa"/>
          </w:tblCellMar>
        </w:tblPrEx>
        <w:tc>
          <w:tcPr>
            <w:tcW w:w="2178"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接待时间</w:t>
            </w:r>
          </w:p>
        </w:tc>
        <w:tc>
          <w:tcPr>
            <w:tcW w:w="217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接待方式</w:t>
            </w:r>
          </w:p>
        </w:tc>
        <w:tc>
          <w:tcPr>
            <w:tcW w:w="217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接待对象类型</w:t>
            </w:r>
          </w:p>
        </w:tc>
        <w:tc>
          <w:tcPr>
            <w:tcW w:w="303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调研的基本情况索引</w:t>
            </w:r>
          </w:p>
        </w:tc>
      </w:tr>
      <w:tr>
        <w:tblPrEx>
          <w:tblLayout w:type="fixed"/>
          <w:tblCellMar>
            <w:top w:w="0" w:type="dxa"/>
            <w:left w:w="28" w:type="dxa"/>
            <w:bottom w:w="0" w:type="dxa"/>
            <w:right w:w="28" w:type="dxa"/>
          </w:tblCellMar>
        </w:tblPrEx>
        <w:tc>
          <w:tcPr>
            <w:tcW w:w="217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01</w:t>
            </w:r>
            <w:r>
              <w:rPr>
                <w:rFonts w:hint="eastAsia"/>
                <w:szCs w:val="24"/>
              </w:rPr>
              <w:t>月</w:t>
            </w:r>
            <w:r>
              <w:rPr>
                <w:szCs w:val="24"/>
              </w:rPr>
              <w:t>12</w:t>
            </w:r>
            <w:r>
              <w:rPr>
                <w:rFonts w:hint="eastAsia"/>
                <w:szCs w:val="24"/>
              </w:rPr>
              <w:t>日</w:t>
            </w:r>
          </w:p>
        </w:tc>
        <w:tc>
          <w:tcPr>
            <w:tcW w:w="217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实地调研</w:t>
            </w:r>
          </w:p>
        </w:tc>
        <w:tc>
          <w:tcPr>
            <w:tcW w:w="217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机构</w:t>
            </w:r>
          </w:p>
        </w:tc>
        <w:tc>
          <w:tcPr>
            <w:tcW w:w="303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http://irm.cninfo.com.cn/ssessgs/S300065/index.html</w:t>
            </w:r>
          </w:p>
        </w:tc>
      </w:tr>
      <w:tr>
        <w:tblPrEx>
          <w:tblLayout w:type="fixed"/>
          <w:tblCellMar>
            <w:top w:w="0" w:type="dxa"/>
            <w:left w:w="28" w:type="dxa"/>
            <w:bottom w:w="0" w:type="dxa"/>
            <w:right w:w="28" w:type="dxa"/>
          </w:tblCellMar>
        </w:tblPrEx>
        <w:tc>
          <w:tcPr>
            <w:tcW w:w="217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02</w:t>
            </w:r>
            <w:r>
              <w:rPr>
                <w:rFonts w:hint="eastAsia"/>
                <w:szCs w:val="24"/>
              </w:rPr>
              <w:t>月</w:t>
            </w:r>
            <w:r>
              <w:rPr>
                <w:szCs w:val="24"/>
              </w:rPr>
              <w:t>05</w:t>
            </w:r>
            <w:r>
              <w:rPr>
                <w:rFonts w:hint="eastAsia"/>
                <w:szCs w:val="24"/>
              </w:rPr>
              <w:t>日</w:t>
            </w:r>
          </w:p>
        </w:tc>
        <w:tc>
          <w:tcPr>
            <w:tcW w:w="217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实地调研</w:t>
            </w:r>
          </w:p>
        </w:tc>
        <w:tc>
          <w:tcPr>
            <w:tcW w:w="217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机构</w:t>
            </w:r>
          </w:p>
        </w:tc>
        <w:tc>
          <w:tcPr>
            <w:tcW w:w="303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http://irm.cninfo.com.cn/ssessgs/S300065/index.html</w:t>
            </w:r>
          </w:p>
        </w:tc>
      </w:tr>
      <w:tr>
        <w:tblPrEx>
          <w:tblLayout w:type="fixed"/>
          <w:tblCellMar>
            <w:top w:w="0" w:type="dxa"/>
            <w:left w:w="28" w:type="dxa"/>
            <w:bottom w:w="0" w:type="dxa"/>
            <w:right w:w="28" w:type="dxa"/>
          </w:tblCellMar>
        </w:tblPrEx>
        <w:tc>
          <w:tcPr>
            <w:tcW w:w="217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03</w:t>
            </w:r>
            <w:r>
              <w:rPr>
                <w:rFonts w:hint="eastAsia"/>
                <w:szCs w:val="24"/>
              </w:rPr>
              <w:t>月</w:t>
            </w:r>
            <w:r>
              <w:rPr>
                <w:szCs w:val="24"/>
              </w:rPr>
              <w:t>11</w:t>
            </w:r>
            <w:r>
              <w:rPr>
                <w:rFonts w:hint="eastAsia"/>
                <w:szCs w:val="24"/>
              </w:rPr>
              <w:t>日</w:t>
            </w:r>
          </w:p>
        </w:tc>
        <w:tc>
          <w:tcPr>
            <w:tcW w:w="217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实地调研</w:t>
            </w:r>
          </w:p>
        </w:tc>
        <w:tc>
          <w:tcPr>
            <w:tcW w:w="217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机构</w:t>
            </w:r>
          </w:p>
        </w:tc>
        <w:tc>
          <w:tcPr>
            <w:tcW w:w="303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http://irm.cninfo.com.cn/ssessgs/S300065/index.html</w:t>
            </w:r>
          </w:p>
        </w:tc>
      </w:tr>
      <w:tr>
        <w:tblPrEx>
          <w:tblLayout w:type="fixed"/>
          <w:tblCellMar>
            <w:top w:w="0" w:type="dxa"/>
            <w:left w:w="28" w:type="dxa"/>
            <w:bottom w:w="0" w:type="dxa"/>
            <w:right w:w="28" w:type="dxa"/>
          </w:tblCellMar>
        </w:tblPrEx>
        <w:tc>
          <w:tcPr>
            <w:tcW w:w="217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03</w:t>
            </w:r>
            <w:r>
              <w:rPr>
                <w:rFonts w:hint="eastAsia"/>
                <w:szCs w:val="24"/>
              </w:rPr>
              <w:t>月</w:t>
            </w:r>
            <w:r>
              <w:rPr>
                <w:szCs w:val="24"/>
              </w:rPr>
              <w:t>24</w:t>
            </w:r>
            <w:r>
              <w:rPr>
                <w:rFonts w:hint="eastAsia"/>
                <w:szCs w:val="24"/>
              </w:rPr>
              <w:t>日</w:t>
            </w:r>
          </w:p>
        </w:tc>
        <w:tc>
          <w:tcPr>
            <w:tcW w:w="217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实地调研</w:t>
            </w:r>
          </w:p>
        </w:tc>
        <w:tc>
          <w:tcPr>
            <w:tcW w:w="217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机构</w:t>
            </w:r>
          </w:p>
        </w:tc>
        <w:tc>
          <w:tcPr>
            <w:tcW w:w="303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http://irm.cninfo.com.cn/ssessgs/S300065/index.html</w:t>
            </w:r>
          </w:p>
        </w:tc>
      </w:tr>
      <w:tr>
        <w:tblPrEx>
          <w:tblLayout w:type="fixed"/>
          <w:tblCellMar>
            <w:top w:w="0" w:type="dxa"/>
            <w:left w:w="28" w:type="dxa"/>
            <w:bottom w:w="0" w:type="dxa"/>
            <w:right w:w="28" w:type="dxa"/>
          </w:tblCellMar>
        </w:tblPrEx>
        <w:tc>
          <w:tcPr>
            <w:tcW w:w="217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04</w:t>
            </w:r>
            <w:r>
              <w:rPr>
                <w:rFonts w:hint="eastAsia"/>
                <w:szCs w:val="24"/>
              </w:rPr>
              <w:t>月</w:t>
            </w:r>
            <w:r>
              <w:rPr>
                <w:szCs w:val="24"/>
              </w:rPr>
              <w:t>11</w:t>
            </w:r>
            <w:r>
              <w:rPr>
                <w:rFonts w:hint="eastAsia"/>
                <w:szCs w:val="24"/>
              </w:rPr>
              <w:t>日</w:t>
            </w:r>
          </w:p>
        </w:tc>
        <w:tc>
          <w:tcPr>
            <w:tcW w:w="217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实地调研</w:t>
            </w:r>
          </w:p>
        </w:tc>
        <w:tc>
          <w:tcPr>
            <w:tcW w:w="217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机构</w:t>
            </w:r>
          </w:p>
        </w:tc>
        <w:tc>
          <w:tcPr>
            <w:tcW w:w="303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http://irm.cninfo.com.cn/ssessgs/S300065/index.html</w:t>
            </w:r>
          </w:p>
        </w:tc>
      </w:tr>
      <w:tr>
        <w:tblPrEx>
          <w:tblLayout w:type="fixed"/>
          <w:tblCellMar>
            <w:top w:w="0" w:type="dxa"/>
            <w:left w:w="28" w:type="dxa"/>
            <w:bottom w:w="0" w:type="dxa"/>
            <w:right w:w="28" w:type="dxa"/>
          </w:tblCellMar>
        </w:tblPrEx>
        <w:tc>
          <w:tcPr>
            <w:tcW w:w="217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06</w:t>
            </w:r>
            <w:r>
              <w:rPr>
                <w:rFonts w:hint="eastAsia"/>
                <w:szCs w:val="24"/>
              </w:rPr>
              <w:t>月</w:t>
            </w:r>
            <w:r>
              <w:rPr>
                <w:szCs w:val="24"/>
              </w:rPr>
              <w:t>29</w:t>
            </w:r>
            <w:r>
              <w:rPr>
                <w:rFonts w:hint="eastAsia"/>
                <w:szCs w:val="24"/>
              </w:rPr>
              <w:t>日</w:t>
            </w:r>
          </w:p>
        </w:tc>
        <w:tc>
          <w:tcPr>
            <w:tcW w:w="217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实地调研</w:t>
            </w:r>
          </w:p>
        </w:tc>
        <w:tc>
          <w:tcPr>
            <w:tcW w:w="217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机构</w:t>
            </w:r>
          </w:p>
        </w:tc>
        <w:tc>
          <w:tcPr>
            <w:tcW w:w="303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http://irm.cninfo.com.cn/ssessgs/S300065/index.html</w:t>
            </w:r>
          </w:p>
        </w:tc>
      </w:tr>
      <w:tr>
        <w:tblPrEx>
          <w:tblLayout w:type="fixed"/>
          <w:tblCellMar>
            <w:top w:w="0" w:type="dxa"/>
            <w:left w:w="28" w:type="dxa"/>
            <w:bottom w:w="0" w:type="dxa"/>
            <w:right w:w="28" w:type="dxa"/>
          </w:tblCellMar>
        </w:tblPrEx>
        <w:tc>
          <w:tcPr>
            <w:tcW w:w="217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08</w:t>
            </w:r>
            <w:r>
              <w:rPr>
                <w:rFonts w:hint="eastAsia"/>
                <w:szCs w:val="24"/>
              </w:rPr>
              <w:t>月</w:t>
            </w:r>
            <w:r>
              <w:rPr>
                <w:szCs w:val="24"/>
              </w:rPr>
              <w:t>19</w:t>
            </w:r>
            <w:r>
              <w:rPr>
                <w:rFonts w:hint="eastAsia"/>
                <w:szCs w:val="24"/>
              </w:rPr>
              <w:t>日</w:t>
            </w:r>
          </w:p>
        </w:tc>
        <w:tc>
          <w:tcPr>
            <w:tcW w:w="217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实地调研</w:t>
            </w:r>
          </w:p>
        </w:tc>
        <w:tc>
          <w:tcPr>
            <w:tcW w:w="217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机构</w:t>
            </w:r>
          </w:p>
        </w:tc>
        <w:tc>
          <w:tcPr>
            <w:tcW w:w="303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http://irm.cninfo.com.cn/ssessgs/S300065/index.html</w:t>
            </w:r>
          </w:p>
        </w:tc>
      </w:tr>
      <w:tr>
        <w:tblPrEx>
          <w:tblLayout w:type="fixed"/>
          <w:tblCellMar>
            <w:top w:w="0" w:type="dxa"/>
            <w:left w:w="28" w:type="dxa"/>
            <w:bottom w:w="0" w:type="dxa"/>
            <w:right w:w="28" w:type="dxa"/>
          </w:tblCellMar>
        </w:tblPrEx>
        <w:tc>
          <w:tcPr>
            <w:tcW w:w="217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08</w:t>
            </w:r>
            <w:r>
              <w:rPr>
                <w:rFonts w:hint="eastAsia"/>
                <w:szCs w:val="24"/>
              </w:rPr>
              <w:t>月</w:t>
            </w:r>
            <w:r>
              <w:rPr>
                <w:szCs w:val="24"/>
              </w:rPr>
              <w:t>26</w:t>
            </w:r>
            <w:r>
              <w:rPr>
                <w:rFonts w:hint="eastAsia"/>
                <w:szCs w:val="24"/>
              </w:rPr>
              <w:t>日</w:t>
            </w:r>
          </w:p>
        </w:tc>
        <w:tc>
          <w:tcPr>
            <w:tcW w:w="217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实地调研</w:t>
            </w:r>
          </w:p>
        </w:tc>
        <w:tc>
          <w:tcPr>
            <w:tcW w:w="217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机构</w:t>
            </w:r>
          </w:p>
        </w:tc>
        <w:tc>
          <w:tcPr>
            <w:tcW w:w="303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http://irm.cninfo.com.cn/ssessgs/S300065/index.html</w:t>
            </w:r>
          </w:p>
        </w:tc>
      </w:tr>
      <w:tr>
        <w:tblPrEx>
          <w:tblLayout w:type="fixed"/>
          <w:tblCellMar>
            <w:top w:w="0" w:type="dxa"/>
            <w:left w:w="28" w:type="dxa"/>
            <w:bottom w:w="0" w:type="dxa"/>
            <w:right w:w="28" w:type="dxa"/>
          </w:tblCellMar>
        </w:tblPrEx>
        <w:tc>
          <w:tcPr>
            <w:tcW w:w="217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11</w:t>
            </w:r>
            <w:r>
              <w:rPr>
                <w:rFonts w:hint="eastAsia"/>
                <w:szCs w:val="24"/>
              </w:rPr>
              <w:t>月</w:t>
            </w:r>
            <w:r>
              <w:rPr>
                <w:szCs w:val="24"/>
              </w:rPr>
              <w:t>23</w:t>
            </w:r>
            <w:r>
              <w:rPr>
                <w:rFonts w:hint="eastAsia"/>
                <w:szCs w:val="24"/>
              </w:rPr>
              <w:t>日</w:t>
            </w:r>
          </w:p>
        </w:tc>
        <w:tc>
          <w:tcPr>
            <w:tcW w:w="217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实地调研</w:t>
            </w:r>
          </w:p>
        </w:tc>
        <w:tc>
          <w:tcPr>
            <w:tcW w:w="217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机构</w:t>
            </w:r>
          </w:p>
        </w:tc>
        <w:tc>
          <w:tcPr>
            <w:tcW w:w="303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http://irm.cninfo.com.cn/ssessgs/S300065/index.html</w:t>
            </w:r>
          </w:p>
        </w:tc>
      </w:tr>
    </w:tbl>
    <w:p>
      <w:pPr>
        <w:rPr>
          <w:szCs w:val="24"/>
        </w:rPr>
        <w:sectPr>
          <w:pgSz w:w="11906" w:h="16838"/>
          <w:pgMar w:top="1440" w:right="1134" w:bottom="1440" w:left="1134" w:header="851" w:footer="992" w:gutter="0"/>
          <w:cols w:space="425" w:num="1"/>
          <w:docGrid w:type="lines" w:linePitch="312" w:charSpace="0"/>
        </w:sectPr>
      </w:pPr>
    </w:p>
    <w:p>
      <w:pPr>
        <w:pStyle w:val="5"/>
        <w:outlineLvl w:val="0"/>
        <w:rPr>
          <w:bCs w:val="0"/>
          <w:szCs w:val="24"/>
        </w:rPr>
      </w:pPr>
      <w:bookmarkStart w:id="4" w:name="_Toc300000088"/>
      <w:r>
        <w:rPr>
          <w:rFonts w:hint="eastAsia"/>
          <w:bCs w:val="0"/>
          <w:szCs w:val="24"/>
        </w:rPr>
        <w:t>第五节</w:t>
      </w:r>
      <w:r>
        <w:rPr>
          <w:bCs w:val="0"/>
          <w:szCs w:val="24"/>
        </w:rPr>
        <w:t xml:space="preserve"> </w:t>
      </w:r>
      <w:r>
        <w:rPr>
          <w:rFonts w:hint="eastAsia"/>
          <w:bCs w:val="0"/>
          <w:szCs w:val="24"/>
        </w:rPr>
        <w:t>重要事项</w:t>
      </w:r>
      <w:bookmarkEnd w:id="4"/>
    </w:p>
    <w:p>
      <w:pPr>
        <w:pStyle w:val="10"/>
        <w:outlineLvl w:val="1"/>
        <w:rPr>
          <w:bCs w:val="0"/>
        </w:rPr>
      </w:pPr>
      <w:r>
        <w:rPr>
          <w:rFonts w:hint="eastAsia"/>
          <w:bCs w:val="0"/>
        </w:rPr>
        <w:t>一、公司普通股利润分配及资本公积金转增股本情况</w:t>
      </w:r>
    </w:p>
    <w:p>
      <w:pPr>
        <w:jc w:val="left"/>
        <w:rPr>
          <w:szCs w:val="24"/>
        </w:rPr>
      </w:pPr>
      <w:r>
        <w:rPr>
          <w:rFonts w:hint="eastAsia"/>
          <w:szCs w:val="24"/>
        </w:rPr>
        <w:t>报告期内普通股利润分配政策，特别是现金分红政策的制定、执行或调整情况</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autoSpaceDE w:val="0"/>
        <w:autoSpaceDN w:val="0"/>
        <w:adjustRightInd w:val="0"/>
        <w:spacing w:before="0" w:after="0"/>
        <w:ind w:firstLine="412"/>
        <w:rPr>
          <w:rFonts w:eastAsia="Times New Roman"/>
          <w:kern w:val="0"/>
          <w:sz w:val="21"/>
          <w:szCs w:val="24"/>
          <w:lang w:val="zh-CN"/>
        </w:rPr>
      </w:pPr>
      <w:r>
        <w:rPr>
          <w:rFonts w:hint="eastAsia" w:ascii="宋体" w:hAnsi="宋体" w:cs="宋体"/>
          <w:kern w:val="0"/>
          <w:sz w:val="21"/>
          <w:szCs w:val="24"/>
          <w:lang w:val="zh-CN"/>
        </w:rPr>
        <w:t>经第三届董事会第十八次会议和</w:t>
      </w:r>
      <w:r>
        <w:rPr>
          <w:rFonts w:eastAsia="Times New Roman"/>
          <w:kern w:val="0"/>
          <w:sz w:val="21"/>
          <w:szCs w:val="24"/>
          <w:lang w:val="zh-CN"/>
        </w:rPr>
        <w:t>2015</w:t>
      </w:r>
      <w:r>
        <w:rPr>
          <w:rFonts w:hint="eastAsia" w:ascii="宋体" w:hAnsi="宋体" w:cs="宋体"/>
          <w:kern w:val="0"/>
          <w:sz w:val="21"/>
          <w:szCs w:val="24"/>
          <w:lang w:val="zh-CN"/>
        </w:rPr>
        <w:t>年度股东大会批准，公司</w:t>
      </w:r>
      <w:r>
        <w:rPr>
          <w:rFonts w:eastAsia="Times New Roman"/>
          <w:kern w:val="0"/>
          <w:sz w:val="21"/>
          <w:szCs w:val="24"/>
          <w:lang w:val="zh-CN"/>
        </w:rPr>
        <w:t>2015</w:t>
      </w:r>
      <w:r>
        <w:rPr>
          <w:rFonts w:hint="eastAsia" w:ascii="宋体" w:hAnsi="宋体" w:cs="宋体"/>
          <w:kern w:val="0"/>
          <w:sz w:val="21"/>
          <w:szCs w:val="24"/>
          <w:lang w:val="zh-CN"/>
        </w:rPr>
        <w:t>年度分红方案为：以</w:t>
      </w:r>
      <w:r>
        <w:rPr>
          <w:rFonts w:eastAsia="Times New Roman"/>
          <w:kern w:val="0"/>
          <w:sz w:val="21"/>
          <w:szCs w:val="24"/>
          <w:lang w:val="zh-CN"/>
        </w:rPr>
        <w:t>2015</w:t>
      </w:r>
      <w:r>
        <w:rPr>
          <w:rFonts w:hint="eastAsia" w:ascii="宋体" w:hAnsi="宋体" w:cs="宋体"/>
          <w:kern w:val="0"/>
          <w:sz w:val="21"/>
          <w:szCs w:val="24"/>
          <w:lang w:val="zh-CN"/>
        </w:rPr>
        <w:t>年</w:t>
      </w:r>
      <w:r>
        <w:rPr>
          <w:rFonts w:eastAsia="Times New Roman"/>
          <w:kern w:val="0"/>
          <w:sz w:val="21"/>
          <w:szCs w:val="24"/>
          <w:lang w:val="zh-CN"/>
        </w:rPr>
        <w:t>12</w:t>
      </w:r>
      <w:r>
        <w:rPr>
          <w:rFonts w:hint="eastAsia" w:ascii="宋体" w:hAnsi="宋体" w:cs="宋体"/>
          <w:kern w:val="0"/>
          <w:sz w:val="21"/>
          <w:szCs w:val="24"/>
          <w:lang w:val="zh-CN"/>
        </w:rPr>
        <w:t>月</w:t>
      </w:r>
      <w:r>
        <w:rPr>
          <w:rFonts w:eastAsia="Times New Roman"/>
          <w:kern w:val="0"/>
          <w:sz w:val="21"/>
          <w:szCs w:val="24"/>
          <w:lang w:val="zh-CN"/>
        </w:rPr>
        <w:t>31</w:t>
      </w:r>
      <w:r>
        <w:rPr>
          <w:rFonts w:hint="eastAsia" w:ascii="宋体" w:hAnsi="宋体" w:cs="宋体"/>
          <w:kern w:val="0"/>
          <w:sz w:val="21"/>
          <w:szCs w:val="24"/>
          <w:lang w:val="zh-CN"/>
        </w:rPr>
        <w:t>日公司股份总数</w:t>
      </w:r>
      <w:r>
        <w:rPr>
          <w:rFonts w:eastAsia="Times New Roman"/>
          <w:kern w:val="0"/>
          <w:sz w:val="21"/>
          <w:szCs w:val="24"/>
          <w:lang w:val="zh-CN"/>
        </w:rPr>
        <w:t>241,560,648</w:t>
      </w:r>
      <w:r>
        <w:rPr>
          <w:rFonts w:hint="eastAsia" w:ascii="宋体" w:hAnsi="宋体" w:cs="宋体"/>
          <w:kern w:val="0"/>
          <w:sz w:val="21"/>
          <w:szCs w:val="24"/>
          <w:lang w:val="zh-CN"/>
        </w:rPr>
        <w:t>股为基数，向全体股东每</w:t>
      </w:r>
      <w:r>
        <w:rPr>
          <w:rFonts w:eastAsia="Times New Roman"/>
          <w:kern w:val="0"/>
          <w:sz w:val="21"/>
          <w:szCs w:val="24"/>
          <w:lang w:val="zh-CN"/>
        </w:rPr>
        <w:t>10</w:t>
      </w:r>
      <w:r>
        <w:rPr>
          <w:rFonts w:hint="eastAsia" w:ascii="宋体" w:hAnsi="宋体" w:cs="宋体"/>
          <w:kern w:val="0"/>
          <w:sz w:val="21"/>
          <w:szCs w:val="24"/>
          <w:lang w:val="zh-CN"/>
        </w:rPr>
        <w:t>股派发现金股利人民币</w:t>
      </w:r>
      <w:r>
        <w:rPr>
          <w:rFonts w:eastAsia="Times New Roman"/>
          <w:kern w:val="0"/>
          <w:sz w:val="21"/>
          <w:szCs w:val="24"/>
          <w:lang w:val="zh-CN"/>
        </w:rPr>
        <w:t>0.30</w:t>
      </w:r>
      <w:r>
        <w:rPr>
          <w:rFonts w:hint="eastAsia" w:ascii="宋体" w:hAnsi="宋体" w:cs="宋体"/>
          <w:kern w:val="0"/>
          <w:sz w:val="21"/>
          <w:szCs w:val="24"/>
          <w:lang w:val="zh-CN"/>
        </w:rPr>
        <w:t>元（含税），共计派发现金股利</w:t>
      </w:r>
      <w:r>
        <w:rPr>
          <w:rFonts w:eastAsia="Times New Roman"/>
          <w:kern w:val="0"/>
          <w:sz w:val="21"/>
          <w:szCs w:val="24"/>
          <w:lang w:val="zh-CN"/>
        </w:rPr>
        <w:t>7,246,819.44</w:t>
      </w:r>
      <w:r>
        <w:rPr>
          <w:rFonts w:hint="eastAsia" w:ascii="宋体" w:hAnsi="宋体" w:cs="宋体"/>
          <w:kern w:val="0"/>
          <w:sz w:val="21"/>
          <w:szCs w:val="24"/>
          <w:lang w:val="zh-CN"/>
        </w:rPr>
        <w:t>元。委托中国结算深圳分公司代派的现金红利于</w:t>
      </w:r>
      <w:r>
        <w:rPr>
          <w:rFonts w:eastAsia="Times New Roman"/>
          <w:kern w:val="0"/>
          <w:sz w:val="21"/>
          <w:szCs w:val="24"/>
          <w:lang w:val="zh-CN"/>
        </w:rPr>
        <w:t>2016</w:t>
      </w:r>
      <w:r>
        <w:rPr>
          <w:rFonts w:hint="eastAsia" w:ascii="宋体" w:hAnsi="宋体" w:cs="宋体"/>
          <w:kern w:val="0"/>
          <w:sz w:val="21"/>
          <w:szCs w:val="24"/>
          <w:lang w:val="zh-CN"/>
        </w:rPr>
        <w:t>年</w:t>
      </w:r>
      <w:r>
        <w:rPr>
          <w:rFonts w:eastAsia="Times New Roman"/>
          <w:kern w:val="0"/>
          <w:sz w:val="21"/>
          <w:szCs w:val="24"/>
          <w:lang w:val="zh-CN"/>
        </w:rPr>
        <w:t>6</w:t>
      </w:r>
      <w:r>
        <w:rPr>
          <w:rFonts w:hint="eastAsia" w:ascii="宋体" w:hAnsi="宋体" w:cs="宋体"/>
          <w:kern w:val="0"/>
          <w:sz w:val="21"/>
          <w:szCs w:val="24"/>
          <w:lang w:val="zh-CN"/>
        </w:rPr>
        <w:t>月</w:t>
      </w:r>
      <w:r>
        <w:rPr>
          <w:rFonts w:eastAsia="Times New Roman"/>
          <w:kern w:val="0"/>
          <w:sz w:val="21"/>
          <w:szCs w:val="24"/>
          <w:lang w:val="zh-CN"/>
        </w:rPr>
        <w:t>7</w:t>
      </w:r>
      <w:r>
        <w:rPr>
          <w:rFonts w:hint="eastAsia" w:ascii="宋体" w:hAnsi="宋体" w:cs="宋体"/>
          <w:kern w:val="0"/>
          <w:sz w:val="21"/>
          <w:szCs w:val="24"/>
          <w:lang w:val="zh-CN"/>
        </w:rPr>
        <w:t>日通过股东托管证券公司（或其他托管机构）直接划入股东资金账户。</w:t>
      </w:r>
    </w:p>
    <w:tbl>
      <w:tblPr>
        <w:tblStyle w:val="8"/>
        <w:tblW w:w="9568" w:type="dxa"/>
        <w:tblInd w:w="28" w:type="dxa"/>
        <w:tblLayout w:type="fixed"/>
        <w:tblCellMar>
          <w:top w:w="0" w:type="dxa"/>
          <w:left w:w="28" w:type="dxa"/>
          <w:bottom w:w="0" w:type="dxa"/>
          <w:right w:w="28" w:type="dxa"/>
        </w:tblCellMar>
      </w:tblPr>
      <w:tblGrid>
        <w:gridCol w:w="4784"/>
        <w:gridCol w:w="4784"/>
      </w:tblGrid>
      <w:tr>
        <w:tblPrEx>
          <w:tblLayout w:type="fixed"/>
          <w:tblCellMar>
            <w:top w:w="0" w:type="dxa"/>
            <w:left w:w="28" w:type="dxa"/>
            <w:bottom w:w="0" w:type="dxa"/>
            <w:right w:w="28" w:type="dxa"/>
          </w:tblCellMar>
        </w:tblPrEx>
        <w:tc>
          <w:tcPr>
            <w:tcW w:w="9568"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现金分红政策的专项说明</w:t>
            </w:r>
          </w:p>
        </w:tc>
      </w:tr>
      <w:tr>
        <w:tblPrEx>
          <w:tblLayout w:type="fixed"/>
          <w:tblCellMar>
            <w:top w:w="0" w:type="dxa"/>
            <w:left w:w="28" w:type="dxa"/>
            <w:bottom w:w="0" w:type="dxa"/>
            <w:right w:w="28" w:type="dxa"/>
          </w:tblCellMar>
        </w:tblPrEx>
        <w:tc>
          <w:tcPr>
            <w:tcW w:w="478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是否符合公司章程的规定或股东大会决议的要求：</w:t>
            </w:r>
          </w:p>
        </w:tc>
        <w:tc>
          <w:tcPr>
            <w:tcW w:w="47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是</w:t>
            </w:r>
          </w:p>
        </w:tc>
      </w:tr>
      <w:tr>
        <w:tblPrEx>
          <w:tblLayout w:type="fixed"/>
          <w:tblCellMar>
            <w:top w:w="0" w:type="dxa"/>
            <w:left w:w="28" w:type="dxa"/>
            <w:bottom w:w="0" w:type="dxa"/>
            <w:right w:w="28" w:type="dxa"/>
          </w:tblCellMar>
        </w:tblPrEx>
        <w:tc>
          <w:tcPr>
            <w:tcW w:w="478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分红标准和比例是否明确和清晰：</w:t>
            </w:r>
          </w:p>
        </w:tc>
        <w:tc>
          <w:tcPr>
            <w:tcW w:w="47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是</w:t>
            </w:r>
          </w:p>
        </w:tc>
      </w:tr>
      <w:tr>
        <w:tblPrEx>
          <w:tblLayout w:type="fixed"/>
          <w:tblCellMar>
            <w:top w:w="0" w:type="dxa"/>
            <w:left w:w="28" w:type="dxa"/>
            <w:bottom w:w="0" w:type="dxa"/>
            <w:right w:w="28" w:type="dxa"/>
          </w:tblCellMar>
        </w:tblPrEx>
        <w:tc>
          <w:tcPr>
            <w:tcW w:w="478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相关的决策程序和机制是否完备：</w:t>
            </w:r>
          </w:p>
        </w:tc>
        <w:tc>
          <w:tcPr>
            <w:tcW w:w="47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是</w:t>
            </w:r>
          </w:p>
        </w:tc>
      </w:tr>
      <w:tr>
        <w:tblPrEx>
          <w:tblLayout w:type="fixed"/>
          <w:tblCellMar>
            <w:top w:w="0" w:type="dxa"/>
            <w:left w:w="28" w:type="dxa"/>
            <w:bottom w:w="0" w:type="dxa"/>
            <w:right w:w="28" w:type="dxa"/>
          </w:tblCellMar>
        </w:tblPrEx>
        <w:tc>
          <w:tcPr>
            <w:tcW w:w="478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独立董事是否履职尽责并发挥了应有的作用：</w:t>
            </w:r>
          </w:p>
        </w:tc>
        <w:tc>
          <w:tcPr>
            <w:tcW w:w="47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是</w:t>
            </w:r>
          </w:p>
        </w:tc>
      </w:tr>
      <w:tr>
        <w:tblPrEx>
          <w:tblLayout w:type="fixed"/>
          <w:tblCellMar>
            <w:top w:w="0" w:type="dxa"/>
            <w:left w:w="28" w:type="dxa"/>
            <w:bottom w:w="0" w:type="dxa"/>
            <w:right w:w="28" w:type="dxa"/>
          </w:tblCellMar>
        </w:tblPrEx>
        <w:tc>
          <w:tcPr>
            <w:tcW w:w="478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中小股东是否有充分表达意见和诉求的机会，其合法权益是否得到了充分保护：</w:t>
            </w:r>
          </w:p>
        </w:tc>
        <w:tc>
          <w:tcPr>
            <w:tcW w:w="47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是</w:t>
            </w:r>
          </w:p>
        </w:tc>
      </w:tr>
      <w:tr>
        <w:tblPrEx>
          <w:tblLayout w:type="fixed"/>
          <w:tblCellMar>
            <w:top w:w="0" w:type="dxa"/>
            <w:left w:w="28" w:type="dxa"/>
            <w:bottom w:w="0" w:type="dxa"/>
            <w:right w:w="28" w:type="dxa"/>
          </w:tblCellMar>
        </w:tblPrEx>
        <w:tc>
          <w:tcPr>
            <w:tcW w:w="478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现金分红政策进行调整或变更的，条件及程序是否合规、透明：</w:t>
            </w:r>
          </w:p>
        </w:tc>
        <w:tc>
          <w:tcPr>
            <w:tcW w:w="47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是</w:t>
            </w:r>
          </w:p>
        </w:tc>
      </w:tr>
    </w:tbl>
    <w:p>
      <w:pPr>
        <w:jc w:val="left"/>
        <w:rPr>
          <w:szCs w:val="24"/>
        </w:rPr>
      </w:pPr>
      <w:r>
        <w:rPr>
          <w:rFonts w:hint="eastAsia"/>
          <w:szCs w:val="24"/>
        </w:rPr>
        <w:t>公司报告期利润分配预案及资本公积金转增股本预案与公司章程和分红管理办法等的相关规定一致</w:t>
      </w:r>
    </w:p>
    <w:p>
      <w:pPr>
        <w:jc w:val="left"/>
        <w:rPr>
          <w:szCs w:val="24"/>
        </w:rPr>
      </w:pPr>
      <w:r>
        <w:rPr>
          <w:szCs w:val="24"/>
        </w:rPr>
        <w:t xml:space="preserve">√ </w:t>
      </w:r>
      <w:r>
        <w:rPr>
          <w:rFonts w:hint="eastAsia"/>
          <w:szCs w:val="24"/>
        </w:rPr>
        <w:t>是</w:t>
      </w:r>
      <w:r>
        <w:rPr>
          <w:szCs w:val="24"/>
        </w:rPr>
        <w:t xml:space="preserve"> □ </w:t>
      </w:r>
      <w:r>
        <w:rPr>
          <w:rFonts w:hint="eastAsia"/>
          <w:szCs w:val="24"/>
        </w:rPr>
        <w:t>否</w:t>
      </w:r>
      <w:r>
        <w:rPr>
          <w:szCs w:val="24"/>
        </w:rPr>
        <w:t xml:space="preserve"> □ </w:t>
      </w:r>
      <w:r>
        <w:rPr>
          <w:rFonts w:hint="eastAsia"/>
          <w:szCs w:val="24"/>
        </w:rPr>
        <w:t>不适用</w:t>
      </w:r>
      <w:r>
        <w:rPr>
          <w:szCs w:val="24"/>
        </w:rPr>
        <w:t xml:space="preserve"> </w:t>
      </w:r>
    </w:p>
    <w:p>
      <w:pPr>
        <w:jc w:val="left"/>
        <w:rPr>
          <w:szCs w:val="24"/>
        </w:rPr>
      </w:pPr>
      <w:r>
        <w:rPr>
          <w:rFonts w:hint="eastAsia"/>
          <w:szCs w:val="24"/>
        </w:rPr>
        <w:t>公司报告期利润分配预案及资本公积金转增股本预案符合公司章程等的相关规定。</w:t>
      </w:r>
    </w:p>
    <w:p>
      <w:pPr>
        <w:jc w:val="left"/>
        <w:rPr>
          <w:szCs w:val="24"/>
        </w:rPr>
      </w:pPr>
      <w:r>
        <w:rPr>
          <w:rFonts w:hint="eastAsia"/>
          <w:szCs w:val="24"/>
        </w:rPr>
        <w:t>本年度利润分配及资本公积金转增股本预案</w:t>
      </w:r>
    </w:p>
    <w:tbl>
      <w:tblPr>
        <w:tblStyle w:val="8"/>
        <w:tblW w:w="9568" w:type="dxa"/>
        <w:tblInd w:w="28" w:type="dxa"/>
        <w:tblLayout w:type="fixed"/>
        <w:tblCellMar>
          <w:top w:w="0" w:type="dxa"/>
          <w:left w:w="28" w:type="dxa"/>
          <w:bottom w:w="0" w:type="dxa"/>
          <w:right w:w="28" w:type="dxa"/>
        </w:tblCellMar>
      </w:tblPr>
      <w:tblGrid>
        <w:gridCol w:w="3717"/>
        <w:gridCol w:w="5851"/>
      </w:tblGrid>
      <w:tr>
        <w:tblPrEx>
          <w:tblLayout w:type="fixed"/>
          <w:tblCellMar>
            <w:top w:w="0" w:type="dxa"/>
            <w:left w:w="28" w:type="dxa"/>
            <w:bottom w:w="0" w:type="dxa"/>
            <w:right w:w="28" w:type="dxa"/>
          </w:tblCellMar>
        </w:tblPrEx>
        <w:tc>
          <w:tcPr>
            <w:tcW w:w="371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每</w:t>
            </w:r>
            <w:r>
              <w:rPr>
                <w:szCs w:val="24"/>
              </w:rPr>
              <w:t>10</w:t>
            </w:r>
            <w:r>
              <w:rPr>
                <w:rFonts w:hint="eastAsia"/>
                <w:szCs w:val="24"/>
              </w:rPr>
              <w:t>股送红股数（股）</w:t>
            </w:r>
          </w:p>
        </w:tc>
        <w:tc>
          <w:tcPr>
            <w:tcW w:w="585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r>
      <w:tr>
        <w:tblPrEx>
          <w:tblLayout w:type="fixed"/>
          <w:tblCellMar>
            <w:top w:w="0" w:type="dxa"/>
            <w:left w:w="28" w:type="dxa"/>
            <w:bottom w:w="0" w:type="dxa"/>
            <w:right w:w="28" w:type="dxa"/>
          </w:tblCellMar>
        </w:tblPrEx>
        <w:tc>
          <w:tcPr>
            <w:tcW w:w="371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每</w:t>
            </w:r>
            <w:r>
              <w:rPr>
                <w:szCs w:val="24"/>
              </w:rPr>
              <w:t>10</w:t>
            </w:r>
            <w:r>
              <w:rPr>
                <w:rFonts w:hint="eastAsia"/>
                <w:szCs w:val="24"/>
              </w:rPr>
              <w:t>股派息数（元）（含税）</w:t>
            </w:r>
          </w:p>
        </w:tc>
        <w:tc>
          <w:tcPr>
            <w:tcW w:w="585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0.80</w:t>
            </w:r>
          </w:p>
        </w:tc>
      </w:tr>
      <w:tr>
        <w:tblPrEx>
          <w:tblLayout w:type="fixed"/>
          <w:tblCellMar>
            <w:top w:w="0" w:type="dxa"/>
            <w:left w:w="28" w:type="dxa"/>
            <w:bottom w:w="0" w:type="dxa"/>
            <w:right w:w="28" w:type="dxa"/>
          </w:tblCellMar>
        </w:tblPrEx>
        <w:tc>
          <w:tcPr>
            <w:tcW w:w="371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每</w:t>
            </w:r>
            <w:r>
              <w:rPr>
                <w:szCs w:val="24"/>
              </w:rPr>
              <w:t>10</w:t>
            </w:r>
            <w:r>
              <w:rPr>
                <w:rFonts w:hint="eastAsia"/>
                <w:szCs w:val="24"/>
              </w:rPr>
              <w:t>股转增数（股）</w:t>
            </w:r>
          </w:p>
        </w:tc>
        <w:tc>
          <w:tcPr>
            <w:tcW w:w="585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5</w:t>
            </w:r>
          </w:p>
        </w:tc>
      </w:tr>
      <w:tr>
        <w:tblPrEx>
          <w:tblLayout w:type="fixed"/>
          <w:tblCellMar>
            <w:top w:w="0" w:type="dxa"/>
            <w:left w:w="28" w:type="dxa"/>
            <w:bottom w:w="0" w:type="dxa"/>
            <w:right w:w="28" w:type="dxa"/>
          </w:tblCellMar>
        </w:tblPrEx>
        <w:tc>
          <w:tcPr>
            <w:tcW w:w="371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分配预案的股本基数（股）</w:t>
            </w:r>
          </w:p>
        </w:tc>
        <w:tc>
          <w:tcPr>
            <w:tcW w:w="585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241,560,648</w:t>
            </w:r>
          </w:p>
        </w:tc>
      </w:tr>
      <w:tr>
        <w:tblPrEx>
          <w:tblLayout w:type="fixed"/>
          <w:tblCellMar>
            <w:top w:w="0" w:type="dxa"/>
            <w:left w:w="28" w:type="dxa"/>
            <w:bottom w:w="0" w:type="dxa"/>
            <w:right w:w="28" w:type="dxa"/>
          </w:tblCellMar>
        </w:tblPrEx>
        <w:tc>
          <w:tcPr>
            <w:tcW w:w="371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现金分红总额（元）（含税）</w:t>
            </w:r>
          </w:p>
        </w:tc>
        <w:tc>
          <w:tcPr>
            <w:tcW w:w="585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19,324,851.84</w:t>
            </w:r>
          </w:p>
        </w:tc>
      </w:tr>
      <w:tr>
        <w:tblPrEx>
          <w:tblLayout w:type="fixed"/>
          <w:tblCellMar>
            <w:top w:w="0" w:type="dxa"/>
            <w:left w:w="28" w:type="dxa"/>
            <w:bottom w:w="0" w:type="dxa"/>
            <w:right w:w="28" w:type="dxa"/>
          </w:tblCellMar>
        </w:tblPrEx>
        <w:tc>
          <w:tcPr>
            <w:tcW w:w="371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可分配利润（元）</w:t>
            </w:r>
          </w:p>
        </w:tc>
        <w:tc>
          <w:tcPr>
            <w:tcW w:w="585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116,676,260.52</w:t>
            </w:r>
          </w:p>
        </w:tc>
      </w:tr>
      <w:tr>
        <w:tblPrEx>
          <w:tblLayout w:type="fixed"/>
          <w:tblCellMar>
            <w:top w:w="0" w:type="dxa"/>
            <w:left w:w="28" w:type="dxa"/>
            <w:bottom w:w="0" w:type="dxa"/>
            <w:right w:w="28" w:type="dxa"/>
          </w:tblCellMar>
        </w:tblPrEx>
        <w:tc>
          <w:tcPr>
            <w:tcW w:w="371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现金分红占利润分配总额的比例</w:t>
            </w:r>
          </w:p>
        </w:tc>
        <w:tc>
          <w:tcPr>
            <w:tcW w:w="585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100.00%</w:t>
            </w:r>
          </w:p>
        </w:tc>
      </w:tr>
      <w:tr>
        <w:tblPrEx>
          <w:tblLayout w:type="fixed"/>
          <w:tblCellMar>
            <w:top w:w="0" w:type="dxa"/>
            <w:left w:w="28" w:type="dxa"/>
            <w:bottom w:w="0" w:type="dxa"/>
            <w:right w:w="28" w:type="dxa"/>
          </w:tblCellMar>
        </w:tblPrEx>
        <w:tc>
          <w:tcPr>
            <w:tcW w:w="9568"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本次现金分红情况</w:t>
            </w:r>
          </w:p>
        </w:tc>
      </w:tr>
      <w:tr>
        <w:tblPrEx>
          <w:tblLayout w:type="fixed"/>
          <w:tblCellMar>
            <w:top w:w="0" w:type="dxa"/>
            <w:left w:w="28" w:type="dxa"/>
            <w:bottom w:w="0" w:type="dxa"/>
            <w:right w:w="28" w:type="dxa"/>
          </w:tblCellMar>
        </w:tblPrEx>
        <w:tc>
          <w:tcPr>
            <w:tcW w:w="9568"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公司发展阶段属成熟期且无重大资金支出安排的，进行利润分配时，现金分红在本次利润分配中所占比例最低应达到</w:t>
            </w:r>
            <w:r>
              <w:rPr>
                <w:szCs w:val="24"/>
              </w:rPr>
              <w:t>80</w:t>
            </w:r>
            <w:r>
              <w:rPr>
                <w:rFonts w:hint="eastAsia"/>
                <w:szCs w:val="24"/>
              </w:rPr>
              <w:t>％</w:t>
            </w:r>
          </w:p>
        </w:tc>
      </w:tr>
      <w:tr>
        <w:tblPrEx>
          <w:tblLayout w:type="fixed"/>
          <w:tblCellMar>
            <w:top w:w="0" w:type="dxa"/>
            <w:left w:w="28" w:type="dxa"/>
            <w:bottom w:w="0" w:type="dxa"/>
            <w:right w:w="28" w:type="dxa"/>
          </w:tblCellMar>
        </w:tblPrEx>
        <w:tc>
          <w:tcPr>
            <w:tcW w:w="9568"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利润分配或资本公积金转增预案的详细情况说明</w:t>
            </w:r>
          </w:p>
        </w:tc>
      </w:tr>
      <w:tr>
        <w:tblPrEx>
          <w:tblLayout w:type="fixed"/>
          <w:tblCellMar>
            <w:top w:w="0" w:type="dxa"/>
            <w:left w:w="28" w:type="dxa"/>
            <w:bottom w:w="0" w:type="dxa"/>
            <w:right w:w="28" w:type="dxa"/>
          </w:tblCellMar>
        </w:tblPrEx>
        <w:tc>
          <w:tcPr>
            <w:tcW w:w="9568"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公司</w:t>
            </w:r>
            <w:r>
              <w:rPr>
                <w:szCs w:val="24"/>
              </w:rPr>
              <w:t>2016</w:t>
            </w:r>
            <w:r>
              <w:rPr>
                <w:rFonts w:hint="eastAsia"/>
                <w:szCs w:val="24"/>
              </w:rPr>
              <w:t>年度利润分配预案为：以</w:t>
            </w:r>
            <w:r>
              <w:rPr>
                <w:szCs w:val="24"/>
              </w:rPr>
              <w:t>2016</w:t>
            </w:r>
            <w:r>
              <w:rPr>
                <w:rFonts w:hint="eastAsia"/>
                <w:szCs w:val="24"/>
              </w:rPr>
              <w:t>年</w:t>
            </w:r>
            <w:r>
              <w:rPr>
                <w:szCs w:val="24"/>
              </w:rPr>
              <w:t>12</w:t>
            </w:r>
            <w:r>
              <w:rPr>
                <w:rFonts w:hint="eastAsia"/>
                <w:szCs w:val="24"/>
              </w:rPr>
              <w:t>月</w:t>
            </w:r>
            <w:r>
              <w:rPr>
                <w:szCs w:val="24"/>
              </w:rPr>
              <w:t>31</w:t>
            </w:r>
            <w:r>
              <w:rPr>
                <w:rFonts w:hint="eastAsia"/>
                <w:szCs w:val="24"/>
              </w:rPr>
              <w:t>日公司股份总数</w:t>
            </w:r>
            <w:r>
              <w:rPr>
                <w:szCs w:val="24"/>
              </w:rPr>
              <w:t>241,560,648</w:t>
            </w:r>
            <w:r>
              <w:rPr>
                <w:rFonts w:hint="eastAsia"/>
                <w:szCs w:val="24"/>
              </w:rPr>
              <w:t>股为基数，向全体股东每</w:t>
            </w:r>
            <w:r>
              <w:rPr>
                <w:szCs w:val="24"/>
              </w:rPr>
              <w:t>10</w:t>
            </w:r>
            <w:r>
              <w:rPr>
                <w:rFonts w:hint="eastAsia"/>
                <w:szCs w:val="24"/>
              </w:rPr>
              <w:t>股派发现金股利人民币</w:t>
            </w:r>
            <w:r>
              <w:rPr>
                <w:szCs w:val="24"/>
              </w:rPr>
              <w:t>0.80</w:t>
            </w:r>
            <w:r>
              <w:rPr>
                <w:rFonts w:hint="eastAsia"/>
                <w:szCs w:val="24"/>
              </w:rPr>
              <w:t>元（含税），共计派发现金股利</w:t>
            </w:r>
            <w:r>
              <w:rPr>
                <w:szCs w:val="24"/>
              </w:rPr>
              <w:t>19,324,851.84</w:t>
            </w:r>
            <w:r>
              <w:rPr>
                <w:rFonts w:hint="eastAsia"/>
                <w:szCs w:val="24"/>
              </w:rPr>
              <w:t>元；同时进行资本公积转增股本，以公司总股本</w:t>
            </w:r>
            <w:r>
              <w:rPr>
                <w:szCs w:val="24"/>
              </w:rPr>
              <w:t>241,560,648</w:t>
            </w:r>
            <w:r>
              <w:rPr>
                <w:rFonts w:hint="eastAsia"/>
                <w:szCs w:val="24"/>
              </w:rPr>
              <w:t>股为基数向全体股东每</w:t>
            </w:r>
            <w:r>
              <w:rPr>
                <w:szCs w:val="24"/>
              </w:rPr>
              <w:t>10</w:t>
            </w:r>
            <w:r>
              <w:rPr>
                <w:rFonts w:hint="eastAsia"/>
                <w:szCs w:val="24"/>
              </w:rPr>
              <w:t>股转增</w:t>
            </w:r>
            <w:r>
              <w:rPr>
                <w:szCs w:val="24"/>
              </w:rPr>
              <w:t>5</w:t>
            </w:r>
            <w:r>
              <w:rPr>
                <w:rFonts w:hint="eastAsia"/>
                <w:szCs w:val="24"/>
              </w:rPr>
              <w:t>股，共计转增</w:t>
            </w:r>
            <w:r>
              <w:rPr>
                <w:szCs w:val="24"/>
              </w:rPr>
              <w:t>120,780,324</w:t>
            </w:r>
            <w:r>
              <w:rPr>
                <w:rFonts w:hint="eastAsia"/>
                <w:szCs w:val="24"/>
              </w:rPr>
              <w:t>股，实施后公司总股本将增加至</w:t>
            </w:r>
            <w:r>
              <w:rPr>
                <w:szCs w:val="24"/>
              </w:rPr>
              <w:t>362,340,972</w:t>
            </w:r>
            <w:r>
              <w:rPr>
                <w:rFonts w:hint="eastAsia"/>
                <w:szCs w:val="24"/>
              </w:rPr>
              <w:t>股。</w:t>
            </w:r>
          </w:p>
        </w:tc>
      </w:tr>
    </w:tbl>
    <w:p>
      <w:pPr>
        <w:jc w:val="left"/>
        <w:rPr>
          <w:szCs w:val="24"/>
        </w:rPr>
      </w:pPr>
      <w:r>
        <w:rPr>
          <w:rFonts w:hint="eastAsia"/>
          <w:szCs w:val="24"/>
        </w:rPr>
        <w:t>公司近</w:t>
      </w:r>
      <w:r>
        <w:rPr>
          <w:szCs w:val="24"/>
        </w:rPr>
        <w:t>3</w:t>
      </w:r>
      <w:r>
        <w:rPr>
          <w:rFonts w:hint="eastAsia"/>
          <w:szCs w:val="24"/>
        </w:rPr>
        <w:t>年（包括本报告期）的普通股股利分配方案（预案）、资本公积金转增股本方案（预案）情况</w:t>
      </w:r>
    </w:p>
    <w:p>
      <w:pPr>
        <w:autoSpaceDE w:val="0"/>
        <w:autoSpaceDN w:val="0"/>
        <w:adjustRightInd w:val="0"/>
        <w:spacing w:before="0" w:after="0"/>
        <w:ind w:firstLine="470"/>
        <w:rPr>
          <w:rFonts w:eastAsia="Times New Roman"/>
          <w:kern w:val="0"/>
          <w:sz w:val="22"/>
          <w:szCs w:val="24"/>
          <w:lang w:val="zh-CN"/>
        </w:rPr>
      </w:pPr>
      <w:r>
        <w:rPr>
          <w:rFonts w:eastAsia="Times New Roman"/>
          <w:kern w:val="0"/>
          <w:sz w:val="22"/>
          <w:szCs w:val="24"/>
          <w:lang w:val="zh-CN"/>
        </w:rPr>
        <w:t>1</w:t>
      </w:r>
      <w:r>
        <w:rPr>
          <w:rFonts w:hint="eastAsia" w:ascii="宋体" w:hAnsi="宋体" w:cs="宋体"/>
          <w:kern w:val="0"/>
          <w:sz w:val="22"/>
          <w:szCs w:val="24"/>
          <w:lang w:val="zh-CN"/>
        </w:rPr>
        <w:t>、公司</w:t>
      </w:r>
      <w:r>
        <w:rPr>
          <w:rFonts w:eastAsia="Times New Roman"/>
          <w:kern w:val="0"/>
          <w:sz w:val="22"/>
          <w:szCs w:val="24"/>
          <w:lang w:val="zh-CN"/>
        </w:rPr>
        <w:t>2014</w:t>
      </w:r>
      <w:r>
        <w:rPr>
          <w:rFonts w:hint="eastAsia" w:ascii="宋体" w:hAnsi="宋体" w:cs="宋体"/>
          <w:kern w:val="0"/>
          <w:sz w:val="22"/>
          <w:szCs w:val="24"/>
          <w:lang w:val="zh-CN"/>
        </w:rPr>
        <w:t>年度利润分配方案为：以截至</w:t>
      </w:r>
      <w:r>
        <w:rPr>
          <w:rFonts w:eastAsia="Times New Roman"/>
          <w:kern w:val="0"/>
          <w:sz w:val="22"/>
          <w:szCs w:val="24"/>
          <w:lang w:val="zh-CN"/>
        </w:rPr>
        <w:t>2014</w:t>
      </w:r>
      <w:r>
        <w:rPr>
          <w:rFonts w:hint="eastAsia" w:ascii="宋体" w:hAnsi="宋体" w:cs="宋体"/>
          <w:kern w:val="0"/>
          <w:sz w:val="22"/>
          <w:szCs w:val="24"/>
          <w:lang w:val="zh-CN"/>
        </w:rPr>
        <w:t>年</w:t>
      </w:r>
      <w:r>
        <w:rPr>
          <w:rFonts w:eastAsia="Times New Roman"/>
          <w:kern w:val="0"/>
          <w:sz w:val="22"/>
          <w:szCs w:val="24"/>
          <w:lang w:val="zh-CN"/>
        </w:rPr>
        <w:t>12</w:t>
      </w:r>
      <w:r>
        <w:rPr>
          <w:rFonts w:hint="eastAsia" w:ascii="宋体" w:hAnsi="宋体" w:cs="宋体"/>
          <w:kern w:val="0"/>
          <w:sz w:val="22"/>
          <w:szCs w:val="24"/>
          <w:lang w:val="zh-CN"/>
        </w:rPr>
        <w:t>月</w:t>
      </w:r>
      <w:r>
        <w:rPr>
          <w:rFonts w:eastAsia="Times New Roman"/>
          <w:kern w:val="0"/>
          <w:sz w:val="22"/>
          <w:szCs w:val="24"/>
          <w:lang w:val="zh-CN"/>
        </w:rPr>
        <w:t>31</w:t>
      </w:r>
      <w:r>
        <w:rPr>
          <w:rFonts w:hint="eastAsia" w:ascii="宋体" w:hAnsi="宋体" w:cs="宋体"/>
          <w:kern w:val="0"/>
          <w:sz w:val="22"/>
          <w:szCs w:val="24"/>
          <w:lang w:val="zh-CN"/>
        </w:rPr>
        <w:t>日公司股份总数</w:t>
      </w:r>
      <w:r>
        <w:rPr>
          <w:rFonts w:eastAsia="Times New Roman"/>
          <w:kern w:val="0"/>
          <w:sz w:val="22"/>
          <w:szCs w:val="24"/>
          <w:lang w:val="zh-CN"/>
        </w:rPr>
        <w:t>210,505,940</w:t>
      </w:r>
      <w:r>
        <w:rPr>
          <w:rFonts w:hint="eastAsia" w:ascii="宋体" w:hAnsi="宋体" w:cs="宋体"/>
          <w:kern w:val="0"/>
          <w:sz w:val="22"/>
          <w:szCs w:val="24"/>
          <w:lang w:val="zh-CN"/>
        </w:rPr>
        <w:t>股为基数，向全体股东每</w:t>
      </w:r>
      <w:r>
        <w:rPr>
          <w:rFonts w:eastAsia="Times New Roman"/>
          <w:kern w:val="0"/>
          <w:sz w:val="22"/>
          <w:szCs w:val="24"/>
          <w:lang w:val="zh-CN"/>
        </w:rPr>
        <w:t>10</w:t>
      </w:r>
      <w:r>
        <w:rPr>
          <w:rFonts w:hint="eastAsia" w:ascii="宋体" w:hAnsi="宋体" w:cs="宋体"/>
          <w:kern w:val="0"/>
          <w:sz w:val="22"/>
          <w:szCs w:val="24"/>
          <w:lang w:val="zh-CN"/>
        </w:rPr>
        <w:t>股派发现金股利人民币</w:t>
      </w:r>
      <w:r>
        <w:rPr>
          <w:rFonts w:eastAsia="Times New Roman"/>
          <w:kern w:val="0"/>
          <w:sz w:val="22"/>
          <w:szCs w:val="24"/>
          <w:lang w:val="zh-CN"/>
        </w:rPr>
        <w:t>0.30</w:t>
      </w:r>
      <w:r>
        <w:rPr>
          <w:rFonts w:hint="eastAsia" w:ascii="宋体" w:hAnsi="宋体" w:cs="宋体"/>
          <w:kern w:val="0"/>
          <w:sz w:val="22"/>
          <w:szCs w:val="24"/>
          <w:lang w:val="zh-CN"/>
        </w:rPr>
        <w:t>元（含税），共计派发现金股利</w:t>
      </w:r>
      <w:r>
        <w:rPr>
          <w:rFonts w:eastAsia="Times New Roman"/>
          <w:kern w:val="0"/>
          <w:sz w:val="22"/>
          <w:szCs w:val="24"/>
          <w:lang w:val="zh-CN"/>
        </w:rPr>
        <w:t>6,315,178.20</w:t>
      </w:r>
      <w:r>
        <w:rPr>
          <w:rFonts w:hint="eastAsia" w:ascii="宋体" w:hAnsi="宋体" w:cs="宋体"/>
          <w:kern w:val="0"/>
          <w:sz w:val="22"/>
          <w:szCs w:val="24"/>
          <w:lang w:val="zh-CN"/>
        </w:rPr>
        <w:t>元；</w:t>
      </w:r>
    </w:p>
    <w:p>
      <w:pPr>
        <w:autoSpaceDE w:val="0"/>
        <w:autoSpaceDN w:val="0"/>
        <w:adjustRightInd w:val="0"/>
        <w:spacing w:before="0" w:after="0"/>
        <w:ind w:firstLine="470"/>
        <w:rPr>
          <w:rFonts w:eastAsia="Times New Roman"/>
          <w:kern w:val="0"/>
          <w:sz w:val="22"/>
          <w:szCs w:val="24"/>
          <w:lang w:val="zh-CN"/>
        </w:rPr>
      </w:pPr>
      <w:r>
        <w:rPr>
          <w:rFonts w:eastAsia="Times New Roman"/>
          <w:kern w:val="0"/>
          <w:sz w:val="22"/>
          <w:szCs w:val="24"/>
          <w:lang w:val="zh-CN"/>
        </w:rPr>
        <w:t>2</w:t>
      </w:r>
      <w:r>
        <w:rPr>
          <w:rFonts w:hint="eastAsia" w:ascii="宋体" w:hAnsi="宋体" w:cs="宋体"/>
          <w:kern w:val="0"/>
          <w:sz w:val="22"/>
          <w:szCs w:val="24"/>
          <w:lang w:val="zh-CN"/>
        </w:rPr>
        <w:t>、公司</w:t>
      </w:r>
      <w:r>
        <w:rPr>
          <w:rFonts w:eastAsia="Times New Roman"/>
          <w:kern w:val="0"/>
          <w:sz w:val="22"/>
          <w:szCs w:val="24"/>
          <w:lang w:val="zh-CN"/>
        </w:rPr>
        <w:t>2015</w:t>
      </w:r>
      <w:r>
        <w:rPr>
          <w:rFonts w:hint="eastAsia" w:ascii="宋体" w:hAnsi="宋体" w:cs="宋体"/>
          <w:kern w:val="0"/>
          <w:sz w:val="22"/>
          <w:szCs w:val="24"/>
          <w:lang w:val="zh-CN"/>
        </w:rPr>
        <w:t>年度利润分配方案为：以截至</w:t>
      </w:r>
      <w:r>
        <w:rPr>
          <w:rFonts w:eastAsia="Times New Roman"/>
          <w:kern w:val="0"/>
          <w:sz w:val="22"/>
          <w:szCs w:val="24"/>
          <w:lang w:val="zh-CN"/>
        </w:rPr>
        <w:t>2015</w:t>
      </w:r>
      <w:r>
        <w:rPr>
          <w:rFonts w:hint="eastAsia" w:ascii="宋体" w:hAnsi="宋体" w:cs="宋体"/>
          <w:kern w:val="0"/>
          <w:sz w:val="22"/>
          <w:szCs w:val="24"/>
          <w:lang w:val="zh-CN"/>
        </w:rPr>
        <w:t>年</w:t>
      </w:r>
      <w:r>
        <w:rPr>
          <w:rFonts w:eastAsia="Times New Roman"/>
          <w:kern w:val="0"/>
          <w:sz w:val="22"/>
          <w:szCs w:val="24"/>
          <w:lang w:val="zh-CN"/>
        </w:rPr>
        <w:t>12</w:t>
      </w:r>
      <w:r>
        <w:rPr>
          <w:rFonts w:hint="eastAsia" w:ascii="宋体" w:hAnsi="宋体" w:cs="宋体"/>
          <w:kern w:val="0"/>
          <w:sz w:val="22"/>
          <w:szCs w:val="24"/>
          <w:lang w:val="zh-CN"/>
        </w:rPr>
        <w:t>月</w:t>
      </w:r>
      <w:r>
        <w:rPr>
          <w:rFonts w:eastAsia="Times New Roman"/>
          <w:kern w:val="0"/>
          <w:sz w:val="22"/>
          <w:szCs w:val="24"/>
          <w:lang w:val="zh-CN"/>
        </w:rPr>
        <w:t>31</w:t>
      </w:r>
      <w:r>
        <w:rPr>
          <w:rFonts w:hint="eastAsia" w:ascii="宋体" w:hAnsi="宋体" w:cs="宋体"/>
          <w:kern w:val="0"/>
          <w:sz w:val="22"/>
          <w:szCs w:val="24"/>
          <w:lang w:val="zh-CN"/>
        </w:rPr>
        <w:t>日公司股份总数</w:t>
      </w:r>
      <w:r>
        <w:rPr>
          <w:rFonts w:eastAsia="Times New Roman"/>
          <w:kern w:val="0"/>
          <w:sz w:val="22"/>
          <w:szCs w:val="24"/>
          <w:lang w:val="zh-CN"/>
        </w:rPr>
        <w:t>241,560,648</w:t>
      </w:r>
      <w:r>
        <w:rPr>
          <w:rFonts w:hint="eastAsia" w:ascii="宋体" w:hAnsi="宋体" w:cs="宋体"/>
          <w:kern w:val="0"/>
          <w:sz w:val="22"/>
          <w:szCs w:val="24"/>
          <w:lang w:val="zh-CN"/>
        </w:rPr>
        <w:t>股为基数，向全体股东每</w:t>
      </w:r>
      <w:r>
        <w:rPr>
          <w:rFonts w:eastAsia="Times New Roman"/>
          <w:kern w:val="0"/>
          <w:sz w:val="22"/>
          <w:szCs w:val="24"/>
          <w:lang w:val="zh-CN"/>
        </w:rPr>
        <w:t>10</w:t>
      </w:r>
      <w:r>
        <w:rPr>
          <w:rFonts w:hint="eastAsia" w:ascii="宋体" w:hAnsi="宋体" w:cs="宋体"/>
          <w:kern w:val="0"/>
          <w:sz w:val="22"/>
          <w:szCs w:val="24"/>
          <w:lang w:val="zh-CN"/>
        </w:rPr>
        <w:t>股派发现金股利人民币</w:t>
      </w:r>
      <w:r>
        <w:rPr>
          <w:rFonts w:eastAsia="Times New Roman"/>
          <w:kern w:val="0"/>
          <w:sz w:val="22"/>
          <w:szCs w:val="24"/>
          <w:lang w:val="zh-CN"/>
        </w:rPr>
        <w:t>0.30</w:t>
      </w:r>
      <w:r>
        <w:rPr>
          <w:rFonts w:hint="eastAsia" w:ascii="宋体" w:hAnsi="宋体" w:cs="宋体"/>
          <w:kern w:val="0"/>
          <w:sz w:val="22"/>
          <w:szCs w:val="24"/>
          <w:lang w:val="zh-CN"/>
        </w:rPr>
        <w:t>元（含税），共计派发现金股利</w:t>
      </w:r>
      <w:r>
        <w:rPr>
          <w:rFonts w:eastAsia="Times New Roman"/>
          <w:kern w:val="0"/>
          <w:sz w:val="22"/>
          <w:szCs w:val="24"/>
          <w:lang w:val="zh-CN"/>
        </w:rPr>
        <w:t>7,246,819.44</w:t>
      </w:r>
      <w:r>
        <w:rPr>
          <w:rFonts w:hint="eastAsia" w:ascii="宋体" w:hAnsi="宋体" w:cs="宋体"/>
          <w:kern w:val="0"/>
          <w:sz w:val="22"/>
          <w:szCs w:val="24"/>
          <w:lang w:val="zh-CN"/>
        </w:rPr>
        <w:t>元；</w:t>
      </w:r>
    </w:p>
    <w:p>
      <w:pPr>
        <w:autoSpaceDE w:val="0"/>
        <w:autoSpaceDN w:val="0"/>
        <w:adjustRightInd w:val="0"/>
        <w:spacing w:before="0" w:after="0"/>
        <w:ind w:firstLine="470"/>
        <w:rPr>
          <w:rFonts w:eastAsia="Times New Roman"/>
          <w:kern w:val="0"/>
          <w:sz w:val="22"/>
          <w:szCs w:val="24"/>
          <w:lang w:val="zh-CN"/>
        </w:rPr>
      </w:pPr>
      <w:r>
        <w:rPr>
          <w:rFonts w:eastAsia="Times New Roman"/>
          <w:kern w:val="0"/>
          <w:sz w:val="22"/>
          <w:szCs w:val="24"/>
          <w:lang w:val="zh-CN"/>
        </w:rPr>
        <w:t>3</w:t>
      </w:r>
      <w:r>
        <w:rPr>
          <w:rFonts w:hint="eastAsia" w:ascii="宋体" w:hAnsi="宋体" w:cs="宋体"/>
          <w:kern w:val="0"/>
          <w:sz w:val="22"/>
          <w:szCs w:val="24"/>
          <w:lang w:val="zh-CN"/>
        </w:rPr>
        <w:t>、公司</w:t>
      </w:r>
      <w:r>
        <w:rPr>
          <w:rFonts w:eastAsia="Times New Roman"/>
          <w:kern w:val="0"/>
          <w:sz w:val="22"/>
          <w:szCs w:val="24"/>
          <w:lang w:val="zh-CN"/>
        </w:rPr>
        <w:t>2016</w:t>
      </w:r>
      <w:r>
        <w:rPr>
          <w:rFonts w:hint="eastAsia" w:ascii="宋体" w:hAnsi="宋体" w:cs="宋体"/>
          <w:kern w:val="0"/>
          <w:sz w:val="22"/>
          <w:szCs w:val="24"/>
          <w:lang w:val="zh-CN"/>
        </w:rPr>
        <w:t>年度利润分配预案为：以</w:t>
      </w:r>
      <w:r>
        <w:rPr>
          <w:rFonts w:eastAsia="Times New Roman"/>
          <w:kern w:val="0"/>
          <w:sz w:val="22"/>
          <w:szCs w:val="24"/>
          <w:lang w:val="zh-CN"/>
        </w:rPr>
        <w:t>2016</w:t>
      </w:r>
      <w:r>
        <w:rPr>
          <w:rFonts w:hint="eastAsia" w:ascii="宋体" w:hAnsi="宋体" w:cs="宋体"/>
          <w:kern w:val="0"/>
          <w:sz w:val="22"/>
          <w:szCs w:val="24"/>
          <w:lang w:val="zh-CN"/>
        </w:rPr>
        <w:t>年</w:t>
      </w:r>
      <w:r>
        <w:rPr>
          <w:rFonts w:eastAsia="Times New Roman"/>
          <w:kern w:val="0"/>
          <w:sz w:val="22"/>
          <w:szCs w:val="24"/>
          <w:lang w:val="zh-CN"/>
        </w:rPr>
        <w:t>12</w:t>
      </w:r>
      <w:r>
        <w:rPr>
          <w:rFonts w:hint="eastAsia" w:ascii="宋体" w:hAnsi="宋体" w:cs="宋体"/>
          <w:kern w:val="0"/>
          <w:sz w:val="22"/>
          <w:szCs w:val="24"/>
          <w:lang w:val="zh-CN"/>
        </w:rPr>
        <w:t>月</w:t>
      </w:r>
      <w:r>
        <w:rPr>
          <w:rFonts w:eastAsia="Times New Roman"/>
          <w:kern w:val="0"/>
          <w:sz w:val="22"/>
          <w:szCs w:val="24"/>
          <w:lang w:val="zh-CN"/>
        </w:rPr>
        <w:t>31</w:t>
      </w:r>
      <w:r>
        <w:rPr>
          <w:rFonts w:hint="eastAsia" w:ascii="宋体" w:hAnsi="宋体" w:cs="宋体"/>
          <w:kern w:val="0"/>
          <w:sz w:val="22"/>
          <w:szCs w:val="24"/>
          <w:lang w:val="zh-CN"/>
        </w:rPr>
        <w:t>日公司股份总数</w:t>
      </w:r>
      <w:r>
        <w:rPr>
          <w:rFonts w:eastAsia="Times New Roman"/>
          <w:kern w:val="0"/>
          <w:sz w:val="22"/>
          <w:szCs w:val="24"/>
          <w:lang w:val="zh-CN"/>
        </w:rPr>
        <w:t>241,560,648</w:t>
      </w:r>
      <w:r>
        <w:rPr>
          <w:rFonts w:hint="eastAsia" w:ascii="宋体" w:hAnsi="宋体" w:cs="宋体"/>
          <w:kern w:val="0"/>
          <w:sz w:val="22"/>
          <w:szCs w:val="24"/>
          <w:lang w:val="zh-CN"/>
        </w:rPr>
        <w:t>股为基数，向全体股东每</w:t>
      </w:r>
      <w:r>
        <w:rPr>
          <w:rFonts w:eastAsia="Times New Roman"/>
          <w:kern w:val="0"/>
          <w:sz w:val="22"/>
          <w:szCs w:val="24"/>
          <w:lang w:val="zh-CN"/>
        </w:rPr>
        <w:t>10</w:t>
      </w:r>
      <w:r>
        <w:rPr>
          <w:rFonts w:hint="eastAsia" w:ascii="宋体" w:hAnsi="宋体" w:cs="宋体"/>
          <w:kern w:val="0"/>
          <w:sz w:val="22"/>
          <w:szCs w:val="24"/>
          <w:lang w:val="zh-CN"/>
        </w:rPr>
        <w:t>股派发现金股利人民币</w:t>
      </w:r>
      <w:r>
        <w:rPr>
          <w:rFonts w:eastAsia="Times New Roman"/>
          <w:kern w:val="0"/>
          <w:sz w:val="22"/>
          <w:szCs w:val="24"/>
          <w:lang w:val="zh-CN"/>
        </w:rPr>
        <w:t>0.80</w:t>
      </w:r>
      <w:r>
        <w:rPr>
          <w:rFonts w:hint="eastAsia" w:ascii="宋体" w:hAnsi="宋体" w:cs="宋体"/>
          <w:kern w:val="0"/>
          <w:sz w:val="22"/>
          <w:szCs w:val="24"/>
          <w:lang w:val="zh-CN"/>
        </w:rPr>
        <w:t>元（含税），共计派发现金股利</w:t>
      </w:r>
      <w:r>
        <w:rPr>
          <w:rFonts w:eastAsia="Times New Roman"/>
          <w:kern w:val="0"/>
          <w:sz w:val="22"/>
          <w:szCs w:val="24"/>
          <w:lang w:val="zh-CN"/>
        </w:rPr>
        <w:t>19,324,851.84</w:t>
      </w:r>
      <w:r>
        <w:rPr>
          <w:rFonts w:hint="eastAsia" w:ascii="宋体" w:hAnsi="宋体" w:cs="宋体"/>
          <w:kern w:val="0"/>
          <w:sz w:val="22"/>
          <w:szCs w:val="24"/>
          <w:lang w:val="zh-CN"/>
        </w:rPr>
        <w:t>元；同时进行资本公积转增股本，以公司总股本</w:t>
      </w:r>
      <w:r>
        <w:rPr>
          <w:rFonts w:eastAsia="Times New Roman"/>
          <w:kern w:val="0"/>
          <w:sz w:val="22"/>
          <w:szCs w:val="24"/>
          <w:lang w:val="zh-CN"/>
        </w:rPr>
        <w:t>241,560,648</w:t>
      </w:r>
      <w:r>
        <w:rPr>
          <w:rFonts w:hint="eastAsia" w:ascii="宋体" w:hAnsi="宋体" w:cs="宋体"/>
          <w:kern w:val="0"/>
          <w:sz w:val="22"/>
          <w:szCs w:val="24"/>
          <w:lang w:val="zh-CN"/>
        </w:rPr>
        <w:t>股为基数向全体股东每</w:t>
      </w:r>
      <w:r>
        <w:rPr>
          <w:rFonts w:eastAsia="Times New Roman"/>
          <w:kern w:val="0"/>
          <w:sz w:val="22"/>
          <w:szCs w:val="24"/>
          <w:lang w:val="zh-CN"/>
        </w:rPr>
        <w:t>10</w:t>
      </w:r>
      <w:r>
        <w:rPr>
          <w:rFonts w:hint="eastAsia" w:ascii="宋体" w:hAnsi="宋体" w:cs="宋体"/>
          <w:kern w:val="0"/>
          <w:sz w:val="22"/>
          <w:szCs w:val="24"/>
          <w:lang w:val="zh-CN"/>
        </w:rPr>
        <w:t>股转增</w:t>
      </w:r>
      <w:r>
        <w:rPr>
          <w:rFonts w:eastAsia="Times New Roman"/>
          <w:kern w:val="0"/>
          <w:sz w:val="22"/>
          <w:szCs w:val="24"/>
          <w:lang w:val="zh-CN"/>
        </w:rPr>
        <w:t>5</w:t>
      </w:r>
      <w:r>
        <w:rPr>
          <w:rFonts w:hint="eastAsia" w:ascii="宋体" w:hAnsi="宋体" w:cs="宋体"/>
          <w:kern w:val="0"/>
          <w:sz w:val="22"/>
          <w:szCs w:val="24"/>
          <w:lang w:val="zh-CN"/>
        </w:rPr>
        <w:t>股，共计转增</w:t>
      </w:r>
      <w:r>
        <w:rPr>
          <w:rFonts w:eastAsia="Times New Roman"/>
          <w:kern w:val="0"/>
          <w:sz w:val="22"/>
          <w:szCs w:val="24"/>
          <w:lang w:val="zh-CN"/>
        </w:rPr>
        <w:t>120,780,324</w:t>
      </w:r>
      <w:r>
        <w:rPr>
          <w:rFonts w:hint="eastAsia" w:ascii="宋体" w:hAnsi="宋体" w:cs="宋体"/>
          <w:kern w:val="0"/>
          <w:sz w:val="22"/>
          <w:szCs w:val="24"/>
          <w:lang w:val="zh-CN"/>
        </w:rPr>
        <w:t>股，实施后公司总股本将增加至</w:t>
      </w:r>
      <w:r>
        <w:rPr>
          <w:rFonts w:eastAsia="Times New Roman"/>
          <w:kern w:val="0"/>
          <w:sz w:val="22"/>
          <w:szCs w:val="24"/>
          <w:lang w:val="zh-CN"/>
        </w:rPr>
        <w:t>362,340,972</w:t>
      </w:r>
      <w:r>
        <w:rPr>
          <w:rFonts w:hint="eastAsia" w:ascii="宋体" w:hAnsi="宋体" w:cs="宋体"/>
          <w:kern w:val="0"/>
          <w:sz w:val="22"/>
          <w:szCs w:val="24"/>
          <w:lang w:val="zh-CN"/>
        </w:rPr>
        <w:t>股。</w:t>
      </w:r>
    </w:p>
    <w:p>
      <w:pPr>
        <w:jc w:val="left"/>
        <w:rPr>
          <w:szCs w:val="24"/>
        </w:rPr>
      </w:pPr>
      <w:r>
        <w:rPr>
          <w:rFonts w:hint="eastAsia"/>
          <w:szCs w:val="24"/>
        </w:rPr>
        <w:t>公司近三年（包括本报告期）普通股现金分红情况表</w:t>
      </w:r>
    </w:p>
    <w:p>
      <w:pPr>
        <w:jc w:val="right"/>
        <w:rPr>
          <w:szCs w:val="24"/>
        </w:rPr>
      </w:pPr>
      <w:r>
        <w:rPr>
          <w:rFonts w:hint="eastAsia"/>
          <w:szCs w:val="24"/>
        </w:rPr>
        <w:t>单位：元</w:t>
      </w:r>
    </w:p>
    <w:tbl>
      <w:tblPr>
        <w:tblStyle w:val="8"/>
        <w:tblW w:w="9566" w:type="dxa"/>
        <w:tblInd w:w="28" w:type="dxa"/>
        <w:tblLayout w:type="fixed"/>
        <w:tblCellMar>
          <w:top w:w="0" w:type="dxa"/>
          <w:left w:w="28" w:type="dxa"/>
          <w:bottom w:w="0" w:type="dxa"/>
          <w:right w:w="28" w:type="dxa"/>
        </w:tblCellMar>
      </w:tblPr>
      <w:tblGrid>
        <w:gridCol w:w="1596"/>
        <w:gridCol w:w="1594"/>
        <w:gridCol w:w="1594"/>
        <w:gridCol w:w="1594"/>
        <w:gridCol w:w="1594"/>
        <w:gridCol w:w="1594"/>
      </w:tblGrid>
      <w:tr>
        <w:tblPrEx>
          <w:tblLayout w:type="fixed"/>
          <w:tblCellMar>
            <w:top w:w="0" w:type="dxa"/>
            <w:left w:w="28" w:type="dxa"/>
            <w:bottom w:w="0" w:type="dxa"/>
            <w:right w:w="28" w:type="dxa"/>
          </w:tblCellMar>
        </w:tblPrEx>
        <w:tc>
          <w:tcPr>
            <w:tcW w:w="159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分红年度</w:t>
            </w:r>
          </w:p>
        </w:tc>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现金分红金额（含税）</w:t>
            </w:r>
          </w:p>
        </w:tc>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分红年度合并报表中归属于上市公司普通股股东的净利润</w:t>
            </w:r>
          </w:p>
        </w:tc>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占合并报表中归属于上市公司普通股股东的净利润的比率</w:t>
            </w:r>
          </w:p>
        </w:tc>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以其他方式现金分红的金额</w:t>
            </w:r>
          </w:p>
        </w:tc>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以其他方式现金分红的比例</w:t>
            </w:r>
          </w:p>
        </w:tc>
      </w:tr>
      <w:tr>
        <w:tblPrEx>
          <w:tblLayout w:type="fixed"/>
          <w:tblCellMar>
            <w:top w:w="0" w:type="dxa"/>
            <w:left w:w="28" w:type="dxa"/>
            <w:bottom w:w="0" w:type="dxa"/>
            <w:right w:w="28" w:type="dxa"/>
          </w:tblCellMar>
        </w:tblPrEx>
        <w:tc>
          <w:tcPr>
            <w:tcW w:w="159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szCs w:val="24"/>
              </w:rPr>
              <w:t>2016</w:t>
            </w:r>
            <w:r>
              <w:rPr>
                <w:rFonts w:hint="eastAsia"/>
                <w:szCs w:val="24"/>
              </w:rPr>
              <w:t>年</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19,324,851.84</w:t>
            </w:r>
          </w:p>
        </w:tc>
        <w:tc>
          <w:tcPr>
            <w:tcW w:w="1594" w:type="dxa"/>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81,983,493.18</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23.57%</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0.00</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0.00%</w:t>
            </w:r>
          </w:p>
        </w:tc>
      </w:tr>
      <w:tr>
        <w:tblPrEx>
          <w:tblLayout w:type="fixed"/>
          <w:tblCellMar>
            <w:top w:w="0" w:type="dxa"/>
            <w:left w:w="28" w:type="dxa"/>
            <w:bottom w:w="0" w:type="dxa"/>
            <w:right w:w="28" w:type="dxa"/>
          </w:tblCellMar>
        </w:tblPrEx>
        <w:tc>
          <w:tcPr>
            <w:tcW w:w="159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szCs w:val="24"/>
              </w:rPr>
              <w:t>2015</w:t>
            </w:r>
            <w:r>
              <w:rPr>
                <w:rFonts w:hint="eastAsia"/>
                <w:szCs w:val="24"/>
              </w:rPr>
              <w:t>年</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7,246,819.44</w:t>
            </w:r>
          </w:p>
        </w:tc>
        <w:tc>
          <w:tcPr>
            <w:tcW w:w="1594" w:type="dxa"/>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35,429,529.71</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20.45%</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0.00</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0.00%</w:t>
            </w:r>
          </w:p>
        </w:tc>
      </w:tr>
      <w:tr>
        <w:tblPrEx>
          <w:tblLayout w:type="fixed"/>
          <w:tblCellMar>
            <w:top w:w="0" w:type="dxa"/>
            <w:left w:w="28" w:type="dxa"/>
            <w:bottom w:w="0" w:type="dxa"/>
            <w:right w:w="28" w:type="dxa"/>
          </w:tblCellMar>
        </w:tblPrEx>
        <w:tc>
          <w:tcPr>
            <w:tcW w:w="159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szCs w:val="24"/>
              </w:rPr>
              <w:t>2014</w:t>
            </w:r>
            <w:r>
              <w:rPr>
                <w:rFonts w:hint="eastAsia"/>
                <w:szCs w:val="24"/>
              </w:rPr>
              <w:t>年</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6,315,178.20</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18,070,987.95</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34.95%</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0.00</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0.00%</w:t>
            </w:r>
          </w:p>
        </w:tc>
      </w:tr>
    </w:tbl>
    <w:p>
      <w:pPr>
        <w:jc w:val="left"/>
        <w:rPr>
          <w:szCs w:val="24"/>
        </w:rPr>
      </w:pPr>
      <w:r>
        <w:rPr>
          <w:rFonts w:hint="eastAsia"/>
          <w:szCs w:val="24"/>
        </w:rPr>
        <w:t>公司报告期内盈利且母公司可供普通股股东分配利润为正但未提出普通股现金红利分配预案</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pStyle w:val="10"/>
        <w:outlineLvl w:val="1"/>
        <w:rPr>
          <w:bCs w:val="0"/>
        </w:rPr>
      </w:pPr>
      <w:r>
        <w:rPr>
          <w:rFonts w:hint="eastAsia"/>
          <w:bCs w:val="0"/>
        </w:rPr>
        <w:t>二、承诺事项履行情况</w:t>
      </w:r>
    </w:p>
    <w:p>
      <w:pPr>
        <w:pStyle w:val="11"/>
        <w:outlineLvl w:val="2"/>
        <w:rPr>
          <w:bCs w:val="0"/>
          <w:szCs w:val="24"/>
        </w:rPr>
      </w:pPr>
      <w:r>
        <w:rPr>
          <w:bCs w:val="0"/>
          <w:szCs w:val="24"/>
        </w:rPr>
        <w:t>1</w:t>
      </w:r>
      <w:r>
        <w:rPr>
          <w:rFonts w:hint="eastAsia"/>
          <w:bCs w:val="0"/>
          <w:szCs w:val="24"/>
        </w:rPr>
        <w:t>、公司实际控制人、股东、关联方、收购人以及公司等承诺相关方在报告期内履行完毕及截至报告期末尚未履行完毕的承诺事项</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tbl>
      <w:tblPr>
        <w:tblStyle w:val="8"/>
        <w:tblW w:w="9567" w:type="dxa"/>
        <w:tblInd w:w="28" w:type="dxa"/>
        <w:tblLayout w:type="fixed"/>
        <w:tblCellMar>
          <w:top w:w="0" w:type="dxa"/>
          <w:left w:w="28" w:type="dxa"/>
          <w:bottom w:w="0" w:type="dxa"/>
          <w:right w:w="28" w:type="dxa"/>
        </w:tblCellMar>
      </w:tblPr>
      <w:tblGrid>
        <w:gridCol w:w="993"/>
        <w:gridCol w:w="708"/>
        <w:gridCol w:w="567"/>
        <w:gridCol w:w="5245"/>
        <w:gridCol w:w="851"/>
        <w:gridCol w:w="708"/>
        <w:gridCol w:w="495"/>
      </w:tblGrid>
      <w:tr>
        <w:tblPrEx>
          <w:tblLayout w:type="fixed"/>
          <w:tblCellMar>
            <w:top w:w="0" w:type="dxa"/>
            <w:left w:w="28" w:type="dxa"/>
            <w:bottom w:w="0" w:type="dxa"/>
            <w:right w:w="28" w:type="dxa"/>
          </w:tblCellMar>
        </w:tblPrEx>
        <w:tc>
          <w:tcPr>
            <w:tcW w:w="99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承诺来源</w:t>
            </w:r>
          </w:p>
        </w:tc>
        <w:tc>
          <w:tcPr>
            <w:tcW w:w="708"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承诺方</w:t>
            </w:r>
          </w:p>
        </w:tc>
        <w:tc>
          <w:tcPr>
            <w:tcW w:w="56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承诺类型</w:t>
            </w:r>
          </w:p>
        </w:tc>
        <w:tc>
          <w:tcPr>
            <w:tcW w:w="524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承诺内容</w:t>
            </w:r>
          </w:p>
        </w:tc>
        <w:tc>
          <w:tcPr>
            <w:tcW w:w="85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承诺时间</w:t>
            </w:r>
          </w:p>
        </w:tc>
        <w:tc>
          <w:tcPr>
            <w:tcW w:w="708"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承诺期限</w:t>
            </w:r>
          </w:p>
        </w:tc>
        <w:tc>
          <w:tcPr>
            <w:tcW w:w="49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履行情况</w:t>
            </w:r>
          </w:p>
        </w:tc>
      </w:tr>
      <w:tr>
        <w:tblPrEx>
          <w:tblLayout w:type="fixed"/>
          <w:tblCellMar>
            <w:top w:w="0" w:type="dxa"/>
            <w:left w:w="28" w:type="dxa"/>
            <w:bottom w:w="0" w:type="dxa"/>
            <w:right w:w="28" w:type="dxa"/>
          </w:tblCellMar>
        </w:tblPrEx>
        <w:tc>
          <w:tcPr>
            <w:tcW w:w="99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收购报告书或权益变动报告书中所作承诺</w:t>
            </w:r>
          </w:p>
        </w:tc>
        <w:tc>
          <w:tcPr>
            <w:tcW w:w="70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5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524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85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70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4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r>
      <w:tr>
        <w:tblPrEx>
          <w:tblLayout w:type="fixed"/>
          <w:tblCellMar>
            <w:top w:w="0" w:type="dxa"/>
            <w:left w:w="28" w:type="dxa"/>
            <w:bottom w:w="0" w:type="dxa"/>
            <w:right w:w="28" w:type="dxa"/>
          </w:tblCellMar>
        </w:tblPrEx>
        <w:tc>
          <w:tcPr>
            <w:tcW w:w="993"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资产重组时所作承诺</w:t>
            </w:r>
          </w:p>
        </w:tc>
        <w:tc>
          <w:tcPr>
            <w:tcW w:w="70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申万秋</w:t>
            </w:r>
          </w:p>
        </w:tc>
        <w:tc>
          <w:tcPr>
            <w:tcW w:w="5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股份限售承诺</w:t>
            </w:r>
          </w:p>
        </w:tc>
        <w:tc>
          <w:tcPr>
            <w:tcW w:w="524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申万秋承诺：本次交易前，本人持有海兰信股份</w:t>
            </w:r>
            <w:r>
              <w:rPr>
                <w:szCs w:val="24"/>
              </w:rPr>
              <w:t>40,842,839</w:t>
            </w:r>
            <w:r>
              <w:rPr>
                <w:rFonts w:hint="eastAsia"/>
                <w:szCs w:val="24"/>
              </w:rPr>
              <w:t>股，在本次交易完成后</w:t>
            </w:r>
            <w:r>
              <w:rPr>
                <w:szCs w:val="24"/>
              </w:rPr>
              <w:t>12</w:t>
            </w:r>
            <w:r>
              <w:rPr>
                <w:rFonts w:hint="eastAsia"/>
                <w:szCs w:val="24"/>
              </w:rPr>
              <w:t>个月内，本人将不以任何方式转让本人在本次交易前持有的海兰信股份。如该等股份由于公司送红股、转增股本等原因而增加的，增加的公司股份亦遵照前述</w:t>
            </w:r>
            <w:r>
              <w:rPr>
                <w:szCs w:val="24"/>
              </w:rPr>
              <w:t>12</w:t>
            </w:r>
            <w:r>
              <w:rPr>
                <w:rFonts w:hint="eastAsia"/>
                <w:szCs w:val="24"/>
              </w:rPr>
              <w:t>个月的锁定期进行锁定。在遵守《上市公司收购管理办法》第七十四条规定的前提下，本人在本次交易前持有的海兰信股份，在本人控制的不同主体之间进行转让不受前述</w:t>
            </w:r>
            <w:r>
              <w:rPr>
                <w:szCs w:val="24"/>
              </w:rPr>
              <w:t>12</w:t>
            </w:r>
            <w:r>
              <w:rPr>
                <w:rFonts w:hint="eastAsia"/>
                <w:szCs w:val="24"/>
              </w:rPr>
              <w:t>个月的限制。如果中国证监会及</w:t>
            </w:r>
            <w:r>
              <w:rPr>
                <w:szCs w:val="24"/>
              </w:rPr>
              <w:t>/</w:t>
            </w:r>
            <w:r>
              <w:rPr>
                <w:rFonts w:hint="eastAsia"/>
                <w:szCs w:val="24"/>
              </w:rPr>
              <w:t>或深交所对于上述锁定期安排有不同意见，本人同意按照中国证监会或深交所的意见对上述锁定期安排进行修订并予执行。本承诺函自签署之日起生效，对本人具有法律约束力。若在延长锁定期内违反该承诺，本人将因此产生的所得全部上缴海兰信，并承担由此产生的全部法律责任。</w:t>
            </w:r>
          </w:p>
        </w:tc>
        <w:tc>
          <w:tcPr>
            <w:tcW w:w="85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01</w:t>
            </w:r>
            <w:r>
              <w:rPr>
                <w:rFonts w:hint="eastAsia"/>
                <w:szCs w:val="24"/>
              </w:rPr>
              <w:t>月</w:t>
            </w:r>
            <w:r>
              <w:rPr>
                <w:szCs w:val="24"/>
              </w:rPr>
              <w:t>08</w:t>
            </w:r>
            <w:r>
              <w:rPr>
                <w:rFonts w:hint="eastAsia"/>
                <w:szCs w:val="24"/>
              </w:rPr>
              <w:t>日</w:t>
            </w:r>
          </w:p>
        </w:tc>
        <w:tc>
          <w:tcPr>
            <w:tcW w:w="70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2017-01-07</w:t>
            </w:r>
          </w:p>
        </w:tc>
        <w:tc>
          <w:tcPr>
            <w:tcW w:w="4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已履行完毕</w:t>
            </w:r>
          </w:p>
        </w:tc>
      </w:tr>
      <w:tr>
        <w:tblPrEx>
          <w:tblLayout w:type="fixed"/>
          <w:tblCellMar>
            <w:top w:w="0" w:type="dxa"/>
            <w:left w:w="28" w:type="dxa"/>
            <w:bottom w:w="0" w:type="dxa"/>
            <w:right w:w="28" w:type="dxa"/>
          </w:tblCellMar>
        </w:tblPrEx>
        <w:tc>
          <w:tcPr>
            <w:tcW w:w="993" w:type="dxa"/>
            <w:vMerge w:val="continue"/>
            <w:tcBorders>
              <w:top w:val="single" w:color="auto" w:sz="4" w:space="0"/>
              <w:left w:val="single" w:color="auto" w:sz="4" w:space="0"/>
              <w:bottom w:val="single" w:color="auto" w:sz="4" w:space="0"/>
              <w:right w:val="single" w:color="auto" w:sz="4" w:space="0"/>
            </w:tcBorders>
            <w:vAlign w:val="center"/>
          </w:tcPr>
          <w:p>
            <w:pPr>
              <w:jc w:val="left"/>
              <w:rPr>
                <w:szCs w:val="24"/>
              </w:rPr>
            </w:pPr>
          </w:p>
        </w:tc>
        <w:tc>
          <w:tcPr>
            <w:tcW w:w="70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申万秋</w:t>
            </w:r>
          </w:p>
        </w:tc>
        <w:tc>
          <w:tcPr>
            <w:tcW w:w="5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股份限售承诺</w:t>
            </w:r>
          </w:p>
        </w:tc>
        <w:tc>
          <w:tcPr>
            <w:tcW w:w="524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w:t>
            </w:r>
            <w:r>
              <w:rPr>
                <w:rFonts w:hint="eastAsia"/>
                <w:szCs w:val="24"/>
              </w:rPr>
              <w:t>申万秋承诺：</w:t>
            </w:r>
            <w:r>
              <w:rPr>
                <w:szCs w:val="24"/>
              </w:rPr>
              <w:t>1</w:t>
            </w:r>
            <w:r>
              <w:rPr>
                <w:rFonts w:hint="eastAsia"/>
                <w:szCs w:val="24"/>
              </w:rPr>
              <w:t>、本人因本次发行股份购买资产事宜所认购的上市公司股份，自该等股份发行上市之日起</w:t>
            </w:r>
            <w:r>
              <w:rPr>
                <w:szCs w:val="24"/>
              </w:rPr>
              <w:t>36</w:t>
            </w:r>
            <w:r>
              <w:rPr>
                <w:rFonts w:hint="eastAsia"/>
                <w:szCs w:val="24"/>
              </w:rPr>
              <w:t>个月内且标的业绩承诺期最后一年年度《专项审核报告》及《减值测试报告》已经出具并履行完毕业绩补偿义务前不转让，之后按照中国证券监督管理委员会及深圳证券交易所的有关规定执行。</w:t>
            </w:r>
            <w:r>
              <w:rPr>
                <w:szCs w:val="24"/>
              </w:rPr>
              <w:t>2</w:t>
            </w:r>
            <w:r>
              <w:rPr>
                <w:rFonts w:hint="eastAsia"/>
                <w:szCs w:val="24"/>
              </w:rPr>
              <w:t>、本次交易完成后</w:t>
            </w:r>
            <w:r>
              <w:rPr>
                <w:szCs w:val="24"/>
              </w:rPr>
              <w:t>6</w:t>
            </w:r>
            <w:r>
              <w:rPr>
                <w:rFonts w:hint="eastAsia"/>
                <w:szCs w:val="24"/>
              </w:rPr>
              <w:t>个月内如上市公司股票连续</w:t>
            </w:r>
            <w:r>
              <w:rPr>
                <w:szCs w:val="24"/>
              </w:rPr>
              <w:t>20</w:t>
            </w:r>
            <w:r>
              <w:rPr>
                <w:rFonts w:hint="eastAsia"/>
                <w:szCs w:val="24"/>
              </w:rPr>
              <w:t>个交易日的收盘价低于发行价，或者交易完成后</w:t>
            </w:r>
            <w:r>
              <w:rPr>
                <w:szCs w:val="24"/>
              </w:rPr>
              <w:t>6</w:t>
            </w:r>
            <w:r>
              <w:rPr>
                <w:rFonts w:hint="eastAsia"/>
                <w:szCs w:val="24"/>
              </w:rPr>
              <w:t>个月期末收盘价低于发行价的，本人持有公司股票的锁定期自动延长</w:t>
            </w:r>
            <w:r>
              <w:rPr>
                <w:szCs w:val="24"/>
              </w:rPr>
              <w:t>6</w:t>
            </w:r>
            <w:r>
              <w:rPr>
                <w:rFonts w:hint="eastAsia"/>
                <w:szCs w:val="24"/>
              </w:rPr>
              <w:t>个月。</w:t>
            </w:r>
            <w:r>
              <w:rPr>
                <w:szCs w:val="24"/>
              </w:rPr>
              <w:t>"</w:t>
            </w:r>
          </w:p>
        </w:tc>
        <w:tc>
          <w:tcPr>
            <w:tcW w:w="85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01</w:t>
            </w:r>
            <w:r>
              <w:rPr>
                <w:rFonts w:hint="eastAsia"/>
                <w:szCs w:val="24"/>
              </w:rPr>
              <w:t>月</w:t>
            </w:r>
            <w:r>
              <w:rPr>
                <w:szCs w:val="24"/>
              </w:rPr>
              <w:t>08</w:t>
            </w:r>
            <w:r>
              <w:rPr>
                <w:rFonts w:hint="eastAsia"/>
                <w:szCs w:val="24"/>
              </w:rPr>
              <w:t>日</w:t>
            </w:r>
          </w:p>
        </w:tc>
        <w:tc>
          <w:tcPr>
            <w:tcW w:w="70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2019-01-07</w:t>
            </w:r>
          </w:p>
        </w:tc>
        <w:tc>
          <w:tcPr>
            <w:tcW w:w="4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正常履行中</w:t>
            </w:r>
          </w:p>
        </w:tc>
      </w:tr>
      <w:tr>
        <w:tblPrEx>
          <w:tblLayout w:type="fixed"/>
          <w:tblCellMar>
            <w:top w:w="0" w:type="dxa"/>
            <w:left w:w="28" w:type="dxa"/>
            <w:bottom w:w="0" w:type="dxa"/>
            <w:right w:w="28" w:type="dxa"/>
          </w:tblCellMar>
        </w:tblPrEx>
        <w:tc>
          <w:tcPr>
            <w:tcW w:w="993" w:type="dxa"/>
            <w:vMerge w:val="continue"/>
            <w:tcBorders>
              <w:top w:val="single" w:color="auto" w:sz="4" w:space="0"/>
              <w:left w:val="single" w:color="auto" w:sz="4" w:space="0"/>
              <w:bottom w:val="single" w:color="auto" w:sz="4" w:space="0"/>
              <w:right w:val="single" w:color="auto" w:sz="4" w:space="0"/>
            </w:tcBorders>
            <w:vAlign w:val="center"/>
          </w:tcPr>
          <w:p>
            <w:pPr>
              <w:jc w:val="left"/>
              <w:rPr>
                <w:szCs w:val="24"/>
              </w:rPr>
            </w:pPr>
          </w:p>
        </w:tc>
        <w:tc>
          <w:tcPr>
            <w:tcW w:w="70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上海言盛投资合伙企业（有限合伙）</w:t>
            </w:r>
          </w:p>
        </w:tc>
        <w:tc>
          <w:tcPr>
            <w:tcW w:w="5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股份限售承诺</w:t>
            </w:r>
          </w:p>
        </w:tc>
        <w:tc>
          <w:tcPr>
            <w:tcW w:w="524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w:t>
            </w:r>
            <w:r>
              <w:rPr>
                <w:rFonts w:hint="eastAsia"/>
                <w:szCs w:val="24"/>
              </w:rPr>
              <w:t>上海言盛承诺：</w:t>
            </w:r>
            <w:r>
              <w:rPr>
                <w:szCs w:val="24"/>
              </w:rPr>
              <w:t>1</w:t>
            </w:r>
            <w:r>
              <w:rPr>
                <w:rFonts w:hint="eastAsia"/>
                <w:szCs w:val="24"/>
              </w:rPr>
              <w:t>、本合伙企业因本次发行股份购买资产事宜所认购的上市公司股份，自该等股份发行上市之日起</w:t>
            </w:r>
            <w:r>
              <w:rPr>
                <w:szCs w:val="24"/>
              </w:rPr>
              <w:t>36</w:t>
            </w:r>
            <w:r>
              <w:rPr>
                <w:rFonts w:hint="eastAsia"/>
                <w:szCs w:val="24"/>
              </w:rPr>
              <w:t>个月内不转让，之后按照中国证券监督管理委员会及深圳证券交易所的有关规定执行。</w:t>
            </w:r>
            <w:r>
              <w:rPr>
                <w:szCs w:val="24"/>
              </w:rPr>
              <w:t>2</w:t>
            </w:r>
            <w:r>
              <w:rPr>
                <w:rFonts w:hint="eastAsia"/>
                <w:szCs w:val="24"/>
              </w:rPr>
              <w:t>、本次交易完成后</w:t>
            </w:r>
            <w:r>
              <w:rPr>
                <w:szCs w:val="24"/>
              </w:rPr>
              <w:t>6</w:t>
            </w:r>
            <w:r>
              <w:rPr>
                <w:rFonts w:hint="eastAsia"/>
                <w:szCs w:val="24"/>
              </w:rPr>
              <w:t>个月内如上市公司股票连续</w:t>
            </w:r>
            <w:r>
              <w:rPr>
                <w:szCs w:val="24"/>
              </w:rPr>
              <w:t>20</w:t>
            </w:r>
            <w:r>
              <w:rPr>
                <w:rFonts w:hint="eastAsia"/>
                <w:szCs w:val="24"/>
              </w:rPr>
              <w:t>个交易日的收盘价低于发行价，或者交易完成后</w:t>
            </w:r>
            <w:r>
              <w:rPr>
                <w:szCs w:val="24"/>
              </w:rPr>
              <w:t>6</w:t>
            </w:r>
            <w:r>
              <w:rPr>
                <w:rFonts w:hint="eastAsia"/>
                <w:szCs w:val="24"/>
              </w:rPr>
              <w:t>个月期末收盘价低于发行价的，本企业持有上市公司股票的锁定期自动延长</w:t>
            </w:r>
            <w:r>
              <w:rPr>
                <w:szCs w:val="24"/>
              </w:rPr>
              <w:t>6</w:t>
            </w:r>
            <w:r>
              <w:rPr>
                <w:rFonts w:hint="eastAsia"/>
                <w:szCs w:val="24"/>
              </w:rPr>
              <w:t>个月。</w:t>
            </w:r>
            <w:r>
              <w:rPr>
                <w:szCs w:val="24"/>
              </w:rPr>
              <w:t>3</w:t>
            </w:r>
            <w:r>
              <w:rPr>
                <w:rFonts w:hint="eastAsia"/>
                <w:szCs w:val="24"/>
              </w:rPr>
              <w:t>、若上述锁定期安排与监管机构的最新监管意见不相符的，本企业将根据监管机构的最新监管意见出具相应调整后的锁定期承诺函。</w:t>
            </w:r>
            <w:r>
              <w:rPr>
                <w:szCs w:val="24"/>
              </w:rPr>
              <w:t>"</w:t>
            </w:r>
          </w:p>
        </w:tc>
        <w:tc>
          <w:tcPr>
            <w:tcW w:w="85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01</w:t>
            </w:r>
            <w:r>
              <w:rPr>
                <w:rFonts w:hint="eastAsia"/>
                <w:szCs w:val="24"/>
              </w:rPr>
              <w:t>月</w:t>
            </w:r>
            <w:r>
              <w:rPr>
                <w:szCs w:val="24"/>
              </w:rPr>
              <w:t>08</w:t>
            </w:r>
            <w:r>
              <w:rPr>
                <w:rFonts w:hint="eastAsia"/>
                <w:szCs w:val="24"/>
              </w:rPr>
              <w:t>日</w:t>
            </w:r>
          </w:p>
        </w:tc>
        <w:tc>
          <w:tcPr>
            <w:tcW w:w="70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2019-01-07</w:t>
            </w:r>
          </w:p>
        </w:tc>
        <w:tc>
          <w:tcPr>
            <w:tcW w:w="4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正常履行中</w:t>
            </w:r>
          </w:p>
        </w:tc>
      </w:tr>
      <w:tr>
        <w:tblPrEx>
          <w:tblLayout w:type="fixed"/>
          <w:tblCellMar>
            <w:top w:w="0" w:type="dxa"/>
            <w:left w:w="28" w:type="dxa"/>
            <w:bottom w:w="0" w:type="dxa"/>
            <w:right w:w="28" w:type="dxa"/>
          </w:tblCellMar>
        </w:tblPrEx>
        <w:tc>
          <w:tcPr>
            <w:tcW w:w="993" w:type="dxa"/>
            <w:vMerge w:val="continue"/>
            <w:tcBorders>
              <w:top w:val="single" w:color="auto" w:sz="4" w:space="0"/>
              <w:left w:val="single" w:color="auto" w:sz="4" w:space="0"/>
              <w:bottom w:val="single" w:color="auto" w:sz="4" w:space="0"/>
              <w:right w:val="single" w:color="auto" w:sz="4" w:space="0"/>
            </w:tcBorders>
            <w:vAlign w:val="center"/>
          </w:tcPr>
          <w:p>
            <w:pPr>
              <w:jc w:val="left"/>
              <w:rPr>
                <w:szCs w:val="24"/>
              </w:rPr>
            </w:pPr>
          </w:p>
        </w:tc>
        <w:tc>
          <w:tcPr>
            <w:tcW w:w="70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申万秋</w:t>
            </w:r>
          </w:p>
        </w:tc>
        <w:tc>
          <w:tcPr>
            <w:tcW w:w="5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业绩承诺及补偿安排</w:t>
            </w:r>
          </w:p>
        </w:tc>
        <w:tc>
          <w:tcPr>
            <w:tcW w:w="524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w:t>
            </w:r>
            <w:r>
              <w:rPr>
                <w:rFonts w:hint="eastAsia"/>
                <w:szCs w:val="24"/>
              </w:rPr>
              <w:t>（一）业绩承诺期及承诺的净利润根据海兰信与申万秋签署的《盈利预测补偿协议》，申万秋业绩承诺期为本次交易完成日后的连续三个会计年度（包括本次交易实施完成的当年）。本次交易于</w:t>
            </w:r>
            <w:r>
              <w:rPr>
                <w:szCs w:val="24"/>
              </w:rPr>
              <w:t>2015</w:t>
            </w:r>
            <w:r>
              <w:rPr>
                <w:rFonts w:hint="eastAsia"/>
                <w:szCs w:val="24"/>
              </w:rPr>
              <w:t>年</w:t>
            </w:r>
            <w:r>
              <w:rPr>
                <w:szCs w:val="24"/>
              </w:rPr>
              <w:t>12</w:t>
            </w:r>
            <w:r>
              <w:rPr>
                <w:rFonts w:hint="eastAsia"/>
                <w:szCs w:val="24"/>
              </w:rPr>
              <w:t>月</w:t>
            </w:r>
            <w:r>
              <w:rPr>
                <w:szCs w:val="24"/>
              </w:rPr>
              <w:t>31</w:t>
            </w:r>
            <w:r>
              <w:rPr>
                <w:rFonts w:hint="eastAsia"/>
                <w:szCs w:val="24"/>
              </w:rPr>
              <w:t>日前实施完毕，业绩承诺期为</w:t>
            </w:r>
            <w:r>
              <w:rPr>
                <w:szCs w:val="24"/>
              </w:rPr>
              <w:t>2015</w:t>
            </w:r>
            <w:r>
              <w:rPr>
                <w:rFonts w:hint="eastAsia"/>
                <w:szCs w:val="24"/>
              </w:rPr>
              <w:t>年度、</w:t>
            </w:r>
            <w:r>
              <w:rPr>
                <w:szCs w:val="24"/>
              </w:rPr>
              <w:t>2016</w:t>
            </w:r>
            <w:r>
              <w:rPr>
                <w:rFonts w:hint="eastAsia"/>
                <w:szCs w:val="24"/>
              </w:rPr>
              <w:t>年度及</w:t>
            </w:r>
            <w:r>
              <w:rPr>
                <w:szCs w:val="24"/>
              </w:rPr>
              <w:t>2017</w:t>
            </w:r>
            <w:r>
              <w:rPr>
                <w:rFonts w:hint="eastAsia"/>
                <w:szCs w:val="24"/>
              </w:rPr>
              <w:t>年度，申万秋承诺标的公司</w:t>
            </w:r>
            <w:r>
              <w:rPr>
                <w:szCs w:val="24"/>
              </w:rPr>
              <w:t>2015</w:t>
            </w:r>
            <w:r>
              <w:rPr>
                <w:rFonts w:hint="eastAsia"/>
                <w:szCs w:val="24"/>
              </w:rPr>
              <w:t>年度、</w:t>
            </w:r>
            <w:r>
              <w:rPr>
                <w:szCs w:val="24"/>
              </w:rPr>
              <w:t>2016</w:t>
            </w:r>
            <w:r>
              <w:rPr>
                <w:rFonts w:hint="eastAsia"/>
                <w:szCs w:val="24"/>
              </w:rPr>
              <w:t>年度及</w:t>
            </w:r>
            <w:r>
              <w:rPr>
                <w:szCs w:val="24"/>
              </w:rPr>
              <w:t>2017</w:t>
            </w:r>
            <w:r>
              <w:rPr>
                <w:rFonts w:hint="eastAsia"/>
                <w:szCs w:val="24"/>
              </w:rPr>
              <w:t>年度的净利润分别不低于</w:t>
            </w:r>
            <w:r>
              <w:rPr>
                <w:szCs w:val="24"/>
              </w:rPr>
              <w:t>2,840</w:t>
            </w:r>
            <w:r>
              <w:rPr>
                <w:rFonts w:hint="eastAsia"/>
                <w:szCs w:val="24"/>
              </w:rPr>
              <w:t>万元、</w:t>
            </w:r>
            <w:r>
              <w:rPr>
                <w:szCs w:val="24"/>
              </w:rPr>
              <w:t>3,200</w:t>
            </w:r>
            <w:r>
              <w:rPr>
                <w:rFonts w:hint="eastAsia"/>
                <w:szCs w:val="24"/>
              </w:rPr>
              <w:t>万元、</w:t>
            </w:r>
            <w:r>
              <w:rPr>
                <w:szCs w:val="24"/>
              </w:rPr>
              <w:t>3,360</w:t>
            </w:r>
            <w:r>
              <w:rPr>
                <w:rFonts w:hint="eastAsia"/>
                <w:szCs w:val="24"/>
              </w:rPr>
              <w:t>万元。（二）业绩补偿实施方案</w:t>
            </w:r>
            <w:r>
              <w:rPr>
                <w:szCs w:val="24"/>
              </w:rPr>
              <w:t>1</w:t>
            </w:r>
            <w:r>
              <w:rPr>
                <w:rFonts w:hint="eastAsia"/>
                <w:szCs w:val="24"/>
              </w:rPr>
              <w:t>、补偿方式和数额的确定本次交易业绩承诺补偿的实施采用股份与现金相结合的方式进行。承诺期内每一个会计年度结束后，在具有证券、期货业务资格的会计师事务所对标的公司当年实际实现的扣除非经常性损益后的净利润情况出具专项审核报告之日起</w:t>
            </w:r>
            <w:r>
              <w:rPr>
                <w:szCs w:val="24"/>
              </w:rPr>
              <w:t>30</w:t>
            </w:r>
            <w:r>
              <w:rPr>
                <w:rFonts w:hint="eastAsia"/>
                <w:szCs w:val="24"/>
              </w:rPr>
              <w:t>个工作日内，由申万秋向海兰信补偿应补偿的股份以及现金金额。对于申万秋股份补偿部分，海兰信有权以</w:t>
            </w:r>
            <w:r>
              <w:rPr>
                <w:szCs w:val="24"/>
              </w:rPr>
              <w:t>1</w:t>
            </w:r>
            <w:r>
              <w:rPr>
                <w:rFonts w:hint="eastAsia"/>
                <w:szCs w:val="24"/>
              </w:rPr>
              <w:t>元的总价格予以回购并注销。股份补偿的计算公式如下：当期补偿金额</w:t>
            </w:r>
            <w:r>
              <w:rPr>
                <w:szCs w:val="24"/>
              </w:rPr>
              <w:t>=</w:t>
            </w:r>
            <w:r>
              <w:rPr>
                <w:rFonts w:hint="eastAsia"/>
                <w:szCs w:val="24"/>
              </w:rPr>
              <w:t>（截至当期期末累积承诺净利润数－截至当期期末累积实现净利润数）</w:t>
            </w:r>
            <w:r>
              <w:rPr>
                <w:szCs w:val="24"/>
              </w:rPr>
              <w:t>÷</w:t>
            </w:r>
            <w:r>
              <w:rPr>
                <w:rFonts w:hint="eastAsia"/>
                <w:szCs w:val="24"/>
              </w:rPr>
              <w:t>补偿期限内各年的预测净利润数总和</w:t>
            </w:r>
            <w:r>
              <w:rPr>
                <w:szCs w:val="24"/>
              </w:rPr>
              <w:t>×</w:t>
            </w:r>
            <w:r>
              <w:rPr>
                <w:rFonts w:hint="eastAsia"/>
                <w:szCs w:val="24"/>
              </w:rPr>
              <w:t>本次交易对价－累积已补偿金额当期应当补偿股份数量</w:t>
            </w:r>
            <w:r>
              <w:rPr>
                <w:szCs w:val="24"/>
              </w:rPr>
              <w:t>=</w:t>
            </w:r>
            <w:r>
              <w:rPr>
                <w:rFonts w:hint="eastAsia"/>
                <w:szCs w:val="24"/>
              </w:rPr>
              <w:t>当期补偿金额</w:t>
            </w:r>
            <w:r>
              <w:rPr>
                <w:szCs w:val="24"/>
              </w:rPr>
              <w:t>÷</w:t>
            </w:r>
            <w:r>
              <w:rPr>
                <w:rFonts w:hint="eastAsia"/>
                <w:szCs w:val="24"/>
              </w:rPr>
              <w:t>本次股份的发行价格申万秋应优先以本次交易获得的股份进行补偿，本次交易获得的股份不足补偿的，申万秋应以其在本次交易前持有的海兰信股份进行补偿，上述股份仍不足补偿的部分，申万秋应进行现金补偿，具体计算公式为：当期现金补偿金额＝当期补偿金额－当期已补偿股份数量</w:t>
            </w:r>
            <w:r>
              <w:rPr>
                <w:szCs w:val="24"/>
              </w:rPr>
              <w:t>×</w:t>
            </w:r>
            <w:r>
              <w:rPr>
                <w:rFonts w:hint="eastAsia"/>
                <w:szCs w:val="24"/>
              </w:rPr>
              <w:t>本次股份的发行价格。在逐年补偿的情况下，在当年计算的补偿股份数量小于</w:t>
            </w:r>
            <w:r>
              <w:rPr>
                <w:szCs w:val="24"/>
              </w:rPr>
              <w:t>0</w:t>
            </w:r>
            <w:r>
              <w:rPr>
                <w:rFonts w:hint="eastAsia"/>
                <w:szCs w:val="24"/>
              </w:rPr>
              <w:t>时，按</w:t>
            </w:r>
            <w:r>
              <w:rPr>
                <w:szCs w:val="24"/>
              </w:rPr>
              <w:t>0</w:t>
            </w:r>
            <w:r>
              <w:rPr>
                <w:rFonts w:hint="eastAsia"/>
                <w:szCs w:val="24"/>
              </w:rPr>
              <w:t>取值，即已经补偿的股份不冲回。申万秋进行业绩补偿的股份总数以申万秋及上海言盛在本次交易中获得的股份总数为上限。如果业绩承诺期间内海兰信以转增或送股方式进行分配而导致申万秋持有的海兰信股份数发生变化，则海兰信回购股份的数量应调整为：按上述公式计算的当期应当补偿股份数量</w:t>
            </w:r>
            <w:r>
              <w:rPr>
                <w:szCs w:val="24"/>
              </w:rPr>
              <w:t>×</w:t>
            </w:r>
            <w:r>
              <w:rPr>
                <w:rFonts w:hint="eastAsia"/>
                <w:szCs w:val="24"/>
              </w:rPr>
              <w:t>（</w:t>
            </w:r>
            <w:r>
              <w:rPr>
                <w:szCs w:val="24"/>
              </w:rPr>
              <w:t>1+</w:t>
            </w:r>
            <w:r>
              <w:rPr>
                <w:rFonts w:hint="eastAsia"/>
                <w:szCs w:val="24"/>
              </w:rPr>
              <w:t>转增或送股比例）。如海兰信在承诺年度有现金分红的，应补偿股份数在补偿实施时累积获得的分红收益应随之无偿返还海兰信。</w:t>
            </w:r>
            <w:r>
              <w:rPr>
                <w:szCs w:val="24"/>
              </w:rPr>
              <w:t>2</w:t>
            </w:r>
            <w:r>
              <w:rPr>
                <w:rFonts w:hint="eastAsia"/>
                <w:szCs w:val="24"/>
              </w:rPr>
              <w:t>、标的公司减值测试与另行补偿业绩承诺期结束时，海兰信将聘请具有证券从业资格的会计师事务所对标的资产进行资产减值测试，并出具专项审核意见，即使用与本次交易资产评估相同的方法对标的公司股权进行评估，确认相对本次交易标的资产的评估值是否存在减值损失。若标的资产期末减值额</w:t>
            </w:r>
            <w:r>
              <w:rPr>
                <w:szCs w:val="24"/>
              </w:rPr>
              <w:t>&gt;</w:t>
            </w:r>
            <w:r>
              <w:rPr>
                <w:rFonts w:hint="eastAsia"/>
                <w:szCs w:val="24"/>
              </w:rPr>
              <w:t>已补偿股份数</w:t>
            </w:r>
            <w:r>
              <w:rPr>
                <w:szCs w:val="24"/>
              </w:rPr>
              <w:t>×</w:t>
            </w:r>
            <w:r>
              <w:rPr>
                <w:rFonts w:hint="eastAsia"/>
                <w:szCs w:val="24"/>
              </w:rPr>
              <w:t>本次发行价格＋现金补偿金额（如有），则申万秋应以股份及现金方式向海兰信另行补偿。标的资产期末减值额为本次交易标的资产的价格减去期末标的资产的评估值并扣除承诺年度期限内标的资产增资、减资、接受赠与以及利润分配的影响。减值测试补偿金额</w:t>
            </w:r>
            <w:r>
              <w:rPr>
                <w:szCs w:val="24"/>
              </w:rPr>
              <w:t>=</w:t>
            </w:r>
            <w:r>
              <w:rPr>
                <w:rFonts w:hint="eastAsia"/>
                <w:szCs w:val="24"/>
              </w:rPr>
              <w:t>标的资产期末减值额</w:t>
            </w:r>
            <w:r>
              <w:rPr>
                <w:szCs w:val="24"/>
              </w:rPr>
              <w:t>—</w:t>
            </w:r>
            <w:r>
              <w:rPr>
                <w:rFonts w:hint="eastAsia"/>
                <w:szCs w:val="24"/>
              </w:rPr>
              <w:t>已补偿股份数</w:t>
            </w:r>
            <w:r>
              <w:rPr>
                <w:szCs w:val="24"/>
              </w:rPr>
              <w:t>×</w:t>
            </w:r>
            <w:r>
              <w:rPr>
                <w:rFonts w:hint="eastAsia"/>
                <w:szCs w:val="24"/>
              </w:rPr>
              <w:t>本次发行价格</w:t>
            </w:r>
            <w:r>
              <w:rPr>
                <w:szCs w:val="24"/>
              </w:rPr>
              <w:t>—</w:t>
            </w:r>
            <w:r>
              <w:rPr>
                <w:rFonts w:hint="eastAsia"/>
                <w:szCs w:val="24"/>
              </w:rPr>
              <w:t>已补偿现金金额具体减值测试补偿按以下公式计算确定：减值测试补偿股份数量＝减值测试补偿金额</w:t>
            </w:r>
            <w:r>
              <w:rPr>
                <w:szCs w:val="24"/>
              </w:rPr>
              <w:t>÷</w:t>
            </w:r>
            <w:r>
              <w:rPr>
                <w:rFonts w:hint="eastAsia"/>
                <w:szCs w:val="24"/>
              </w:rPr>
              <w:t>每股发行价格如申万秋通过本次交易认购的海兰信的股份数不足以补偿，则申万秋应向海兰信另行支付现金进行补偿。减值测试另行现金补偿金额</w:t>
            </w:r>
            <w:r>
              <w:rPr>
                <w:szCs w:val="24"/>
              </w:rPr>
              <w:t>=</w:t>
            </w:r>
            <w:r>
              <w:rPr>
                <w:rFonts w:hint="eastAsia"/>
                <w:szCs w:val="24"/>
              </w:rPr>
              <w:t>减值测试补偿金额</w:t>
            </w:r>
            <w:r>
              <w:rPr>
                <w:szCs w:val="24"/>
              </w:rPr>
              <w:t>—</w:t>
            </w:r>
            <w:r>
              <w:rPr>
                <w:rFonts w:hint="eastAsia"/>
                <w:szCs w:val="24"/>
              </w:rPr>
              <w:t>已补偿的减值测试补偿股份数量</w:t>
            </w:r>
            <w:r>
              <w:rPr>
                <w:szCs w:val="24"/>
              </w:rPr>
              <w:t>×</w:t>
            </w:r>
            <w:r>
              <w:rPr>
                <w:rFonts w:hint="eastAsia"/>
                <w:szCs w:val="24"/>
              </w:rPr>
              <w:t>发行价格若海兰信在承诺年度实施转增或送股分配的，则减值测试补偿股份数进行相应调整为：按上述公式计算的补偿股份数量</w:t>
            </w:r>
            <w:r>
              <w:rPr>
                <w:szCs w:val="24"/>
              </w:rPr>
              <w:t>×</w:t>
            </w:r>
            <w:r>
              <w:rPr>
                <w:rFonts w:hint="eastAsia"/>
                <w:szCs w:val="24"/>
              </w:rPr>
              <w:t>（</w:t>
            </w:r>
            <w:r>
              <w:rPr>
                <w:szCs w:val="24"/>
              </w:rPr>
              <w:t>1</w:t>
            </w:r>
            <w:r>
              <w:rPr>
                <w:rFonts w:hint="eastAsia"/>
                <w:szCs w:val="24"/>
              </w:rPr>
              <w:t>＋转增或送股比例）。若海兰信在业绩承诺期内有现金分红的，其按前述公式计算的具体减值测试补偿股份数在回购股份实施前所对应的现金分红收益，应随之无偿返还海兰信。</w:t>
            </w:r>
            <w:r>
              <w:rPr>
                <w:szCs w:val="24"/>
              </w:rPr>
              <w:t>3</w:t>
            </w:r>
            <w:r>
              <w:rPr>
                <w:rFonts w:hint="eastAsia"/>
                <w:szCs w:val="24"/>
              </w:rPr>
              <w:t>、补偿的实施海兰信应当在每一业绩承诺期专项审核意见出具之后的</w:t>
            </w:r>
            <w:r>
              <w:rPr>
                <w:szCs w:val="24"/>
              </w:rPr>
              <w:t>10</w:t>
            </w:r>
            <w:r>
              <w:rPr>
                <w:rFonts w:hint="eastAsia"/>
                <w:szCs w:val="24"/>
              </w:rPr>
              <w:t>个工作日内召开董事会会议，并按照本协议确定申万秋应补偿的股份数量和现金补偿金额，并由董事会召集股东大会审议股份回购注销事宜。</w:t>
            </w:r>
            <w:r>
              <w:rPr>
                <w:szCs w:val="24"/>
              </w:rPr>
              <w:t>"</w:t>
            </w:r>
          </w:p>
        </w:tc>
        <w:tc>
          <w:tcPr>
            <w:tcW w:w="85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01</w:t>
            </w:r>
            <w:r>
              <w:rPr>
                <w:rFonts w:hint="eastAsia"/>
                <w:szCs w:val="24"/>
              </w:rPr>
              <w:t>月</w:t>
            </w:r>
            <w:r>
              <w:rPr>
                <w:szCs w:val="24"/>
              </w:rPr>
              <w:t>08</w:t>
            </w:r>
            <w:r>
              <w:rPr>
                <w:rFonts w:hint="eastAsia"/>
                <w:szCs w:val="24"/>
              </w:rPr>
              <w:t>日</w:t>
            </w:r>
          </w:p>
        </w:tc>
        <w:tc>
          <w:tcPr>
            <w:tcW w:w="70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2018-04-30</w:t>
            </w:r>
          </w:p>
        </w:tc>
        <w:tc>
          <w:tcPr>
            <w:tcW w:w="4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正常履行中</w:t>
            </w:r>
          </w:p>
        </w:tc>
      </w:tr>
      <w:tr>
        <w:tblPrEx>
          <w:tblLayout w:type="fixed"/>
          <w:tblCellMar>
            <w:top w:w="0" w:type="dxa"/>
            <w:left w:w="28" w:type="dxa"/>
            <w:bottom w:w="0" w:type="dxa"/>
            <w:right w:w="28" w:type="dxa"/>
          </w:tblCellMar>
        </w:tblPrEx>
        <w:tc>
          <w:tcPr>
            <w:tcW w:w="993" w:type="dxa"/>
            <w:vMerge w:val="continue"/>
            <w:tcBorders>
              <w:top w:val="single" w:color="auto" w:sz="4" w:space="0"/>
              <w:left w:val="single" w:color="auto" w:sz="4" w:space="0"/>
              <w:bottom w:val="single" w:color="auto" w:sz="4" w:space="0"/>
              <w:right w:val="single" w:color="auto" w:sz="4" w:space="0"/>
            </w:tcBorders>
            <w:vAlign w:val="center"/>
          </w:tcPr>
          <w:p>
            <w:pPr>
              <w:jc w:val="left"/>
              <w:rPr>
                <w:szCs w:val="24"/>
              </w:rPr>
            </w:pPr>
          </w:p>
        </w:tc>
        <w:tc>
          <w:tcPr>
            <w:tcW w:w="70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申万秋</w:t>
            </w:r>
          </w:p>
        </w:tc>
        <w:tc>
          <w:tcPr>
            <w:tcW w:w="5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关于同业竞争、关联交易、资金占用方面的承诺</w:t>
            </w:r>
          </w:p>
        </w:tc>
        <w:tc>
          <w:tcPr>
            <w:tcW w:w="524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w:t>
            </w:r>
            <w:r>
              <w:rPr>
                <w:rFonts w:hint="eastAsia"/>
                <w:szCs w:val="24"/>
              </w:rPr>
              <w:t>申万秋承诺：</w:t>
            </w:r>
            <w:r>
              <w:rPr>
                <w:szCs w:val="24"/>
              </w:rPr>
              <w:t>1</w:t>
            </w:r>
            <w:r>
              <w:rPr>
                <w:rFonts w:hint="eastAsia"/>
                <w:szCs w:val="24"/>
              </w:rPr>
              <w:t>、本人承诺，在本人直接或间接持有海兰信股份期间及之后两年，本人及其控制的或可施加重大影响的企业不得以任何形式（包括但不限于在中国境内或境外自行或与他人合资、合作、联营、投资、兼并、受托经营等方式）直接或间接地从事、参与或协助他人从事任何与海兰信及其控股公司届时正在从事或可预见即将从事的业务有直接或间接竞争关系的相同或相似的业务或其他经营活动，也不得直接或间接投资任何与海兰信及其控股公司届时正在从事的业务有直接或间接竞争关系的经济实体；</w:t>
            </w:r>
            <w:r>
              <w:rPr>
                <w:szCs w:val="24"/>
              </w:rPr>
              <w:t>2</w:t>
            </w:r>
            <w:r>
              <w:rPr>
                <w:rFonts w:hint="eastAsia"/>
                <w:szCs w:val="24"/>
              </w:rPr>
              <w:t>、本人承诺，如本人及其控制的或可施加重大影响的企业未来从任何第三方获得的任何商业机会与海兰信及其控股公司主营业务有竞争或可能有竞争，则本人将立即通知上市公司，在征得第三方允诺后，尽力将该商业机会给予海兰信及其控股公司；</w:t>
            </w:r>
            <w:r>
              <w:rPr>
                <w:szCs w:val="24"/>
              </w:rPr>
              <w:t>3</w:t>
            </w:r>
            <w:r>
              <w:rPr>
                <w:rFonts w:hint="eastAsia"/>
                <w:szCs w:val="24"/>
              </w:rPr>
              <w:t>、本人保证绝不利用对海兰信及其控股公司的了解和知悉的信息协助第三方从事、参与或投资与海兰信及其控股公司相竞争的业务或项目；</w:t>
            </w:r>
            <w:r>
              <w:rPr>
                <w:szCs w:val="24"/>
              </w:rPr>
              <w:t>4</w:t>
            </w:r>
            <w:r>
              <w:rPr>
                <w:rFonts w:hint="eastAsia"/>
                <w:szCs w:val="24"/>
              </w:rPr>
              <w:t>、本人保证将赔偿海兰信及其控股公司因本人违反本承诺而遭受或产生的任何损失或开支。本承诺函对本人具有法律约束力，本人愿意承担个别和连带的法律责任。</w:t>
            </w:r>
            <w:r>
              <w:rPr>
                <w:szCs w:val="24"/>
              </w:rPr>
              <w:t>"</w:t>
            </w:r>
          </w:p>
        </w:tc>
        <w:tc>
          <w:tcPr>
            <w:tcW w:w="85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01</w:t>
            </w:r>
            <w:r>
              <w:rPr>
                <w:rFonts w:hint="eastAsia"/>
                <w:szCs w:val="24"/>
              </w:rPr>
              <w:t>月</w:t>
            </w:r>
            <w:r>
              <w:rPr>
                <w:szCs w:val="24"/>
              </w:rPr>
              <w:t>08</w:t>
            </w:r>
            <w:r>
              <w:rPr>
                <w:rFonts w:hint="eastAsia"/>
                <w:szCs w:val="24"/>
              </w:rPr>
              <w:t>日</w:t>
            </w:r>
          </w:p>
        </w:tc>
        <w:tc>
          <w:tcPr>
            <w:tcW w:w="70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长期有效</w:t>
            </w:r>
          </w:p>
        </w:tc>
        <w:tc>
          <w:tcPr>
            <w:tcW w:w="4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正常履行中</w:t>
            </w:r>
          </w:p>
        </w:tc>
      </w:tr>
      <w:tr>
        <w:tblPrEx>
          <w:tblLayout w:type="fixed"/>
          <w:tblCellMar>
            <w:top w:w="0" w:type="dxa"/>
            <w:left w:w="28" w:type="dxa"/>
            <w:bottom w:w="0" w:type="dxa"/>
            <w:right w:w="28" w:type="dxa"/>
          </w:tblCellMar>
        </w:tblPrEx>
        <w:tc>
          <w:tcPr>
            <w:tcW w:w="993" w:type="dxa"/>
            <w:vMerge w:val="continue"/>
            <w:tcBorders>
              <w:top w:val="single" w:color="auto" w:sz="4" w:space="0"/>
              <w:left w:val="single" w:color="auto" w:sz="4" w:space="0"/>
              <w:bottom w:val="single" w:color="auto" w:sz="4" w:space="0"/>
              <w:right w:val="single" w:color="auto" w:sz="4" w:space="0"/>
            </w:tcBorders>
            <w:vAlign w:val="center"/>
          </w:tcPr>
          <w:p>
            <w:pPr>
              <w:jc w:val="left"/>
              <w:rPr>
                <w:szCs w:val="24"/>
              </w:rPr>
            </w:pPr>
          </w:p>
        </w:tc>
        <w:tc>
          <w:tcPr>
            <w:tcW w:w="70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申万秋</w:t>
            </w:r>
          </w:p>
        </w:tc>
        <w:tc>
          <w:tcPr>
            <w:tcW w:w="5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关于同业竞争、关联交易、资金占用方面的承诺</w:t>
            </w:r>
          </w:p>
        </w:tc>
        <w:tc>
          <w:tcPr>
            <w:tcW w:w="524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w:t>
            </w:r>
            <w:r>
              <w:rPr>
                <w:rFonts w:hint="eastAsia"/>
                <w:szCs w:val="24"/>
              </w:rPr>
              <w:t>申万秋承诺：</w:t>
            </w:r>
            <w:r>
              <w:rPr>
                <w:szCs w:val="24"/>
              </w:rPr>
              <w:t>1</w:t>
            </w:r>
            <w:r>
              <w:rPr>
                <w:rFonts w:hint="eastAsia"/>
                <w:szCs w:val="24"/>
              </w:rPr>
              <w:t>、本次交易完成后，本人及本人下属全资、控股子公司及其他可实际控制企业与上市公司之间将尽量减少关联交易。在进行确有必要且无法规避的关联交易时，保证按市场化原则和公允价格进行公平操作，并按相关法律、法规、规章等规范性文件的规定履行交易程序及信息披露义务，保证不通过关联交易损害上市公司及其他股东的合法权益。</w:t>
            </w:r>
            <w:r>
              <w:rPr>
                <w:szCs w:val="24"/>
              </w:rPr>
              <w:t>2</w:t>
            </w:r>
            <w:r>
              <w:rPr>
                <w:rFonts w:hint="eastAsia"/>
                <w:szCs w:val="24"/>
              </w:rPr>
              <w:t>、本人和上市公司就相互间关联事务及交易所做出的任何约定及安排，均不妨碍对方为其自身利益、在市场同等竞争条件下与任何第三方进行业务往来或交易。上述承诺自海兰信本次重大资产重组事项获得核准之日起具有法律效力，对本人具有法律约束力至本人不再拥有对上市公司的股份当日失效。</w:t>
            </w:r>
            <w:r>
              <w:rPr>
                <w:szCs w:val="24"/>
              </w:rPr>
              <w:t>"</w:t>
            </w:r>
          </w:p>
        </w:tc>
        <w:tc>
          <w:tcPr>
            <w:tcW w:w="85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2015</w:t>
            </w:r>
            <w:r>
              <w:rPr>
                <w:rFonts w:hint="eastAsia"/>
                <w:szCs w:val="24"/>
              </w:rPr>
              <w:t>年</w:t>
            </w:r>
            <w:r>
              <w:rPr>
                <w:szCs w:val="24"/>
              </w:rPr>
              <w:t>12</w:t>
            </w:r>
            <w:r>
              <w:rPr>
                <w:rFonts w:hint="eastAsia"/>
                <w:szCs w:val="24"/>
              </w:rPr>
              <w:t>月</w:t>
            </w:r>
            <w:r>
              <w:rPr>
                <w:szCs w:val="24"/>
              </w:rPr>
              <w:t>25</w:t>
            </w:r>
            <w:r>
              <w:rPr>
                <w:rFonts w:hint="eastAsia"/>
                <w:szCs w:val="24"/>
              </w:rPr>
              <w:t>日</w:t>
            </w:r>
          </w:p>
        </w:tc>
        <w:tc>
          <w:tcPr>
            <w:tcW w:w="70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长期有效</w:t>
            </w:r>
          </w:p>
        </w:tc>
        <w:tc>
          <w:tcPr>
            <w:tcW w:w="4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正常履行中</w:t>
            </w:r>
          </w:p>
        </w:tc>
      </w:tr>
      <w:tr>
        <w:tblPrEx>
          <w:tblLayout w:type="fixed"/>
          <w:tblCellMar>
            <w:top w:w="0" w:type="dxa"/>
            <w:left w:w="28" w:type="dxa"/>
            <w:bottom w:w="0" w:type="dxa"/>
            <w:right w:w="28" w:type="dxa"/>
          </w:tblCellMar>
        </w:tblPrEx>
        <w:tc>
          <w:tcPr>
            <w:tcW w:w="993" w:type="dxa"/>
            <w:vMerge w:val="continue"/>
            <w:tcBorders>
              <w:top w:val="single" w:color="auto" w:sz="4" w:space="0"/>
              <w:left w:val="single" w:color="auto" w:sz="4" w:space="0"/>
              <w:bottom w:val="single" w:color="auto" w:sz="4" w:space="0"/>
              <w:right w:val="single" w:color="auto" w:sz="4" w:space="0"/>
            </w:tcBorders>
            <w:vAlign w:val="center"/>
          </w:tcPr>
          <w:p>
            <w:pPr>
              <w:jc w:val="left"/>
              <w:rPr>
                <w:szCs w:val="24"/>
              </w:rPr>
            </w:pPr>
          </w:p>
        </w:tc>
        <w:tc>
          <w:tcPr>
            <w:tcW w:w="70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上海言盛投资合伙企业（有限合伙）</w:t>
            </w:r>
          </w:p>
        </w:tc>
        <w:tc>
          <w:tcPr>
            <w:tcW w:w="5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关于同业竞争、关联交易、资金占用方面的承诺</w:t>
            </w:r>
          </w:p>
        </w:tc>
        <w:tc>
          <w:tcPr>
            <w:tcW w:w="524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w:t>
            </w:r>
            <w:r>
              <w:rPr>
                <w:rFonts w:hint="eastAsia"/>
                <w:szCs w:val="24"/>
              </w:rPr>
              <w:t>上海言盛承诺：</w:t>
            </w:r>
            <w:r>
              <w:rPr>
                <w:szCs w:val="24"/>
              </w:rPr>
              <w:t>1</w:t>
            </w:r>
            <w:r>
              <w:rPr>
                <w:rFonts w:hint="eastAsia"/>
                <w:szCs w:val="24"/>
              </w:rPr>
              <w:t>、本企业承诺，在本企业直接或间接持有海兰信股份期间及之后两年，本企业及其控制的或可施加重大影响的企业不得以任何形式（包括但不限于在中国境内或境外自行或与他人合资、合作、联营、投资、兼并、受托经营等方式）直接或间接地从事、参与或协助他人从事任何与海兰信及其控股公司届时正在从事或可预见即将从事的业务有直接或间接竞争关系的相同或相似的业务或其他经营活动，也不得直接或间接投资任何与海兰信及其控股公司届时正在从事的业务有直接或间接竞争关系的经济实体；</w:t>
            </w:r>
            <w:r>
              <w:rPr>
                <w:szCs w:val="24"/>
              </w:rPr>
              <w:t>2</w:t>
            </w:r>
            <w:r>
              <w:rPr>
                <w:rFonts w:hint="eastAsia"/>
                <w:szCs w:val="24"/>
              </w:rPr>
              <w:t>、本企业承诺，如本企业及其控制的或可施加重大影响的企业未来从任何第三方获得的任何商业机会与海兰信及其控股公司主营业务有竞争或可能有竞争，则本企业将立即通知上市公司，在征得第三方允诺后，尽力将该商业机会给予海兰信及其控股公司；</w:t>
            </w:r>
            <w:r>
              <w:rPr>
                <w:szCs w:val="24"/>
              </w:rPr>
              <w:t>3</w:t>
            </w:r>
            <w:r>
              <w:rPr>
                <w:rFonts w:hint="eastAsia"/>
                <w:szCs w:val="24"/>
              </w:rPr>
              <w:t>、本企业保证绝不利用对海兰信及其控股公司的了解和知悉的信息协助第三方从事、参与或投资与海兰信及其控股公司相竞争的业务或项目；</w:t>
            </w:r>
            <w:r>
              <w:rPr>
                <w:szCs w:val="24"/>
              </w:rPr>
              <w:t>4</w:t>
            </w:r>
            <w:r>
              <w:rPr>
                <w:rFonts w:hint="eastAsia"/>
                <w:szCs w:val="24"/>
              </w:rPr>
              <w:t>、本企业保证将赔偿海兰信及其控股公司因本企业违反本承诺而遭受或产生的任何损失或开支。本承诺函对本企业具有法律约束力，本企业愿意承担个别和连带的法律责任。</w:t>
            </w:r>
            <w:r>
              <w:rPr>
                <w:szCs w:val="24"/>
              </w:rPr>
              <w:t>"</w:t>
            </w:r>
          </w:p>
        </w:tc>
        <w:tc>
          <w:tcPr>
            <w:tcW w:w="85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01</w:t>
            </w:r>
            <w:r>
              <w:rPr>
                <w:rFonts w:hint="eastAsia"/>
                <w:szCs w:val="24"/>
              </w:rPr>
              <w:t>月</w:t>
            </w:r>
            <w:r>
              <w:rPr>
                <w:szCs w:val="24"/>
              </w:rPr>
              <w:t>08</w:t>
            </w:r>
            <w:r>
              <w:rPr>
                <w:rFonts w:hint="eastAsia"/>
                <w:szCs w:val="24"/>
              </w:rPr>
              <w:t>日</w:t>
            </w:r>
          </w:p>
        </w:tc>
        <w:tc>
          <w:tcPr>
            <w:tcW w:w="70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长期有效</w:t>
            </w:r>
          </w:p>
        </w:tc>
        <w:tc>
          <w:tcPr>
            <w:tcW w:w="4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正常履行中</w:t>
            </w:r>
          </w:p>
        </w:tc>
      </w:tr>
      <w:tr>
        <w:tblPrEx>
          <w:tblLayout w:type="fixed"/>
          <w:tblCellMar>
            <w:top w:w="0" w:type="dxa"/>
            <w:left w:w="28" w:type="dxa"/>
            <w:bottom w:w="0" w:type="dxa"/>
            <w:right w:w="28" w:type="dxa"/>
          </w:tblCellMar>
        </w:tblPrEx>
        <w:tc>
          <w:tcPr>
            <w:tcW w:w="993" w:type="dxa"/>
            <w:vMerge w:val="continue"/>
            <w:tcBorders>
              <w:top w:val="single" w:color="auto" w:sz="4" w:space="0"/>
              <w:left w:val="single" w:color="auto" w:sz="4" w:space="0"/>
              <w:bottom w:val="single" w:color="auto" w:sz="4" w:space="0"/>
              <w:right w:val="single" w:color="auto" w:sz="4" w:space="0"/>
            </w:tcBorders>
            <w:vAlign w:val="center"/>
          </w:tcPr>
          <w:p>
            <w:pPr>
              <w:jc w:val="left"/>
              <w:rPr>
                <w:szCs w:val="24"/>
              </w:rPr>
            </w:pPr>
          </w:p>
        </w:tc>
        <w:tc>
          <w:tcPr>
            <w:tcW w:w="70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上海言盛投资合伙企业（有限合伙）</w:t>
            </w:r>
          </w:p>
        </w:tc>
        <w:tc>
          <w:tcPr>
            <w:tcW w:w="5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关于同业竞争、关联交易、资金占用方面的承诺</w:t>
            </w:r>
          </w:p>
        </w:tc>
        <w:tc>
          <w:tcPr>
            <w:tcW w:w="524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w:t>
            </w:r>
            <w:r>
              <w:rPr>
                <w:rFonts w:hint="eastAsia"/>
                <w:szCs w:val="24"/>
              </w:rPr>
              <w:t>上海言盛承诺：</w:t>
            </w:r>
            <w:r>
              <w:rPr>
                <w:szCs w:val="24"/>
              </w:rPr>
              <w:t>1</w:t>
            </w:r>
            <w:r>
              <w:rPr>
                <w:rFonts w:hint="eastAsia"/>
                <w:szCs w:val="24"/>
              </w:rPr>
              <w:t>、本次交易完成后，本企业将继续严格按照《公司法》、《合伙企业法》等法律、法规、规章等规范性文件的要求以及上市公司《公司章程》的有关规定，行使股东权利或者敦促董事依法行使董事权利，在股东大会以及董事会对有关涉及本企业事项的关联交易进行表决时，履行回避表决的义务。</w:t>
            </w:r>
            <w:r>
              <w:rPr>
                <w:szCs w:val="24"/>
              </w:rPr>
              <w:t>2</w:t>
            </w:r>
            <w:r>
              <w:rPr>
                <w:rFonts w:hint="eastAsia"/>
                <w:szCs w:val="24"/>
              </w:rPr>
              <w:t>、本次交易完成后，本企业与上市公司之间将尽量减少关联交易。在进行确有必要且无法规避的关联交易时，保证按市场化原则和公允价格进行公平操作，并按相关法律、法规、规章等规范性文件的规定履行交易程序及信息披露义务。保证不通过关联交易损害上市公司及其他股东的合法权益。本企业和上市公司就相互间关联事务及交易所做出的任何约定及安排，均不妨碍对方为其自身利益、在市场同等竞争条件下与任何第三方进行业务往来或交易。上述承诺自海兰信本次重大资产重组事项获得核准之日起具有法律效力，对本企业具有法律约束力；至本企业不再拥有对上市公司的股份当日失效。</w:t>
            </w:r>
            <w:r>
              <w:rPr>
                <w:szCs w:val="24"/>
              </w:rPr>
              <w:t>"</w:t>
            </w:r>
          </w:p>
        </w:tc>
        <w:tc>
          <w:tcPr>
            <w:tcW w:w="85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2015</w:t>
            </w:r>
            <w:r>
              <w:rPr>
                <w:rFonts w:hint="eastAsia"/>
                <w:szCs w:val="24"/>
              </w:rPr>
              <w:t>年</w:t>
            </w:r>
            <w:r>
              <w:rPr>
                <w:szCs w:val="24"/>
              </w:rPr>
              <w:t>12</w:t>
            </w:r>
            <w:r>
              <w:rPr>
                <w:rFonts w:hint="eastAsia"/>
                <w:szCs w:val="24"/>
              </w:rPr>
              <w:t>月</w:t>
            </w:r>
            <w:r>
              <w:rPr>
                <w:szCs w:val="24"/>
              </w:rPr>
              <w:t>25</w:t>
            </w:r>
            <w:r>
              <w:rPr>
                <w:rFonts w:hint="eastAsia"/>
                <w:szCs w:val="24"/>
              </w:rPr>
              <w:t>日</w:t>
            </w:r>
          </w:p>
        </w:tc>
        <w:tc>
          <w:tcPr>
            <w:tcW w:w="70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长期有效</w:t>
            </w:r>
          </w:p>
        </w:tc>
        <w:tc>
          <w:tcPr>
            <w:tcW w:w="4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正常履行中</w:t>
            </w:r>
          </w:p>
        </w:tc>
      </w:tr>
      <w:tr>
        <w:tblPrEx>
          <w:tblLayout w:type="fixed"/>
          <w:tblCellMar>
            <w:top w:w="0" w:type="dxa"/>
            <w:left w:w="28" w:type="dxa"/>
            <w:bottom w:w="0" w:type="dxa"/>
            <w:right w:w="28" w:type="dxa"/>
          </w:tblCellMar>
        </w:tblPrEx>
        <w:tc>
          <w:tcPr>
            <w:tcW w:w="993"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首次公开发行或再融资时所作承诺</w:t>
            </w:r>
          </w:p>
        </w:tc>
        <w:tc>
          <w:tcPr>
            <w:tcW w:w="70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公司董事申万秋</w:t>
            </w:r>
          </w:p>
        </w:tc>
        <w:tc>
          <w:tcPr>
            <w:tcW w:w="5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股份限售承诺</w:t>
            </w:r>
          </w:p>
        </w:tc>
        <w:tc>
          <w:tcPr>
            <w:tcW w:w="524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公司董事申万秋承诺：在其任职期间每年转让的股份不超过其所持有发行人股份总数的</w:t>
            </w:r>
            <w:r>
              <w:rPr>
                <w:szCs w:val="24"/>
              </w:rPr>
              <w:t>25%</w:t>
            </w:r>
            <w:r>
              <w:rPr>
                <w:rFonts w:hint="eastAsia"/>
                <w:szCs w:val="24"/>
              </w:rPr>
              <w:t>；离职后半年内，不转让其所持有的股份。</w:t>
            </w:r>
          </w:p>
        </w:tc>
        <w:tc>
          <w:tcPr>
            <w:tcW w:w="85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2010</w:t>
            </w:r>
            <w:r>
              <w:rPr>
                <w:rFonts w:hint="eastAsia"/>
                <w:szCs w:val="24"/>
              </w:rPr>
              <w:t>年</w:t>
            </w:r>
            <w:r>
              <w:rPr>
                <w:szCs w:val="24"/>
              </w:rPr>
              <w:t>03</w:t>
            </w:r>
            <w:r>
              <w:rPr>
                <w:rFonts w:hint="eastAsia"/>
                <w:szCs w:val="24"/>
              </w:rPr>
              <w:t>月</w:t>
            </w:r>
            <w:r>
              <w:rPr>
                <w:szCs w:val="24"/>
              </w:rPr>
              <w:t>26</w:t>
            </w:r>
            <w:r>
              <w:rPr>
                <w:rFonts w:hint="eastAsia"/>
                <w:szCs w:val="24"/>
              </w:rPr>
              <w:t>日</w:t>
            </w:r>
          </w:p>
        </w:tc>
        <w:tc>
          <w:tcPr>
            <w:tcW w:w="70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任职期间</w:t>
            </w:r>
          </w:p>
        </w:tc>
        <w:tc>
          <w:tcPr>
            <w:tcW w:w="4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正常履行中</w:t>
            </w:r>
          </w:p>
        </w:tc>
      </w:tr>
      <w:tr>
        <w:tblPrEx>
          <w:tblLayout w:type="fixed"/>
          <w:tblCellMar>
            <w:top w:w="0" w:type="dxa"/>
            <w:left w:w="28" w:type="dxa"/>
            <w:bottom w:w="0" w:type="dxa"/>
            <w:right w:w="28" w:type="dxa"/>
          </w:tblCellMar>
        </w:tblPrEx>
        <w:tc>
          <w:tcPr>
            <w:tcW w:w="993" w:type="dxa"/>
            <w:vMerge w:val="continue"/>
            <w:tcBorders>
              <w:top w:val="single" w:color="auto" w:sz="4" w:space="0"/>
              <w:left w:val="single" w:color="auto" w:sz="4" w:space="0"/>
              <w:bottom w:val="single" w:color="auto" w:sz="4" w:space="0"/>
              <w:right w:val="single" w:color="auto" w:sz="4" w:space="0"/>
            </w:tcBorders>
            <w:vAlign w:val="center"/>
          </w:tcPr>
          <w:p>
            <w:pPr>
              <w:jc w:val="left"/>
              <w:rPr>
                <w:szCs w:val="24"/>
              </w:rPr>
            </w:pPr>
          </w:p>
        </w:tc>
        <w:tc>
          <w:tcPr>
            <w:tcW w:w="70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公司第一大股东申万秋</w:t>
            </w:r>
          </w:p>
        </w:tc>
        <w:tc>
          <w:tcPr>
            <w:tcW w:w="5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关于同业竞争、关联交易、资金占用方面的承诺</w:t>
            </w:r>
          </w:p>
        </w:tc>
        <w:tc>
          <w:tcPr>
            <w:tcW w:w="524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申万秋出具避免同业竞争承诺：在承诺函签署之日，本人及本人拥有权益的附属公司及参股公司均未生产、开发任何与海兰信生产的产品构成竞争或可能竞争的产品，未直接或间接经营任何与海兰信经营的业务构成竞争或可能竞争的业务，也未参与投资于任何与海兰信生产的产品或经营的业务构成竞争或可能构成竞争的其他企业。自承诺函签署之日起，本人及本人拥有权益的附属公司及参股公司将不生产、开发任何与海兰信生产的产品构成竞争或可能构成竞争的产品，不直接或间接经营任何与海兰信经营的业务构成竞争或可能竞争的业务，也不参与投资于任何与海兰信生产的产品或经营的业务构成竞争或可能构成竞争的其他企业。自承诺函签署之日起，如海兰信进一步拓展其产品和业务范围，本人及本人拥有权益的附属公司及参股公司将不与海兰信拓展后的产品或业务相竞争；若与海兰信拓展后的产品或业务产生竞争，本人及本人拥有权益的附属公司及参股公司将以停止生产或经营相竞争的业务或产品的方式或者将相竞争的业务纳入到海兰信经营的方式或者将相竞争的业务转让给无关联关系第三方的方式避免同业竞争。如承诺函被证明是不真实或未被遵守，本人将向海兰信赔偿一切直接和间接损失。</w:t>
            </w:r>
          </w:p>
        </w:tc>
        <w:tc>
          <w:tcPr>
            <w:tcW w:w="85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2010</w:t>
            </w:r>
            <w:r>
              <w:rPr>
                <w:rFonts w:hint="eastAsia"/>
                <w:szCs w:val="24"/>
              </w:rPr>
              <w:t>年</w:t>
            </w:r>
            <w:r>
              <w:rPr>
                <w:szCs w:val="24"/>
              </w:rPr>
              <w:t>03</w:t>
            </w:r>
            <w:r>
              <w:rPr>
                <w:rFonts w:hint="eastAsia"/>
                <w:szCs w:val="24"/>
              </w:rPr>
              <w:t>月</w:t>
            </w:r>
            <w:r>
              <w:rPr>
                <w:szCs w:val="24"/>
              </w:rPr>
              <w:t>26</w:t>
            </w:r>
            <w:r>
              <w:rPr>
                <w:rFonts w:hint="eastAsia"/>
                <w:szCs w:val="24"/>
              </w:rPr>
              <w:t>日</w:t>
            </w:r>
          </w:p>
        </w:tc>
        <w:tc>
          <w:tcPr>
            <w:tcW w:w="70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长期有效</w:t>
            </w:r>
          </w:p>
        </w:tc>
        <w:tc>
          <w:tcPr>
            <w:tcW w:w="4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承诺人均严格履行承诺，无违反承诺的事项发生。</w:t>
            </w:r>
          </w:p>
        </w:tc>
      </w:tr>
      <w:tr>
        <w:tblPrEx>
          <w:tblLayout w:type="fixed"/>
          <w:tblCellMar>
            <w:top w:w="0" w:type="dxa"/>
            <w:left w:w="28" w:type="dxa"/>
            <w:bottom w:w="0" w:type="dxa"/>
            <w:right w:w="28" w:type="dxa"/>
          </w:tblCellMar>
        </w:tblPrEx>
        <w:tc>
          <w:tcPr>
            <w:tcW w:w="993" w:type="dxa"/>
            <w:vMerge w:val="continue"/>
            <w:tcBorders>
              <w:top w:val="single" w:color="auto" w:sz="4" w:space="0"/>
              <w:left w:val="single" w:color="auto" w:sz="4" w:space="0"/>
              <w:bottom w:val="single" w:color="auto" w:sz="4" w:space="0"/>
              <w:right w:val="single" w:color="auto" w:sz="4" w:space="0"/>
            </w:tcBorders>
            <w:vAlign w:val="center"/>
          </w:tcPr>
          <w:p>
            <w:pPr>
              <w:jc w:val="left"/>
              <w:rPr>
                <w:szCs w:val="24"/>
              </w:rPr>
            </w:pPr>
          </w:p>
        </w:tc>
        <w:tc>
          <w:tcPr>
            <w:tcW w:w="70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公司第一大股东申万秋、股东魏法军</w:t>
            </w:r>
          </w:p>
        </w:tc>
        <w:tc>
          <w:tcPr>
            <w:tcW w:w="5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关于同业竞争、关联交易、资金占用方面的承诺</w:t>
            </w:r>
          </w:p>
        </w:tc>
        <w:tc>
          <w:tcPr>
            <w:tcW w:w="524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w:t>
            </w:r>
            <w:r>
              <w:rPr>
                <w:szCs w:val="24"/>
              </w:rPr>
              <w:t>1</w:t>
            </w:r>
            <w:r>
              <w:rPr>
                <w:rFonts w:hint="eastAsia"/>
                <w:szCs w:val="24"/>
              </w:rPr>
              <w:t>）公司第一大股东申万秋、股东魏法军承诺：在发行人持有海兰天澄股权期间，保证不通过关联交易损害公司及公司股东利益。（</w:t>
            </w:r>
            <w:r>
              <w:rPr>
                <w:szCs w:val="24"/>
              </w:rPr>
              <w:t>2</w:t>
            </w:r>
            <w:r>
              <w:rPr>
                <w:rFonts w:hint="eastAsia"/>
                <w:szCs w:val="24"/>
              </w:rPr>
              <w:t>）公司控股股东申万秋、股东魏法军就原海兰信有限公司发生的历次涉及国有股股权转让的相关事宜进行了承诺：如海兰信有限公司历史上发生的历次涉及国有股股权转让行为中，存在侵害国有股东合法权益、导致国有资产流失情形的，承诺人将对国有股东所遭受损失予以全额赔偿，以确保国有权益不受损失。</w:t>
            </w:r>
          </w:p>
        </w:tc>
        <w:tc>
          <w:tcPr>
            <w:tcW w:w="85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2010</w:t>
            </w:r>
            <w:r>
              <w:rPr>
                <w:rFonts w:hint="eastAsia"/>
                <w:szCs w:val="24"/>
              </w:rPr>
              <w:t>年</w:t>
            </w:r>
            <w:r>
              <w:rPr>
                <w:szCs w:val="24"/>
              </w:rPr>
              <w:t>03</w:t>
            </w:r>
            <w:r>
              <w:rPr>
                <w:rFonts w:hint="eastAsia"/>
                <w:szCs w:val="24"/>
              </w:rPr>
              <w:t>月</w:t>
            </w:r>
            <w:r>
              <w:rPr>
                <w:szCs w:val="24"/>
              </w:rPr>
              <w:t>26</w:t>
            </w:r>
            <w:r>
              <w:rPr>
                <w:rFonts w:hint="eastAsia"/>
                <w:szCs w:val="24"/>
              </w:rPr>
              <w:t>日</w:t>
            </w:r>
          </w:p>
        </w:tc>
        <w:tc>
          <w:tcPr>
            <w:tcW w:w="70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长期有效</w:t>
            </w:r>
          </w:p>
        </w:tc>
        <w:tc>
          <w:tcPr>
            <w:tcW w:w="4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承诺人均严格履行承诺，无违反承诺的事项发生。</w:t>
            </w:r>
          </w:p>
        </w:tc>
      </w:tr>
      <w:tr>
        <w:tblPrEx>
          <w:tblLayout w:type="fixed"/>
          <w:tblCellMar>
            <w:top w:w="0" w:type="dxa"/>
            <w:left w:w="28" w:type="dxa"/>
            <w:bottom w:w="0" w:type="dxa"/>
            <w:right w:w="28" w:type="dxa"/>
          </w:tblCellMar>
        </w:tblPrEx>
        <w:tc>
          <w:tcPr>
            <w:tcW w:w="99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股权激励承诺</w:t>
            </w:r>
          </w:p>
        </w:tc>
        <w:tc>
          <w:tcPr>
            <w:tcW w:w="70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5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524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85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70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4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r>
      <w:tr>
        <w:tblPrEx>
          <w:tblLayout w:type="fixed"/>
          <w:tblCellMar>
            <w:top w:w="0" w:type="dxa"/>
            <w:left w:w="28" w:type="dxa"/>
            <w:bottom w:w="0" w:type="dxa"/>
            <w:right w:w="28" w:type="dxa"/>
          </w:tblCellMar>
        </w:tblPrEx>
        <w:tc>
          <w:tcPr>
            <w:tcW w:w="99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其他对公司中小股东所作承诺</w:t>
            </w:r>
          </w:p>
        </w:tc>
        <w:tc>
          <w:tcPr>
            <w:tcW w:w="70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5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524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85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70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4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r>
      <w:tr>
        <w:tblPrEx>
          <w:tblLayout w:type="fixed"/>
          <w:tblCellMar>
            <w:top w:w="0" w:type="dxa"/>
            <w:left w:w="28" w:type="dxa"/>
            <w:bottom w:w="0" w:type="dxa"/>
            <w:right w:w="28" w:type="dxa"/>
          </w:tblCellMar>
        </w:tblPrEx>
        <w:tc>
          <w:tcPr>
            <w:tcW w:w="99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承诺是否按时履行</w:t>
            </w:r>
          </w:p>
        </w:tc>
        <w:tc>
          <w:tcPr>
            <w:tcW w:w="8574" w:type="dxa"/>
            <w:gridSpan w:val="6"/>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是</w:t>
            </w:r>
          </w:p>
        </w:tc>
      </w:tr>
      <w:tr>
        <w:tblPrEx>
          <w:tblLayout w:type="fixed"/>
          <w:tblCellMar>
            <w:top w:w="0" w:type="dxa"/>
            <w:left w:w="28" w:type="dxa"/>
            <w:bottom w:w="0" w:type="dxa"/>
            <w:right w:w="28" w:type="dxa"/>
          </w:tblCellMar>
        </w:tblPrEx>
        <w:tc>
          <w:tcPr>
            <w:tcW w:w="99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如承诺超期未履行完毕的，应当详细说明未完成履行的具体原因及下一步的工作计划</w:t>
            </w:r>
          </w:p>
        </w:tc>
        <w:tc>
          <w:tcPr>
            <w:tcW w:w="8574" w:type="dxa"/>
            <w:gridSpan w:val="6"/>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不适用</w:t>
            </w:r>
          </w:p>
        </w:tc>
      </w:tr>
    </w:tbl>
    <w:p>
      <w:pPr>
        <w:pStyle w:val="11"/>
        <w:outlineLvl w:val="2"/>
        <w:rPr>
          <w:bCs w:val="0"/>
          <w:szCs w:val="24"/>
        </w:rPr>
      </w:pPr>
      <w:r>
        <w:rPr>
          <w:bCs w:val="0"/>
          <w:szCs w:val="24"/>
        </w:rPr>
        <w:t>2</w:t>
      </w:r>
      <w:r>
        <w:rPr>
          <w:rFonts w:hint="eastAsia"/>
          <w:bCs w:val="0"/>
          <w:szCs w:val="24"/>
        </w:rPr>
        <w:t>、公司资产或项目存在盈利预测，且报告期仍处在盈利预测期间，公司就资产或项目达到原盈利预测及其原因做出说明</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tbl>
      <w:tblPr>
        <w:tblStyle w:val="8"/>
        <w:tblW w:w="9568" w:type="dxa"/>
        <w:tblInd w:w="28" w:type="dxa"/>
        <w:tblLayout w:type="fixed"/>
        <w:tblCellMar>
          <w:top w:w="0" w:type="dxa"/>
          <w:left w:w="28" w:type="dxa"/>
          <w:bottom w:w="0" w:type="dxa"/>
          <w:right w:w="28" w:type="dxa"/>
        </w:tblCellMar>
      </w:tblPr>
      <w:tblGrid>
        <w:gridCol w:w="1194"/>
        <w:gridCol w:w="1196"/>
        <w:gridCol w:w="1196"/>
        <w:gridCol w:w="1196"/>
        <w:gridCol w:w="1196"/>
        <w:gridCol w:w="1196"/>
        <w:gridCol w:w="1198"/>
        <w:gridCol w:w="1196"/>
      </w:tblGrid>
      <w:tr>
        <w:tblPrEx>
          <w:tblLayout w:type="fixed"/>
          <w:tblCellMar>
            <w:top w:w="0" w:type="dxa"/>
            <w:left w:w="28" w:type="dxa"/>
            <w:bottom w:w="0" w:type="dxa"/>
            <w:right w:w="28" w:type="dxa"/>
          </w:tblCellMar>
        </w:tblPrEx>
        <w:tc>
          <w:tcPr>
            <w:tcW w:w="119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盈利预测资产或项目名称</w:t>
            </w:r>
          </w:p>
        </w:tc>
        <w:tc>
          <w:tcPr>
            <w:tcW w:w="119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预测起始时间</w:t>
            </w:r>
          </w:p>
        </w:tc>
        <w:tc>
          <w:tcPr>
            <w:tcW w:w="119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预测终止时间</w:t>
            </w:r>
          </w:p>
        </w:tc>
        <w:tc>
          <w:tcPr>
            <w:tcW w:w="119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当期预测业绩（万元）</w:t>
            </w:r>
          </w:p>
        </w:tc>
        <w:tc>
          <w:tcPr>
            <w:tcW w:w="119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当期实际业绩（万元）</w:t>
            </w:r>
          </w:p>
        </w:tc>
        <w:tc>
          <w:tcPr>
            <w:tcW w:w="119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未达预测的原因（如适用）</w:t>
            </w:r>
          </w:p>
        </w:tc>
        <w:tc>
          <w:tcPr>
            <w:tcW w:w="1198"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原预测披露日期</w:t>
            </w:r>
          </w:p>
        </w:tc>
        <w:tc>
          <w:tcPr>
            <w:tcW w:w="119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原预测披露索引</w:t>
            </w:r>
          </w:p>
        </w:tc>
      </w:tr>
      <w:tr>
        <w:tblPrEx>
          <w:tblLayout w:type="fixed"/>
          <w:tblCellMar>
            <w:top w:w="0" w:type="dxa"/>
            <w:left w:w="28" w:type="dxa"/>
            <w:bottom w:w="0" w:type="dxa"/>
            <w:right w:w="28" w:type="dxa"/>
          </w:tblCellMar>
        </w:tblPrEx>
        <w:tc>
          <w:tcPr>
            <w:tcW w:w="11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上海海兰劳雷海洋科技有限公司</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2015</w:t>
            </w:r>
            <w:r>
              <w:rPr>
                <w:rFonts w:hint="eastAsia"/>
                <w:szCs w:val="24"/>
              </w:rPr>
              <w:t>年</w:t>
            </w:r>
            <w:r>
              <w:rPr>
                <w:szCs w:val="24"/>
              </w:rPr>
              <w:t>01</w:t>
            </w:r>
            <w:r>
              <w:rPr>
                <w:rFonts w:hint="eastAsia"/>
                <w:szCs w:val="24"/>
              </w:rPr>
              <w:t>月</w:t>
            </w:r>
            <w:r>
              <w:rPr>
                <w:szCs w:val="24"/>
              </w:rPr>
              <w:t>01</w:t>
            </w:r>
            <w:r>
              <w:rPr>
                <w:rFonts w:hint="eastAsia"/>
                <w:szCs w:val="24"/>
              </w:rPr>
              <w:t>日</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2017</w:t>
            </w:r>
            <w:r>
              <w:rPr>
                <w:rFonts w:hint="eastAsia"/>
                <w:szCs w:val="24"/>
              </w:rPr>
              <w:t>年</w:t>
            </w:r>
            <w:r>
              <w:rPr>
                <w:szCs w:val="24"/>
              </w:rPr>
              <w:t>12</w:t>
            </w:r>
            <w:r>
              <w:rPr>
                <w:rFonts w:hint="eastAsia"/>
                <w:szCs w:val="24"/>
              </w:rPr>
              <w:t>月</w:t>
            </w:r>
            <w:r>
              <w:rPr>
                <w:szCs w:val="24"/>
              </w:rPr>
              <w:t>31</w:t>
            </w:r>
            <w:r>
              <w:rPr>
                <w:rFonts w:hint="eastAsia"/>
                <w:szCs w:val="24"/>
              </w:rPr>
              <w:t>日</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3,200</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3,636.54</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不适用</w:t>
            </w:r>
          </w:p>
        </w:tc>
        <w:tc>
          <w:tcPr>
            <w:tcW w:w="119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01</w:t>
            </w:r>
            <w:r>
              <w:rPr>
                <w:rFonts w:hint="eastAsia"/>
                <w:szCs w:val="24"/>
              </w:rPr>
              <w:t>月</w:t>
            </w:r>
            <w:r>
              <w:rPr>
                <w:szCs w:val="24"/>
              </w:rPr>
              <w:t>08</w:t>
            </w:r>
            <w:r>
              <w:rPr>
                <w:rFonts w:hint="eastAsia"/>
                <w:szCs w:val="24"/>
              </w:rPr>
              <w:t>日</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巨潮资讯网</w:t>
            </w:r>
            <w:r>
              <w:rPr>
                <w:szCs w:val="24"/>
              </w:rPr>
              <w:t>2016-003</w:t>
            </w:r>
            <w:r>
              <w:rPr>
                <w:rFonts w:hint="eastAsia"/>
                <w:szCs w:val="24"/>
              </w:rPr>
              <w:t>《关于发行股份购买资产暨关联交易相关方承诺事项的公告》</w:t>
            </w:r>
          </w:p>
        </w:tc>
      </w:tr>
    </w:tbl>
    <w:p>
      <w:pPr>
        <w:jc w:val="left"/>
        <w:rPr>
          <w:szCs w:val="24"/>
        </w:rPr>
      </w:pPr>
      <w:r>
        <w:rPr>
          <w:rFonts w:hint="eastAsia"/>
          <w:szCs w:val="24"/>
        </w:rPr>
        <w:t>公司股东、交易对手方对公司或相关资产年度经营业绩作出的承诺情况</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autoSpaceDE w:val="0"/>
        <w:autoSpaceDN w:val="0"/>
        <w:adjustRightInd w:val="0"/>
        <w:ind w:firstLine="420"/>
        <w:jc w:val="left"/>
        <w:rPr>
          <w:rFonts w:eastAsia="Times New Roman"/>
          <w:kern w:val="0"/>
          <w:sz w:val="21"/>
          <w:szCs w:val="24"/>
          <w:lang w:val="zh-CN"/>
        </w:rPr>
      </w:pPr>
      <w:r>
        <w:rPr>
          <w:rFonts w:hint="eastAsia" w:ascii="宋体" w:hAnsi="宋体" w:cs="宋体"/>
          <w:kern w:val="0"/>
          <w:sz w:val="21"/>
          <w:szCs w:val="24"/>
          <w:lang w:val="zh-CN"/>
        </w:rPr>
        <w:t>根据海兰信与申万秋签署的《盈利预测补偿协议》，申万秋业绩承诺期为本次交易完成日后的连续三个会计年度（包括本次交易实施完成的当年）。本次交易于</w:t>
      </w:r>
      <w:r>
        <w:rPr>
          <w:rFonts w:eastAsia="Times New Roman"/>
          <w:kern w:val="0"/>
          <w:sz w:val="21"/>
          <w:szCs w:val="24"/>
          <w:lang w:val="zh-CN"/>
        </w:rPr>
        <w:t>2015</w:t>
      </w:r>
      <w:r>
        <w:rPr>
          <w:rFonts w:hint="eastAsia" w:ascii="宋体" w:hAnsi="宋体" w:cs="宋体"/>
          <w:kern w:val="0"/>
          <w:sz w:val="21"/>
          <w:szCs w:val="24"/>
          <w:lang w:val="zh-CN"/>
        </w:rPr>
        <w:t>年</w:t>
      </w:r>
      <w:r>
        <w:rPr>
          <w:rFonts w:eastAsia="Times New Roman"/>
          <w:kern w:val="0"/>
          <w:sz w:val="21"/>
          <w:szCs w:val="24"/>
          <w:lang w:val="zh-CN"/>
        </w:rPr>
        <w:t>12</w:t>
      </w:r>
      <w:r>
        <w:rPr>
          <w:rFonts w:hint="eastAsia" w:ascii="宋体" w:hAnsi="宋体" w:cs="宋体"/>
          <w:kern w:val="0"/>
          <w:sz w:val="21"/>
          <w:szCs w:val="24"/>
          <w:lang w:val="zh-CN"/>
        </w:rPr>
        <w:t>月</w:t>
      </w:r>
      <w:r>
        <w:rPr>
          <w:rFonts w:eastAsia="Times New Roman"/>
          <w:kern w:val="0"/>
          <w:sz w:val="21"/>
          <w:szCs w:val="24"/>
          <w:lang w:val="zh-CN"/>
        </w:rPr>
        <w:t>31</w:t>
      </w:r>
      <w:r>
        <w:rPr>
          <w:rFonts w:hint="eastAsia" w:ascii="宋体" w:hAnsi="宋体" w:cs="宋体"/>
          <w:kern w:val="0"/>
          <w:sz w:val="21"/>
          <w:szCs w:val="24"/>
          <w:lang w:val="zh-CN"/>
        </w:rPr>
        <w:t>日前实施完毕，业绩承诺期为</w:t>
      </w:r>
      <w:r>
        <w:rPr>
          <w:rFonts w:eastAsia="Times New Roman"/>
          <w:kern w:val="0"/>
          <w:sz w:val="21"/>
          <w:szCs w:val="24"/>
          <w:lang w:val="zh-CN"/>
        </w:rPr>
        <w:t>2015</w:t>
      </w:r>
      <w:r>
        <w:rPr>
          <w:rFonts w:hint="eastAsia" w:ascii="宋体" w:hAnsi="宋体" w:cs="宋体"/>
          <w:kern w:val="0"/>
          <w:sz w:val="21"/>
          <w:szCs w:val="24"/>
          <w:lang w:val="zh-CN"/>
        </w:rPr>
        <w:t>年度、</w:t>
      </w:r>
      <w:r>
        <w:rPr>
          <w:rFonts w:eastAsia="Times New Roman"/>
          <w:kern w:val="0"/>
          <w:sz w:val="21"/>
          <w:szCs w:val="24"/>
          <w:lang w:val="zh-CN"/>
        </w:rPr>
        <w:t>2016</w:t>
      </w:r>
      <w:r>
        <w:rPr>
          <w:rFonts w:hint="eastAsia" w:ascii="宋体" w:hAnsi="宋体" w:cs="宋体"/>
          <w:kern w:val="0"/>
          <w:sz w:val="21"/>
          <w:szCs w:val="24"/>
          <w:lang w:val="zh-CN"/>
        </w:rPr>
        <w:t>年度及</w:t>
      </w:r>
      <w:r>
        <w:rPr>
          <w:rFonts w:eastAsia="Times New Roman"/>
          <w:kern w:val="0"/>
          <w:sz w:val="21"/>
          <w:szCs w:val="24"/>
          <w:lang w:val="zh-CN"/>
        </w:rPr>
        <w:t>2017</w:t>
      </w:r>
      <w:r>
        <w:rPr>
          <w:rFonts w:hint="eastAsia" w:ascii="宋体" w:hAnsi="宋体" w:cs="宋体"/>
          <w:kern w:val="0"/>
          <w:sz w:val="21"/>
          <w:szCs w:val="24"/>
          <w:lang w:val="zh-CN"/>
        </w:rPr>
        <w:t>年度，申万秋承诺标的公司</w:t>
      </w:r>
      <w:r>
        <w:rPr>
          <w:rFonts w:eastAsia="Times New Roman"/>
          <w:kern w:val="0"/>
          <w:sz w:val="21"/>
          <w:szCs w:val="24"/>
          <w:lang w:val="zh-CN"/>
        </w:rPr>
        <w:t>2015</w:t>
      </w:r>
      <w:r>
        <w:rPr>
          <w:rFonts w:hint="eastAsia" w:ascii="宋体" w:hAnsi="宋体" w:cs="宋体"/>
          <w:kern w:val="0"/>
          <w:sz w:val="21"/>
          <w:szCs w:val="24"/>
          <w:lang w:val="zh-CN"/>
        </w:rPr>
        <w:t>年度、</w:t>
      </w:r>
      <w:r>
        <w:rPr>
          <w:rFonts w:eastAsia="Times New Roman"/>
          <w:kern w:val="0"/>
          <w:sz w:val="21"/>
          <w:szCs w:val="24"/>
          <w:lang w:val="zh-CN"/>
        </w:rPr>
        <w:t>2016</w:t>
      </w:r>
      <w:r>
        <w:rPr>
          <w:rFonts w:hint="eastAsia" w:ascii="宋体" w:hAnsi="宋体" w:cs="宋体"/>
          <w:kern w:val="0"/>
          <w:sz w:val="21"/>
          <w:szCs w:val="24"/>
          <w:lang w:val="zh-CN"/>
        </w:rPr>
        <w:t>年度及</w:t>
      </w:r>
      <w:r>
        <w:rPr>
          <w:rFonts w:eastAsia="Times New Roman"/>
          <w:kern w:val="0"/>
          <w:sz w:val="21"/>
          <w:szCs w:val="24"/>
          <w:lang w:val="zh-CN"/>
        </w:rPr>
        <w:t>2017</w:t>
      </w:r>
      <w:r>
        <w:rPr>
          <w:rFonts w:hint="eastAsia" w:ascii="宋体" w:hAnsi="宋体" w:cs="宋体"/>
          <w:kern w:val="0"/>
          <w:sz w:val="21"/>
          <w:szCs w:val="24"/>
          <w:lang w:val="zh-CN"/>
        </w:rPr>
        <w:t>年度的净利润分别不低于</w:t>
      </w:r>
      <w:r>
        <w:rPr>
          <w:rFonts w:eastAsia="Times New Roman"/>
          <w:kern w:val="0"/>
          <w:sz w:val="21"/>
          <w:szCs w:val="24"/>
          <w:lang w:val="zh-CN"/>
        </w:rPr>
        <w:t>2,840</w:t>
      </w:r>
      <w:r>
        <w:rPr>
          <w:rFonts w:hint="eastAsia" w:ascii="宋体" w:hAnsi="宋体" w:cs="宋体"/>
          <w:kern w:val="0"/>
          <w:sz w:val="21"/>
          <w:szCs w:val="24"/>
          <w:lang w:val="zh-CN"/>
        </w:rPr>
        <w:t>万元、</w:t>
      </w:r>
      <w:r>
        <w:rPr>
          <w:rFonts w:eastAsia="Times New Roman"/>
          <w:kern w:val="0"/>
          <w:sz w:val="21"/>
          <w:szCs w:val="24"/>
          <w:lang w:val="zh-CN"/>
        </w:rPr>
        <w:t>3,200</w:t>
      </w:r>
      <w:r>
        <w:rPr>
          <w:rFonts w:hint="eastAsia" w:ascii="宋体" w:hAnsi="宋体" w:cs="宋体"/>
          <w:kern w:val="0"/>
          <w:sz w:val="21"/>
          <w:szCs w:val="24"/>
          <w:lang w:val="zh-CN"/>
        </w:rPr>
        <w:t>万元、</w:t>
      </w:r>
      <w:r>
        <w:rPr>
          <w:rFonts w:eastAsia="Times New Roman"/>
          <w:kern w:val="0"/>
          <w:sz w:val="21"/>
          <w:szCs w:val="24"/>
          <w:lang w:val="zh-CN"/>
        </w:rPr>
        <w:t>3,360</w:t>
      </w:r>
      <w:r>
        <w:rPr>
          <w:rFonts w:hint="eastAsia" w:ascii="宋体" w:hAnsi="宋体" w:cs="宋体"/>
          <w:kern w:val="0"/>
          <w:sz w:val="21"/>
          <w:szCs w:val="24"/>
          <w:lang w:val="zh-CN"/>
        </w:rPr>
        <w:t>万元。经信永中和会计师事务所审计，</w:t>
      </w:r>
      <w:r>
        <w:rPr>
          <w:rFonts w:eastAsia="Times New Roman"/>
          <w:kern w:val="0"/>
          <w:sz w:val="21"/>
          <w:szCs w:val="24"/>
          <w:lang w:val="zh-CN"/>
        </w:rPr>
        <w:t>2016</w:t>
      </w:r>
      <w:r>
        <w:rPr>
          <w:rFonts w:hint="eastAsia" w:ascii="宋体" w:hAnsi="宋体" w:cs="宋体"/>
          <w:kern w:val="0"/>
          <w:sz w:val="21"/>
          <w:szCs w:val="24"/>
          <w:lang w:val="zh-CN"/>
        </w:rPr>
        <w:t>年度海兰劳雷公司扣除非经常性损益后归属于母公司股东的净利润金额为</w:t>
      </w:r>
      <w:r>
        <w:rPr>
          <w:rFonts w:eastAsia="Times New Roman"/>
          <w:kern w:val="0"/>
          <w:sz w:val="21"/>
          <w:szCs w:val="24"/>
          <w:lang w:val="zh-CN"/>
        </w:rPr>
        <w:t>3636.54</w:t>
      </w:r>
      <w:r>
        <w:rPr>
          <w:rFonts w:hint="eastAsia" w:ascii="宋体" w:hAnsi="宋体" w:cs="宋体"/>
          <w:kern w:val="0"/>
          <w:sz w:val="21"/>
          <w:szCs w:val="24"/>
          <w:lang w:val="zh-CN"/>
        </w:rPr>
        <w:t>万元，完成率</w:t>
      </w:r>
      <w:r>
        <w:rPr>
          <w:rFonts w:eastAsia="Times New Roman"/>
          <w:kern w:val="0"/>
          <w:sz w:val="21"/>
          <w:szCs w:val="24"/>
          <w:lang w:val="zh-CN"/>
        </w:rPr>
        <w:t>113.64%</w:t>
      </w:r>
      <w:r>
        <w:rPr>
          <w:rFonts w:hint="eastAsia" w:ascii="宋体" w:hAnsi="宋体" w:cs="宋体"/>
          <w:kern w:val="0"/>
          <w:sz w:val="21"/>
          <w:szCs w:val="24"/>
          <w:lang w:val="zh-CN"/>
        </w:rPr>
        <w:t>，海兰劳雷公司已完成本年度业绩承诺。</w:t>
      </w:r>
    </w:p>
    <w:p>
      <w:pPr>
        <w:pStyle w:val="10"/>
        <w:outlineLvl w:val="1"/>
        <w:rPr>
          <w:bCs w:val="0"/>
        </w:rPr>
      </w:pPr>
      <w:r>
        <w:rPr>
          <w:rFonts w:hint="eastAsia"/>
          <w:bCs w:val="0"/>
        </w:rPr>
        <w:t>三、控股股东及其关联方对上市公司的非经营性占用资金情况</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jc w:val="left"/>
        <w:rPr>
          <w:szCs w:val="24"/>
        </w:rPr>
      </w:pPr>
      <w:r>
        <w:rPr>
          <w:rFonts w:hint="eastAsia"/>
          <w:szCs w:val="24"/>
        </w:rPr>
        <w:t>公司报告期不存在控股股东及其关联方对上市公司的非经营性占用资金。</w:t>
      </w:r>
    </w:p>
    <w:p>
      <w:pPr>
        <w:pStyle w:val="10"/>
        <w:outlineLvl w:val="1"/>
        <w:rPr>
          <w:bCs w:val="0"/>
        </w:rPr>
      </w:pPr>
      <w:r>
        <w:rPr>
          <w:rFonts w:hint="eastAsia"/>
          <w:bCs w:val="0"/>
        </w:rPr>
        <w:t>四、董事会对最近一期</w:t>
      </w:r>
      <w:r>
        <w:rPr>
          <w:bCs w:val="0"/>
        </w:rPr>
        <w:t>“</w:t>
      </w:r>
      <w:r>
        <w:rPr>
          <w:rFonts w:hint="eastAsia"/>
          <w:bCs w:val="0"/>
        </w:rPr>
        <w:t>非标准审计报告</w:t>
      </w:r>
      <w:r>
        <w:rPr>
          <w:bCs w:val="0"/>
        </w:rPr>
        <w:t>”</w:t>
      </w:r>
      <w:r>
        <w:rPr>
          <w:rFonts w:hint="eastAsia"/>
          <w:bCs w:val="0"/>
        </w:rPr>
        <w:t>相关情况的说明</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pStyle w:val="10"/>
        <w:outlineLvl w:val="1"/>
        <w:rPr>
          <w:bCs w:val="0"/>
        </w:rPr>
      </w:pPr>
      <w:r>
        <w:rPr>
          <w:rFonts w:hint="eastAsia"/>
          <w:bCs w:val="0"/>
        </w:rPr>
        <w:t>五、董事会、监事会、独立董事（如有）对会计师事务所本报告期</w:t>
      </w:r>
      <w:r>
        <w:rPr>
          <w:bCs w:val="0"/>
        </w:rPr>
        <w:t>“</w:t>
      </w:r>
      <w:r>
        <w:rPr>
          <w:rFonts w:hint="eastAsia"/>
          <w:bCs w:val="0"/>
        </w:rPr>
        <w:t>非标准审计报告</w:t>
      </w:r>
      <w:r>
        <w:rPr>
          <w:bCs w:val="0"/>
        </w:rPr>
        <w:t>”</w:t>
      </w:r>
      <w:r>
        <w:rPr>
          <w:rFonts w:hint="eastAsia"/>
          <w:bCs w:val="0"/>
        </w:rPr>
        <w:t>的说明</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pStyle w:val="10"/>
        <w:outlineLvl w:val="1"/>
        <w:rPr>
          <w:bCs w:val="0"/>
        </w:rPr>
      </w:pPr>
      <w:r>
        <w:rPr>
          <w:rFonts w:hint="eastAsia"/>
          <w:bCs w:val="0"/>
        </w:rPr>
        <w:t>六、董事会关于报告期会计政策、会计估计变更或重大会计差错更正的说明</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pStyle w:val="10"/>
        <w:outlineLvl w:val="1"/>
        <w:rPr>
          <w:bCs w:val="0"/>
        </w:rPr>
      </w:pPr>
      <w:r>
        <w:rPr>
          <w:rFonts w:hint="eastAsia"/>
          <w:bCs w:val="0"/>
        </w:rPr>
        <w:t>七、与上年度财务报告相比，合并报表范围发生变化的情况说明</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autoSpaceDE w:val="0"/>
        <w:autoSpaceDN w:val="0"/>
        <w:adjustRightInd w:val="0"/>
        <w:spacing w:before="240" w:after="240"/>
        <w:ind w:left="720" w:firstLine="440"/>
        <w:rPr>
          <w:rFonts w:eastAsia="Times New Roman"/>
          <w:kern w:val="0"/>
          <w:sz w:val="21"/>
          <w:szCs w:val="24"/>
          <w:lang w:val="zh-CN"/>
        </w:rPr>
      </w:pPr>
      <w:r>
        <w:rPr>
          <w:rFonts w:eastAsia="Times New Roman"/>
          <w:kern w:val="0"/>
          <w:sz w:val="22"/>
          <w:szCs w:val="24"/>
          <w:lang w:val="en-GB"/>
        </w:rPr>
        <w:t xml:space="preserve">1. </w:t>
      </w:r>
      <w:r>
        <w:rPr>
          <w:rFonts w:hint="eastAsia" w:ascii="宋体" w:hAnsi="宋体" w:cs="宋体"/>
          <w:kern w:val="0"/>
          <w:sz w:val="21"/>
          <w:szCs w:val="24"/>
          <w:lang w:val="zh-CN"/>
        </w:rPr>
        <w:t>非同一控制下企业合并</w:t>
      </w:r>
    </w:p>
    <w:p>
      <w:pPr>
        <w:autoSpaceDE w:val="0"/>
        <w:autoSpaceDN w:val="0"/>
        <w:adjustRightInd w:val="0"/>
        <w:spacing w:before="240" w:after="240"/>
        <w:ind w:firstLine="198"/>
        <w:jc w:val="left"/>
        <w:rPr>
          <w:rFonts w:eastAsia="Times New Roman"/>
          <w:kern w:val="0"/>
          <w:sz w:val="22"/>
          <w:szCs w:val="24"/>
          <w:lang w:val="zh-CN"/>
        </w:rPr>
      </w:pPr>
      <w:r>
        <w:rPr>
          <w:rFonts w:hint="eastAsia" w:ascii="宋体" w:hAnsi="宋体" w:cs="宋体"/>
          <w:kern w:val="0"/>
          <w:sz w:val="22"/>
          <w:szCs w:val="24"/>
          <w:lang w:val="zh-CN"/>
        </w:rPr>
        <w:t>（</w:t>
      </w:r>
      <w:r>
        <w:rPr>
          <w:rFonts w:eastAsia="Times New Roman"/>
          <w:kern w:val="0"/>
          <w:sz w:val="22"/>
          <w:szCs w:val="24"/>
          <w:lang w:val="en-GB"/>
        </w:rPr>
        <w:t>1</w:t>
      </w:r>
      <w:r>
        <w:rPr>
          <w:rFonts w:hint="eastAsia" w:ascii="宋体" w:hAnsi="宋体" w:cs="宋体"/>
          <w:kern w:val="0"/>
          <w:sz w:val="22"/>
          <w:szCs w:val="24"/>
          <w:lang w:val="zh-CN"/>
        </w:rPr>
        <w:t>）本年发生的非同一控制下企业合并</w:t>
      </w:r>
    </w:p>
    <w:tbl>
      <w:tblPr>
        <w:tblStyle w:val="8"/>
        <w:tblW w:w="8523" w:type="dxa"/>
        <w:tblInd w:w="10" w:type="dxa"/>
        <w:tblBorders>
          <w:top w:val="single" w:color="auto" w:sz="8" w:space="0"/>
          <w:left w:val="single" w:color="auto" w:sz="6" w:space="0"/>
          <w:bottom w:val="single" w:color="auto" w:sz="8" w:space="0"/>
          <w:right w:val="single" w:color="auto" w:sz="6" w:space="0"/>
          <w:insideH w:val="single" w:color="auto" w:sz="8" w:space="0"/>
          <w:insideV w:val="single" w:color="auto" w:sz="6" w:space="0"/>
        </w:tblBorders>
        <w:tblLayout w:type="fixed"/>
        <w:tblCellMar>
          <w:top w:w="10" w:type="dxa"/>
          <w:left w:w="10" w:type="dxa"/>
          <w:bottom w:w="10" w:type="dxa"/>
          <w:right w:w="10" w:type="dxa"/>
        </w:tblCellMar>
      </w:tblPr>
      <w:tblGrid>
        <w:gridCol w:w="1152"/>
        <w:gridCol w:w="651"/>
        <w:gridCol w:w="1386"/>
        <w:gridCol w:w="669"/>
        <w:gridCol w:w="617"/>
        <w:gridCol w:w="649"/>
        <w:gridCol w:w="627"/>
        <w:gridCol w:w="1386"/>
        <w:gridCol w:w="1386"/>
      </w:tblGrid>
      <w:tr>
        <w:tblPrEx>
          <w:tblBorders>
            <w:top w:val="single" w:color="auto" w:sz="8" w:space="0"/>
            <w:left w:val="single" w:color="auto" w:sz="6" w:space="0"/>
            <w:bottom w:val="single" w:color="auto" w:sz="8" w:space="0"/>
            <w:right w:val="single" w:color="auto" w:sz="6" w:space="0"/>
            <w:insideH w:val="single" w:color="auto" w:sz="8" w:space="0"/>
            <w:insideV w:val="single" w:color="auto" w:sz="6" w:space="0"/>
          </w:tblBorders>
          <w:tblLayout w:type="fixed"/>
          <w:tblCellMar>
            <w:top w:w="10" w:type="dxa"/>
            <w:left w:w="10" w:type="dxa"/>
            <w:bottom w:w="10" w:type="dxa"/>
            <w:right w:w="10" w:type="dxa"/>
          </w:tblCellMar>
        </w:tblPrEx>
        <w:tc>
          <w:tcPr>
            <w:tcW w:w="1152" w:type="dxa"/>
          </w:tcPr>
          <w:p>
            <w:pPr>
              <w:autoSpaceDE w:val="0"/>
              <w:autoSpaceDN w:val="0"/>
              <w:adjustRightInd w:val="0"/>
              <w:spacing w:before="0" w:after="0"/>
              <w:jc w:val="center"/>
              <w:rPr>
                <w:rFonts w:eastAsia="Times New Roman"/>
                <w:kern w:val="0"/>
                <w:szCs w:val="24"/>
                <w:lang w:val="zh-CN"/>
              </w:rPr>
            </w:pPr>
            <w:r>
              <w:rPr>
                <w:rFonts w:hint="eastAsia" w:ascii="宋体" w:hAnsi="宋体" w:cs="宋体"/>
                <w:b/>
                <w:kern w:val="0"/>
                <w:szCs w:val="24"/>
                <w:lang w:val="zh-CN"/>
              </w:rPr>
              <w:t>被购买方名称</w:t>
            </w:r>
          </w:p>
        </w:tc>
        <w:tc>
          <w:tcPr>
            <w:tcW w:w="651" w:type="dxa"/>
          </w:tcPr>
          <w:p>
            <w:pPr>
              <w:autoSpaceDE w:val="0"/>
              <w:autoSpaceDN w:val="0"/>
              <w:adjustRightInd w:val="0"/>
              <w:spacing w:before="0" w:after="0"/>
              <w:jc w:val="center"/>
              <w:rPr>
                <w:rFonts w:eastAsia="Times New Roman"/>
                <w:kern w:val="0"/>
                <w:szCs w:val="24"/>
                <w:lang w:val="zh-CN"/>
              </w:rPr>
            </w:pPr>
            <w:r>
              <w:rPr>
                <w:rFonts w:hint="eastAsia" w:ascii="宋体" w:hAnsi="宋体" w:cs="宋体"/>
                <w:b/>
                <w:kern w:val="0"/>
                <w:szCs w:val="24"/>
                <w:lang w:val="zh-CN"/>
              </w:rPr>
              <w:t>股权取得时点</w:t>
            </w:r>
          </w:p>
        </w:tc>
        <w:tc>
          <w:tcPr>
            <w:tcW w:w="1386" w:type="dxa"/>
          </w:tcPr>
          <w:p>
            <w:pPr>
              <w:autoSpaceDE w:val="0"/>
              <w:autoSpaceDN w:val="0"/>
              <w:adjustRightInd w:val="0"/>
              <w:spacing w:before="0" w:after="0"/>
              <w:jc w:val="center"/>
              <w:rPr>
                <w:rFonts w:eastAsia="Times New Roman"/>
                <w:kern w:val="0"/>
                <w:szCs w:val="24"/>
                <w:lang w:val="zh-CN"/>
              </w:rPr>
            </w:pPr>
            <w:r>
              <w:rPr>
                <w:rFonts w:hint="eastAsia" w:ascii="宋体" w:hAnsi="宋体" w:cs="宋体"/>
                <w:b/>
                <w:kern w:val="0"/>
                <w:szCs w:val="24"/>
                <w:lang w:val="zh-CN"/>
              </w:rPr>
              <w:t>股权取得成本</w:t>
            </w:r>
          </w:p>
        </w:tc>
        <w:tc>
          <w:tcPr>
            <w:tcW w:w="669" w:type="dxa"/>
          </w:tcPr>
          <w:p>
            <w:pPr>
              <w:autoSpaceDE w:val="0"/>
              <w:autoSpaceDN w:val="0"/>
              <w:adjustRightInd w:val="0"/>
              <w:spacing w:before="0" w:after="0"/>
              <w:jc w:val="center"/>
              <w:rPr>
                <w:rFonts w:eastAsia="Times New Roman"/>
                <w:kern w:val="0"/>
                <w:szCs w:val="24"/>
                <w:lang w:val="zh-CN"/>
              </w:rPr>
            </w:pPr>
            <w:r>
              <w:rPr>
                <w:rFonts w:hint="eastAsia" w:ascii="宋体" w:hAnsi="宋体" w:cs="宋体"/>
                <w:b/>
                <w:kern w:val="0"/>
                <w:szCs w:val="24"/>
                <w:lang w:val="zh-CN"/>
              </w:rPr>
              <w:t>股权取得比例</w:t>
            </w:r>
          </w:p>
          <w:p>
            <w:pPr>
              <w:autoSpaceDE w:val="0"/>
              <w:autoSpaceDN w:val="0"/>
              <w:adjustRightInd w:val="0"/>
              <w:spacing w:before="0" w:after="0"/>
              <w:jc w:val="center"/>
              <w:rPr>
                <w:rFonts w:eastAsia="Times New Roman"/>
                <w:kern w:val="0"/>
                <w:szCs w:val="24"/>
                <w:lang w:val="zh-CN"/>
              </w:rPr>
            </w:pPr>
            <w:r>
              <w:rPr>
                <w:rFonts w:hint="eastAsia" w:ascii="宋体" w:hAnsi="宋体" w:cs="宋体"/>
                <w:b/>
                <w:kern w:val="0"/>
                <w:szCs w:val="24"/>
                <w:lang w:val="zh-CN"/>
              </w:rPr>
              <w:t>（</w:t>
            </w:r>
            <w:r>
              <w:rPr>
                <w:rFonts w:eastAsia="Times New Roman"/>
                <w:b/>
                <w:kern w:val="0"/>
                <w:szCs w:val="24"/>
                <w:lang w:val="en-GB"/>
              </w:rPr>
              <w:t>%</w:t>
            </w:r>
            <w:r>
              <w:rPr>
                <w:rFonts w:hint="eastAsia" w:ascii="宋体" w:hAnsi="宋体" w:cs="宋体"/>
                <w:b/>
                <w:kern w:val="0"/>
                <w:szCs w:val="24"/>
                <w:lang w:val="zh-CN"/>
              </w:rPr>
              <w:t>）</w:t>
            </w:r>
          </w:p>
        </w:tc>
        <w:tc>
          <w:tcPr>
            <w:tcW w:w="617" w:type="dxa"/>
          </w:tcPr>
          <w:p>
            <w:pPr>
              <w:autoSpaceDE w:val="0"/>
              <w:autoSpaceDN w:val="0"/>
              <w:adjustRightInd w:val="0"/>
              <w:spacing w:before="0" w:after="0"/>
              <w:jc w:val="center"/>
              <w:rPr>
                <w:rFonts w:eastAsia="Times New Roman"/>
                <w:kern w:val="0"/>
                <w:szCs w:val="24"/>
                <w:lang w:val="zh-CN"/>
              </w:rPr>
            </w:pPr>
            <w:r>
              <w:rPr>
                <w:rFonts w:hint="eastAsia" w:ascii="宋体" w:hAnsi="宋体" w:cs="宋体"/>
                <w:b/>
                <w:kern w:val="0"/>
                <w:szCs w:val="24"/>
                <w:lang w:val="zh-CN"/>
              </w:rPr>
              <w:t>股权取得方式</w:t>
            </w:r>
          </w:p>
        </w:tc>
        <w:tc>
          <w:tcPr>
            <w:tcW w:w="649" w:type="dxa"/>
          </w:tcPr>
          <w:p>
            <w:pPr>
              <w:autoSpaceDE w:val="0"/>
              <w:autoSpaceDN w:val="0"/>
              <w:adjustRightInd w:val="0"/>
              <w:spacing w:before="0" w:after="0"/>
              <w:jc w:val="center"/>
              <w:rPr>
                <w:rFonts w:eastAsia="Times New Roman"/>
                <w:kern w:val="0"/>
                <w:szCs w:val="24"/>
                <w:lang w:val="zh-CN"/>
              </w:rPr>
            </w:pPr>
            <w:r>
              <w:rPr>
                <w:rFonts w:hint="eastAsia" w:ascii="宋体" w:hAnsi="宋体" w:cs="宋体"/>
                <w:b/>
                <w:kern w:val="0"/>
                <w:szCs w:val="24"/>
                <w:lang w:val="zh-CN"/>
              </w:rPr>
              <w:t>购买日</w:t>
            </w:r>
          </w:p>
        </w:tc>
        <w:tc>
          <w:tcPr>
            <w:tcW w:w="627" w:type="dxa"/>
          </w:tcPr>
          <w:p>
            <w:pPr>
              <w:autoSpaceDE w:val="0"/>
              <w:autoSpaceDN w:val="0"/>
              <w:adjustRightInd w:val="0"/>
              <w:spacing w:before="0" w:after="0"/>
              <w:jc w:val="center"/>
              <w:rPr>
                <w:rFonts w:eastAsia="Times New Roman"/>
                <w:kern w:val="0"/>
                <w:szCs w:val="24"/>
                <w:lang w:val="zh-CN"/>
              </w:rPr>
            </w:pPr>
            <w:r>
              <w:rPr>
                <w:rFonts w:hint="eastAsia" w:ascii="宋体" w:hAnsi="宋体" w:cs="宋体"/>
                <w:b/>
                <w:kern w:val="0"/>
                <w:szCs w:val="24"/>
                <w:lang w:val="zh-CN"/>
              </w:rPr>
              <w:t>购买日的确定依据</w:t>
            </w:r>
          </w:p>
        </w:tc>
        <w:tc>
          <w:tcPr>
            <w:tcW w:w="1386" w:type="dxa"/>
          </w:tcPr>
          <w:p>
            <w:pPr>
              <w:autoSpaceDE w:val="0"/>
              <w:autoSpaceDN w:val="0"/>
              <w:adjustRightInd w:val="0"/>
              <w:spacing w:before="0" w:after="0"/>
              <w:jc w:val="center"/>
              <w:rPr>
                <w:rFonts w:eastAsia="Times New Roman"/>
                <w:kern w:val="0"/>
                <w:szCs w:val="24"/>
                <w:lang w:val="zh-CN"/>
              </w:rPr>
            </w:pPr>
            <w:r>
              <w:rPr>
                <w:rFonts w:hint="eastAsia" w:ascii="宋体" w:hAnsi="宋体" w:cs="宋体"/>
                <w:b/>
                <w:kern w:val="0"/>
                <w:szCs w:val="24"/>
                <w:lang w:val="zh-CN"/>
              </w:rPr>
              <w:t>购买日至年末被购买方的收入</w:t>
            </w:r>
          </w:p>
        </w:tc>
        <w:tc>
          <w:tcPr>
            <w:tcW w:w="1386" w:type="dxa"/>
          </w:tcPr>
          <w:p>
            <w:pPr>
              <w:autoSpaceDE w:val="0"/>
              <w:autoSpaceDN w:val="0"/>
              <w:adjustRightInd w:val="0"/>
              <w:spacing w:before="0" w:after="0"/>
              <w:jc w:val="center"/>
              <w:rPr>
                <w:rFonts w:eastAsia="Times New Roman"/>
                <w:kern w:val="0"/>
                <w:szCs w:val="24"/>
                <w:lang w:val="zh-CN"/>
              </w:rPr>
            </w:pPr>
            <w:r>
              <w:rPr>
                <w:rFonts w:hint="eastAsia" w:ascii="宋体" w:hAnsi="宋体" w:cs="宋体"/>
                <w:b/>
                <w:kern w:val="0"/>
                <w:szCs w:val="24"/>
                <w:lang w:val="zh-CN"/>
              </w:rPr>
              <w:t>购买日至年末被购买方的净利润</w:t>
            </w:r>
          </w:p>
        </w:tc>
      </w:tr>
      <w:tr>
        <w:tblPrEx>
          <w:tblBorders>
            <w:top w:val="single" w:color="auto" w:sz="8" w:space="0"/>
            <w:left w:val="single" w:color="auto" w:sz="6" w:space="0"/>
            <w:bottom w:val="single" w:color="auto" w:sz="8" w:space="0"/>
            <w:right w:val="single" w:color="auto" w:sz="6" w:space="0"/>
            <w:insideH w:val="single" w:color="auto" w:sz="8" w:space="0"/>
            <w:insideV w:val="single" w:color="auto" w:sz="6" w:space="0"/>
          </w:tblBorders>
          <w:tblLayout w:type="fixed"/>
          <w:tblCellMar>
            <w:top w:w="10" w:type="dxa"/>
            <w:left w:w="10" w:type="dxa"/>
            <w:bottom w:w="10" w:type="dxa"/>
            <w:right w:w="10" w:type="dxa"/>
          </w:tblCellMar>
        </w:tblPrEx>
        <w:tc>
          <w:tcPr>
            <w:tcW w:w="1152" w:type="dxa"/>
          </w:tcPr>
          <w:p>
            <w:pPr>
              <w:autoSpaceDE w:val="0"/>
              <w:autoSpaceDN w:val="0"/>
              <w:adjustRightInd w:val="0"/>
              <w:spacing w:before="0" w:after="0"/>
              <w:rPr>
                <w:rFonts w:eastAsia="Times New Roman"/>
                <w:kern w:val="0"/>
                <w:szCs w:val="24"/>
                <w:lang w:val="zh-CN"/>
              </w:rPr>
            </w:pPr>
            <w:r>
              <w:rPr>
                <w:rFonts w:hint="eastAsia" w:ascii="宋体" w:hAnsi="宋体" w:cs="宋体"/>
                <w:kern w:val="0"/>
                <w:szCs w:val="24"/>
                <w:lang w:val="zh-CN"/>
              </w:rPr>
              <w:t>广东蓝图信息技术有限公司（注</w:t>
            </w:r>
            <w:r>
              <w:rPr>
                <w:rFonts w:eastAsia="Times New Roman"/>
                <w:kern w:val="0"/>
                <w:szCs w:val="24"/>
                <w:lang w:val="en-GB"/>
              </w:rPr>
              <w:t>1</w:t>
            </w:r>
            <w:r>
              <w:rPr>
                <w:rFonts w:hint="eastAsia" w:ascii="宋体" w:hAnsi="宋体" w:cs="宋体"/>
                <w:kern w:val="0"/>
                <w:szCs w:val="24"/>
                <w:lang w:val="zh-CN"/>
              </w:rPr>
              <w:t>）</w:t>
            </w:r>
          </w:p>
        </w:tc>
        <w:tc>
          <w:tcPr>
            <w:tcW w:w="651" w:type="dxa"/>
          </w:tcPr>
          <w:p>
            <w:pPr>
              <w:autoSpaceDE w:val="0"/>
              <w:autoSpaceDN w:val="0"/>
              <w:adjustRightInd w:val="0"/>
              <w:spacing w:before="0" w:after="0"/>
              <w:rPr>
                <w:rFonts w:eastAsia="Times New Roman"/>
                <w:kern w:val="0"/>
                <w:szCs w:val="24"/>
                <w:lang w:val="zh-CN"/>
              </w:rPr>
            </w:pPr>
            <w:r>
              <w:rPr>
                <w:rFonts w:eastAsia="Times New Roman"/>
                <w:kern w:val="0"/>
                <w:szCs w:val="24"/>
                <w:lang w:val="en-GB"/>
              </w:rPr>
              <w:t>2016</w:t>
            </w:r>
            <w:r>
              <w:rPr>
                <w:rFonts w:hint="eastAsia" w:ascii="宋体" w:hAnsi="宋体" w:cs="宋体"/>
                <w:kern w:val="0"/>
                <w:szCs w:val="24"/>
                <w:lang w:val="zh-CN"/>
              </w:rPr>
              <w:t>年</w:t>
            </w:r>
            <w:r>
              <w:rPr>
                <w:rFonts w:eastAsia="Times New Roman"/>
                <w:kern w:val="0"/>
                <w:szCs w:val="24"/>
                <w:lang w:val="en-GB"/>
              </w:rPr>
              <w:t>12</w:t>
            </w:r>
            <w:r>
              <w:rPr>
                <w:rFonts w:hint="eastAsia" w:ascii="宋体" w:hAnsi="宋体" w:cs="宋体"/>
                <w:kern w:val="0"/>
                <w:szCs w:val="24"/>
                <w:lang w:val="zh-CN"/>
              </w:rPr>
              <w:t>月</w:t>
            </w:r>
            <w:r>
              <w:rPr>
                <w:rFonts w:eastAsia="Times New Roman"/>
                <w:kern w:val="0"/>
                <w:szCs w:val="24"/>
                <w:lang w:val="en-GB"/>
              </w:rPr>
              <w:t>13</w:t>
            </w:r>
            <w:r>
              <w:rPr>
                <w:rFonts w:hint="eastAsia" w:ascii="宋体" w:hAnsi="宋体" w:cs="宋体"/>
                <w:kern w:val="0"/>
                <w:szCs w:val="24"/>
                <w:lang w:val="zh-CN"/>
              </w:rPr>
              <w:t>日</w:t>
            </w:r>
          </w:p>
        </w:tc>
        <w:tc>
          <w:tcPr>
            <w:tcW w:w="1386" w:type="dxa"/>
          </w:tcPr>
          <w:p>
            <w:pPr>
              <w:autoSpaceDE w:val="0"/>
              <w:autoSpaceDN w:val="0"/>
              <w:adjustRightInd w:val="0"/>
              <w:spacing w:before="0" w:after="0"/>
              <w:jc w:val="right"/>
              <w:rPr>
                <w:rFonts w:eastAsia="Times New Roman"/>
                <w:kern w:val="0"/>
                <w:szCs w:val="24"/>
                <w:lang w:val="zh-CN"/>
              </w:rPr>
            </w:pPr>
            <w:r>
              <w:rPr>
                <w:rFonts w:eastAsia="Times New Roman"/>
                <w:kern w:val="0"/>
                <w:szCs w:val="24"/>
                <w:lang w:val="en-GB"/>
              </w:rPr>
              <w:t>62,664,033.77</w:t>
            </w:r>
          </w:p>
        </w:tc>
        <w:tc>
          <w:tcPr>
            <w:tcW w:w="669" w:type="dxa"/>
          </w:tcPr>
          <w:p>
            <w:pPr>
              <w:autoSpaceDE w:val="0"/>
              <w:autoSpaceDN w:val="0"/>
              <w:adjustRightInd w:val="0"/>
              <w:spacing w:before="0" w:after="0"/>
              <w:jc w:val="right"/>
              <w:rPr>
                <w:rFonts w:eastAsia="Times New Roman"/>
                <w:kern w:val="0"/>
                <w:szCs w:val="24"/>
                <w:lang w:val="zh-CN"/>
              </w:rPr>
            </w:pPr>
            <w:r>
              <w:rPr>
                <w:rFonts w:eastAsia="Times New Roman"/>
                <w:kern w:val="0"/>
                <w:szCs w:val="24"/>
                <w:lang w:val="en-GB"/>
              </w:rPr>
              <w:t>65</w:t>
            </w:r>
          </w:p>
        </w:tc>
        <w:tc>
          <w:tcPr>
            <w:tcW w:w="617" w:type="dxa"/>
          </w:tcPr>
          <w:p>
            <w:pPr>
              <w:autoSpaceDE w:val="0"/>
              <w:autoSpaceDN w:val="0"/>
              <w:adjustRightInd w:val="0"/>
              <w:spacing w:before="0" w:after="0"/>
              <w:rPr>
                <w:rFonts w:eastAsia="Times New Roman"/>
                <w:kern w:val="0"/>
                <w:szCs w:val="24"/>
                <w:lang w:val="zh-CN"/>
              </w:rPr>
            </w:pPr>
            <w:r>
              <w:rPr>
                <w:rFonts w:hint="eastAsia" w:ascii="宋体" w:hAnsi="宋体" w:cs="宋体"/>
                <w:kern w:val="0"/>
                <w:szCs w:val="24"/>
                <w:lang w:val="zh-CN"/>
              </w:rPr>
              <w:t>现金购买</w:t>
            </w:r>
          </w:p>
        </w:tc>
        <w:tc>
          <w:tcPr>
            <w:tcW w:w="649" w:type="dxa"/>
          </w:tcPr>
          <w:p>
            <w:pPr>
              <w:autoSpaceDE w:val="0"/>
              <w:autoSpaceDN w:val="0"/>
              <w:adjustRightInd w:val="0"/>
              <w:spacing w:before="0" w:after="0"/>
              <w:rPr>
                <w:rFonts w:eastAsia="Times New Roman"/>
                <w:kern w:val="0"/>
                <w:szCs w:val="24"/>
                <w:lang w:val="zh-CN"/>
              </w:rPr>
            </w:pPr>
            <w:r>
              <w:rPr>
                <w:rFonts w:eastAsia="Times New Roman"/>
                <w:kern w:val="0"/>
                <w:szCs w:val="24"/>
                <w:lang w:val="en-GB"/>
              </w:rPr>
              <w:t>2016</w:t>
            </w:r>
            <w:r>
              <w:rPr>
                <w:rFonts w:hint="eastAsia" w:ascii="宋体" w:hAnsi="宋体" w:cs="宋体"/>
                <w:kern w:val="0"/>
                <w:szCs w:val="24"/>
                <w:lang w:val="zh-CN"/>
              </w:rPr>
              <w:t>年</w:t>
            </w:r>
            <w:r>
              <w:rPr>
                <w:rFonts w:eastAsia="Times New Roman"/>
                <w:kern w:val="0"/>
                <w:szCs w:val="24"/>
                <w:lang w:val="en-GB"/>
              </w:rPr>
              <w:t>12</w:t>
            </w:r>
            <w:r>
              <w:rPr>
                <w:rFonts w:hint="eastAsia" w:ascii="宋体" w:hAnsi="宋体" w:cs="宋体"/>
                <w:kern w:val="0"/>
                <w:szCs w:val="24"/>
                <w:lang w:val="zh-CN"/>
              </w:rPr>
              <w:t>月</w:t>
            </w:r>
            <w:r>
              <w:rPr>
                <w:rFonts w:eastAsia="Times New Roman"/>
                <w:kern w:val="0"/>
                <w:szCs w:val="24"/>
                <w:lang w:val="en-GB"/>
              </w:rPr>
              <w:t>13</w:t>
            </w:r>
            <w:r>
              <w:rPr>
                <w:rFonts w:hint="eastAsia" w:ascii="宋体" w:hAnsi="宋体" w:cs="宋体"/>
                <w:kern w:val="0"/>
                <w:szCs w:val="24"/>
                <w:lang w:val="zh-CN"/>
              </w:rPr>
              <w:t>日</w:t>
            </w:r>
          </w:p>
        </w:tc>
        <w:tc>
          <w:tcPr>
            <w:tcW w:w="627" w:type="dxa"/>
          </w:tcPr>
          <w:p>
            <w:pPr>
              <w:autoSpaceDE w:val="0"/>
              <w:autoSpaceDN w:val="0"/>
              <w:adjustRightInd w:val="0"/>
              <w:spacing w:before="0" w:after="0"/>
              <w:rPr>
                <w:rFonts w:eastAsia="Times New Roman"/>
                <w:kern w:val="0"/>
                <w:szCs w:val="24"/>
                <w:lang w:val="zh-CN"/>
              </w:rPr>
            </w:pPr>
            <w:r>
              <w:rPr>
                <w:rFonts w:hint="eastAsia" w:ascii="宋体" w:hAnsi="宋体" w:cs="宋体"/>
                <w:kern w:val="0"/>
                <w:szCs w:val="24"/>
                <w:lang w:val="zh-CN"/>
              </w:rPr>
              <w:t>工商登记变更完成</w:t>
            </w:r>
          </w:p>
        </w:tc>
        <w:tc>
          <w:tcPr>
            <w:tcW w:w="1386" w:type="dxa"/>
          </w:tcPr>
          <w:p>
            <w:pPr>
              <w:autoSpaceDE w:val="0"/>
              <w:autoSpaceDN w:val="0"/>
              <w:adjustRightInd w:val="0"/>
              <w:spacing w:before="0" w:after="0"/>
              <w:jc w:val="right"/>
              <w:rPr>
                <w:rFonts w:eastAsia="Times New Roman"/>
                <w:kern w:val="0"/>
                <w:szCs w:val="24"/>
                <w:lang w:val="zh-CN"/>
              </w:rPr>
            </w:pPr>
            <w:r>
              <w:rPr>
                <w:rFonts w:eastAsia="Times New Roman"/>
                <w:kern w:val="0"/>
                <w:szCs w:val="24"/>
                <w:lang w:val="en-GB"/>
              </w:rPr>
              <w:t>16,448,247.35</w:t>
            </w:r>
          </w:p>
        </w:tc>
        <w:tc>
          <w:tcPr>
            <w:tcW w:w="1386" w:type="dxa"/>
          </w:tcPr>
          <w:p>
            <w:pPr>
              <w:autoSpaceDE w:val="0"/>
              <w:autoSpaceDN w:val="0"/>
              <w:adjustRightInd w:val="0"/>
              <w:spacing w:before="0" w:after="0"/>
              <w:jc w:val="right"/>
              <w:rPr>
                <w:rFonts w:eastAsia="Times New Roman"/>
                <w:kern w:val="0"/>
                <w:szCs w:val="24"/>
                <w:lang w:val="zh-CN"/>
              </w:rPr>
            </w:pPr>
            <w:r>
              <w:rPr>
                <w:rFonts w:eastAsia="Times New Roman"/>
                <w:kern w:val="0"/>
                <w:szCs w:val="24"/>
                <w:lang w:val="en-GB"/>
              </w:rPr>
              <w:t>10,234,979.19</w:t>
            </w:r>
          </w:p>
        </w:tc>
      </w:tr>
      <w:tr>
        <w:tblPrEx>
          <w:tblBorders>
            <w:top w:val="single" w:color="auto" w:sz="8" w:space="0"/>
            <w:left w:val="single" w:color="auto" w:sz="6" w:space="0"/>
            <w:bottom w:val="single" w:color="auto" w:sz="8" w:space="0"/>
            <w:right w:val="single" w:color="auto" w:sz="6" w:space="0"/>
            <w:insideH w:val="single" w:color="auto" w:sz="8" w:space="0"/>
            <w:insideV w:val="single" w:color="auto" w:sz="6" w:space="0"/>
          </w:tblBorders>
          <w:tblLayout w:type="fixed"/>
          <w:tblCellMar>
            <w:top w:w="10" w:type="dxa"/>
            <w:left w:w="10" w:type="dxa"/>
            <w:bottom w:w="10" w:type="dxa"/>
            <w:right w:w="10" w:type="dxa"/>
          </w:tblCellMar>
        </w:tblPrEx>
        <w:tc>
          <w:tcPr>
            <w:tcW w:w="1152" w:type="dxa"/>
          </w:tcPr>
          <w:p>
            <w:pPr>
              <w:autoSpaceDE w:val="0"/>
              <w:autoSpaceDN w:val="0"/>
              <w:adjustRightInd w:val="0"/>
              <w:spacing w:before="0" w:after="0"/>
              <w:rPr>
                <w:rFonts w:eastAsia="Times New Roman"/>
                <w:kern w:val="0"/>
                <w:szCs w:val="24"/>
              </w:rPr>
            </w:pPr>
            <w:r>
              <w:rPr>
                <w:rFonts w:eastAsia="Times New Roman"/>
                <w:kern w:val="0"/>
                <w:szCs w:val="24"/>
                <w:lang w:val="en-GB"/>
              </w:rPr>
              <w:t>Rockson Automation GmbH</w:t>
            </w:r>
            <w:r>
              <w:rPr>
                <w:rFonts w:hint="eastAsia" w:ascii="宋体" w:hAnsi="宋体" w:cs="宋体"/>
                <w:kern w:val="0"/>
                <w:szCs w:val="24"/>
              </w:rPr>
              <w:t>（</w:t>
            </w:r>
            <w:r>
              <w:rPr>
                <w:rFonts w:hint="eastAsia" w:ascii="宋体" w:hAnsi="宋体" w:cs="宋体"/>
                <w:kern w:val="0"/>
                <w:szCs w:val="24"/>
                <w:lang w:val="zh-CN"/>
              </w:rPr>
              <w:t>注</w:t>
            </w:r>
            <w:r>
              <w:rPr>
                <w:rFonts w:eastAsia="Times New Roman"/>
                <w:kern w:val="0"/>
                <w:szCs w:val="24"/>
                <w:lang w:val="en-GB"/>
              </w:rPr>
              <w:t>2</w:t>
            </w:r>
            <w:r>
              <w:rPr>
                <w:rFonts w:hint="eastAsia" w:ascii="宋体" w:hAnsi="宋体" w:cs="宋体"/>
                <w:kern w:val="0"/>
                <w:szCs w:val="24"/>
              </w:rPr>
              <w:t>）</w:t>
            </w:r>
          </w:p>
        </w:tc>
        <w:tc>
          <w:tcPr>
            <w:tcW w:w="651" w:type="dxa"/>
          </w:tcPr>
          <w:p>
            <w:pPr>
              <w:autoSpaceDE w:val="0"/>
              <w:autoSpaceDN w:val="0"/>
              <w:adjustRightInd w:val="0"/>
              <w:spacing w:before="0" w:after="0"/>
              <w:rPr>
                <w:rFonts w:eastAsia="Times New Roman"/>
                <w:kern w:val="0"/>
                <w:szCs w:val="24"/>
                <w:lang w:val="zh-CN"/>
              </w:rPr>
            </w:pPr>
            <w:r>
              <w:rPr>
                <w:rFonts w:eastAsia="Times New Roman"/>
                <w:kern w:val="0"/>
                <w:szCs w:val="24"/>
                <w:lang w:val="en-GB"/>
              </w:rPr>
              <w:t>2016</w:t>
            </w:r>
            <w:r>
              <w:rPr>
                <w:rFonts w:hint="eastAsia" w:ascii="宋体" w:hAnsi="宋体" w:cs="宋体"/>
                <w:kern w:val="0"/>
                <w:szCs w:val="24"/>
                <w:lang w:val="zh-CN"/>
              </w:rPr>
              <w:t>年</w:t>
            </w:r>
            <w:r>
              <w:rPr>
                <w:rFonts w:eastAsia="Times New Roman"/>
                <w:kern w:val="0"/>
                <w:szCs w:val="24"/>
                <w:lang w:val="en-GB"/>
              </w:rPr>
              <w:t>10</w:t>
            </w:r>
            <w:r>
              <w:rPr>
                <w:rFonts w:hint="eastAsia" w:ascii="宋体" w:hAnsi="宋体" w:cs="宋体"/>
                <w:kern w:val="0"/>
                <w:szCs w:val="24"/>
                <w:lang w:val="zh-CN"/>
              </w:rPr>
              <w:t>月</w:t>
            </w:r>
            <w:r>
              <w:rPr>
                <w:rFonts w:eastAsia="Times New Roman"/>
                <w:kern w:val="0"/>
                <w:szCs w:val="24"/>
                <w:lang w:val="en-GB"/>
              </w:rPr>
              <w:t>28</w:t>
            </w:r>
            <w:r>
              <w:rPr>
                <w:rFonts w:hint="eastAsia" w:ascii="宋体" w:hAnsi="宋体" w:cs="宋体"/>
                <w:kern w:val="0"/>
                <w:szCs w:val="24"/>
                <w:lang w:val="zh-CN"/>
              </w:rPr>
              <w:t>日</w:t>
            </w:r>
          </w:p>
        </w:tc>
        <w:tc>
          <w:tcPr>
            <w:tcW w:w="1386" w:type="dxa"/>
          </w:tcPr>
          <w:p>
            <w:pPr>
              <w:autoSpaceDE w:val="0"/>
              <w:autoSpaceDN w:val="0"/>
              <w:adjustRightInd w:val="0"/>
              <w:spacing w:before="0" w:after="0"/>
              <w:jc w:val="right"/>
              <w:rPr>
                <w:rFonts w:eastAsia="Times New Roman"/>
                <w:kern w:val="0"/>
                <w:szCs w:val="24"/>
                <w:lang w:val="zh-CN"/>
              </w:rPr>
            </w:pPr>
            <w:r>
              <w:rPr>
                <w:rFonts w:eastAsia="Times New Roman"/>
                <w:kern w:val="0"/>
                <w:szCs w:val="24"/>
                <w:lang w:val="en-GB"/>
              </w:rPr>
              <w:t>16,142,399.00</w:t>
            </w:r>
          </w:p>
        </w:tc>
        <w:tc>
          <w:tcPr>
            <w:tcW w:w="669" w:type="dxa"/>
          </w:tcPr>
          <w:p>
            <w:pPr>
              <w:autoSpaceDE w:val="0"/>
              <w:autoSpaceDN w:val="0"/>
              <w:adjustRightInd w:val="0"/>
              <w:spacing w:before="0" w:after="0"/>
              <w:jc w:val="right"/>
              <w:rPr>
                <w:rFonts w:eastAsia="Times New Roman"/>
                <w:kern w:val="0"/>
                <w:szCs w:val="24"/>
                <w:lang w:val="zh-CN"/>
              </w:rPr>
            </w:pPr>
            <w:r>
              <w:rPr>
                <w:rFonts w:eastAsia="Times New Roman"/>
                <w:kern w:val="0"/>
                <w:szCs w:val="24"/>
                <w:lang w:val="en-GB"/>
              </w:rPr>
              <w:t>51</w:t>
            </w:r>
          </w:p>
        </w:tc>
        <w:tc>
          <w:tcPr>
            <w:tcW w:w="617" w:type="dxa"/>
          </w:tcPr>
          <w:p>
            <w:pPr>
              <w:autoSpaceDE w:val="0"/>
              <w:autoSpaceDN w:val="0"/>
              <w:adjustRightInd w:val="0"/>
              <w:spacing w:before="0" w:after="0"/>
              <w:rPr>
                <w:rFonts w:eastAsia="Times New Roman"/>
                <w:kern w:val="0"/>
                <w:szCs w:val="24"/>
                <w:lang w:val="zh-CN"/>
              </w:rPr>
            </w:pPr>
            <w:r>
              <w:rPr>
                <w:rFonts w:hint="eastAsia" w:ascii="宋体" w:hAnsi="宋体" w:cs="宋体"/>
                <w:kern w:val="0"/>
                <w:szCs w:val="24"/>
                <w:lang w:val="zh-CN"/>
              </w:rPr>
              <w:t>现金购买</w:t>
            </w:r>
          </w:p>
        </w:tc>
        <w:tc>
          <w:tcPr>
            <w:tcW w:w="649" w:type="dxa"/>
          </w:tcPr>
          <w:p>
            <w:pPr>
              <w:autoSpaceDE w:val="0"/>
              <w:autoSpaceDN w:val="0"/>
              <w:adjustRightInd w:val="0"/>
              <w:spacing w:before="0" w:after="0"/>
              <w:rPr>
                <w:rFonts w:eastAsia="Times New Roman"/>
                <w:kern w:val="0"/>
                <w:szCs w:val="24"/>
                <w:lang w:val="zh-CN"/>
              </w:rPr>
            </w:pPr>
            <w:r>
              <w:rPr>
                <w:rFonts w:eastAsia="Times New Roman"/>
                <w:kern w:val="0"/>
                <w:szCs w:val="24"/>
                <w:lang w:val="en-GB"/>
              </w:rPr>
              <w:t>2016</w:t>
            </w:r>
            <w:r>
              <w:rPr>
                <w:rFonts w:hint="eastAsia" w:ascii="宋体" w:hAnsi="宋体" w:cs="宋体"/>
                <w:kern w:val="0"/>
                <w:szCs w:val="24"/>
                <w:lang w:val="zh-CN"/>
              </w:rPr>
              <w:t>年</w:t>
            </w:r>
            <w:r>
              <w:rPr>
                <w:rFonts w:eastAsia="Times New Roman"/>
                <w:kern w:val="0"/>
                <w:szCs w:val="24"/>
                <w:lang w:val="en-GB"/>
              </w:rPr>
              <w:t>10</w:t>
            </w:r>
            <w:r>
              <w:rPr>
                <w:rFonts w:hint="eastAsia" w:ascii="宋体" w:hAnsi="宋体" w:cs="宋体"/>
                <w:kern w:val="0"/>
                <w:szCs w:val="24"/>
                <w:lang w:val="zh-CN"/>
              </w:rPr>
              <w:t>月</w:t>
            </w:r>
            <w:r>
              <w:rPr>
                <w:rFonts w:eastAsia="Times New Roman"/>
                <w:kern w:val="0"/>
                <w:szCs w:val="24"/>
                <w:lang w:val="en-GB"/>
              </w:rPr>
              <w:t>28</w:t>
            </w:r>
            <w:r>
              <w:rPr>
                <w:rFonts w:hint="eastAsia" w:ascii="宋体" w:hAnsi="宋体" w:cs="宋体"/>
                <w:kern w:val="0"/>
                <w:szCs w:val="24"/>
                <w:lang w:val="zh-CN"/>
              </w:rPr>
              <w:t>日</w:t>
            </w:r>
          </w:p>
        </w:tc>
        <w:tc>
          <w:tcPr>
            <w:tcW w:w="627" w:type="dxa"/>
          </w:tcPr>
          <w:p>
            <w:pPr>
              <w:autoSpaceDE w:val="0"/>
              <w:autoSpaceDN w:val="0"/>
              <w:adjustRightInd w:val="0"/>
              <w:spacing w:before="0" w:after="0"/>
              <w:rPr>
                <w:rFonts w:eastAsia="Times New Roman"/>
                <w:kern w:val="0"/>
                <w:szCs w:val="24"/>
                <w:lang w:val="zh-CN"/>
              </w:rPr>
            </w:pPr>
            <w:r>
              <w:rPr>
                <w:rFonts w:hint="eastAsia" w:ascii="宋体" w:hAnsi="宋体" w:cs="宋体"/>
                <w:kern w:val="0"/>
                <w:szCs w:val="24"/>
                <w:lang w:val="zh-CN"/>
              </w:rPr>
              <w:t>董事会批准</w:t>
            </w:r>
          </w:p>
        </w:tc>
        <w:tc>
          <w:tcPr>
            <w:tcW w:w="1386" w:type="dxa"/>
          </w:tcPr>
          <w:p>
            <w:pPr>
              <w:autoSpaceDE w:val="0"/>
              <w:autoSpaceDN w:val="0"/>
              <w:adjustRightInd w:val="0"/>
              <w:spacing w:before="0" w:after="0"/>
              <w:jc w:val="right"/>
              <w:rPr>
                <w:rFonts w:eastAsia="Times New Roman"/>
                <w:kern w:val="0"/>
                <w:szCs w:val="24"/>
                <w:lang w:val="zh-CN"/>
              </w:rPr>
            </w:pPr>
            <w:r>
              <w:rPr>
                <w:rFonts w:eastAsia="Times New Roman"/>
                <w:kern w:val="0"/>
                <w:szCs w:val="24"/>
                <w:lang w:val="en-GB"/>
              </w:rPr>
              <w:t>802,070.19</w:t>
            </w:r>
          </w:p>
        </w:tc>
        <w:tc>
          <w:tcPr>
            <w:tcW w:w="1386" w:type="dxa"/>
          </w:tcPr>
          <w:p>
            <w:pPr>
              <w:autoSpaceDE w:val="0"/>
              <w:autoSpaceDN w:val="0"/>
              <w:adjustRightInd w:val="0"/>
              <w:spacing w:before="0" w:after="0"/>
              <w:jc w:val="right"/>
              <w:rPr>
                <w:rFonts w:eastAsia="Times New Roman"/>
                <w:kern w:val="0"/>
                <w:szCs w:val="24"/>
                <w:lang w:val="zh-CN"/>
              </w:rPr>
            </w:pPr>
            <w:r>
              <w:rPr>
                <w:rFonts w:eastAsia="Times New Roman"/>
                <w:kern w:val="0"/>
                <w:szCs w:val="24"/>
                <w:lang w:val="en-GB"/>
              </w:rPr>
              <w:t>-1,121,392.41</w:t>
            </w:r>
          </w:p>
        </w:tc>
      </w:tr>
    </w:tbl>
    <w:p>
      <w:pPr>
        <w:autoSpaceDE w:val="0"/>
        <w:autoSpaceDN w:val="0"/>
        <w:adjustRightInd w:val="0"/>
        <w:spacing w:before="240" w:after="240"/>
        <w:ind w:firstLine="440"/>
        <w:jc w:val="left"/>
        <w:rPr>
          <w:rFonts w:eastAsia="Times New Roman"/>
          <w:kern w:val="0"/>
          <w:sz w:val="22"/>
          <w:szCs w:val="24"/>
          <w:lang w:val="zh-CN"/>
        </w:rPr>
      </w:pPr>
      <w:r>
        <w:rPr>
          <w:rFonts w:hint="eastAsia" w:ascii="宋体" w:hAnsi="宋体" w:cs="宋体"/>
          <w:kern w:val="0"/>
          <w:sz w:val="22"/>
          <w:szCs w:val="24"/>
          <w:lang w:val="zh-CN"/>
        </w:rPr>
        <w:t>注</w:t>
      </w:r>
      <w:r>
        <w:rPr>
          <w:rFonts w:eastAsia="Times New Roman"/>
          <w:kern w:val="0"/>
          <w:sz w:val="22"/>
          <w:szCs w:val="24"/>
          <w:lang w:val="en-GB"/>
        </w:rPr>
        <w:t>1</w:t>
      </w:r>
      <w:r>
        <w:rPr>
          <w:rFonts w:hint="eastAsia" w:ascii="宋体" w:hAnsi="宋体" w:cs="宋体"/>
          <w:kern w:val="0"/>
          <w:sz w:val="22"/>
          <w:szCs w:val="24"/>
          <w:lang w:val="zh-CN"/>
        </w:rPr>
        <w:t>：</w:t>
      </w:r>
      <w:r>
        <w:rPr>
          <w:rFonts w:eastAsia="Times New Roman"/>
          <w:kern w:val="0"/>
          <w:sz w:val="22"/>
          <w:szCs w:val="24"/>
          <w:lang w:val="en-GB"/>
        </w:rPr>
        <w:t>2016</w:t>
      </w:r>
      <w:r>
        <w:rPr>
          <w:rFonts w:hint="eastAsia" w:ascii="宋体" w:hAnsi="宋体" w:cs="宋体"/>
          <w:kern w:val="0"/>
          <w:sz w:val="22"/>
          <w:szCs w:val="24"/>
          <w:lang w:val="zh-CN"/>
        </w:rPr>
        <w:t>年</w:t>
      </w:r>
      <w:r>
        <w:rPr>
          <w:rFonts w:eastAsia="Times New Roman"/>
          <w:kern w:val="0"/>
          <w:sz w:val="22"/>
          <w:szCs w:val="24"/>
          <w:lang w:val="en-GB"/>
        </w:rPr>
        <w:t>12</w:t>
      </w:r>
      <w:r>
        <w:rPr>
          <w:rFonts w:hint="eastAsia" w:ascii="宋体" w:hAnsi="宋体" w:cs="宋体"/>
          <w:kern w:val="0"/>
          <w:sz w:val="22"/>
          <w:szCs w:val="24"/>
          <w:lang w:val="zh-CN"/>
        </w:rPr>
        <w:t>月</w:t>
      </w:r>
      <w:r>
        <w:rPr>
          <w:rFonts w:eastAsia="Times New Roman"/>
          <w:kern w:val="0"/>
          <w:sz w:val="22"/>
          <w:szCs w:val="24"/>
          <w:lang w:val="en-GB"/>
        </w:rPr>
        <w:t>11</w:t>
      </w:r>
      <w:r>
        <w:rPr>
          <w:rFonts w:hint="eastAsia" w:ascii="宋体" w:hAnsi="宋体" w:cs="宋体"/>
          <w:kern w:val="0"/>
          <w:sz w:val="22"/>
          <w:szCs w:val="24"/>
          <w:lang w:val="zh-CN"/>
        </w:rPr>
        <w:t>日，上海劳雷、吉波与杨政、邱江华、张日锋、新余睿海投资合伙企业（有限合伙）及新余慧海投资合伙企业（有限合伙）（杨政、邱江华、张日锋、新余睿海投资合伙企业（有限合伙）及新余慧海投资合伙企业（有限合伙）合称为原股东）关于买卖广东蓝图信息技术有限公司股权签订了协议，上海劳雷购买原股东</w:t>
      </w:r>
      <w:r>
        <w:rPr>
          <w:rFonts w:eastAsia="Times New Roman"/>
          <w:kern w:val="0"/>
          <w:sz w:val="22"/>
          <w:szCs w:val="24"/>
          <w:lang w:val="zh-CN"/>
        </w:rPr>
        <w:t>65%</w:t>
      </w:r>
      <w:r>
        <w:rPr>
          <w:rFonts w:hint="eastAsia" w:ascii="宋体" w:hAnsi="宋体" w:cs="宋体"/>
          <w:kern w:val="0"/>
          <w:sz w:val="22"/>
          <w:szCs w:val="24"/>
          <w:lang w:val="zh-CN"/>
        </w:rPr>
        <w:t>的股权，交易对价</w:t>
      </w:r>
      <w:r>
        <w:rPr>
          <w:rFonts w:eastAsia="Times New Roman"/>
          <w:kern w:val="0"/>
          <w:sz w:val="22"/>
          <w:szCs w:val="24"/>
          <w:lang w:val="zh-CN"/>
        </w:rPr>
        <w:t>4,875</w:t>
      </w:r>
      <w:r>
        <w:rPr>
          <w:rFonts w:hint="eastAsia" w:ascii="宋体" w:hAnsi="宋体" w:cs="宋体"/>
          <w:kern w:val="0"/>
          <w:sz w:val="22"/>
          <w:szCs w:val="24"/>
          <w:lang w:val="zh-CN"/>
        </w:rPr>
        <w:t>万元。同时约定，广东蓝图信息技术有限公司在业绩承诺期间（</w:t>
      </w:r>
      <w:r>
        <w:rPr>
          <w:rFonts w:eastAsia="Times New Roman"/>
          <w:kern w:val="0"/>
          <w:sz w:val="22"/>
          <w:szCs w:val="24"/>
          <w:lang w:val="zh-CN"/>
        </w:rPr>
        <w:t>2016</w:t>
      </w:r>
      <w:r>
        <w:rPr>
          <w:rFonts w:hint="eastAsia" w:ascii="宋体" w:hAnsi="宋体" w:cs="宋体"/>
          <w:kern w:val="0"/>
          <w:sz w:val="22"/>
          <w:szCs w:val="24"/>
          <w:lang w:val="zh-CN"/>
        </w:rPr>
        <w:t>年度至</w:t>
      </w:r>
      <w:r>
        <w:rPr>
          <w:rFonts w:eastAsia="Times New Roman"/>
          <w:kern w:val="0"/>
          <w:sz w:val="22"/>
          <w:szCs w:val="24"/>
          <w:lang w:val="zh-CN"/>
        </w:rPr>
        <w:t>2018</w:t>
      </w:r>
      <w:r>
        <w:rPr>
          <w:rFonts w:hint="eastAsia" w:ascii="宋体" w:hAnsi="宋体" w:cs="宋体"/>
          <w:kern w:val="0"/>
          <w:sz w:val="22"/>
          <w:szCs w:val="24"/>
          <w:lang w:val="zh-CN"/>
        </w:rPr>
        <w:t>年度）的年度平均净利润大于</w:t>
      </w:r>
      <w:r>
        <w:rPr>
          <w:rFonts w:eastAsia="Times New Roman"/>
          <w:kern w:val="0"/>
          <w:sz w:val="22"/>
          <w:szCs w:val="24"/>
          <w:lang w:val="zh-CN"/>
        </w:rPr>
        <w:t>849.3</w:t>
      </w:r>
      <w:r>
        <w:rPr>
          <w:rFonts w:hint="eastAsia" w:ascii="宋体" w:hAnsi="宋体" w:cs="宋体"/>
          <w:kern w:val="0"/>
          <w:sz w:val="22"/>
          <w:szCs w:val="24"/>
          <w:lang w:val="zh-CN"/>
        </w:rPr>
        <w:t>万元但小于或等于</w:t>
      </w:r>
      <w:r>
        <w:rPr>
          <w:rFonts w:eastAsia="Times New Roman"/>
          <w:kern w:val="0"/>
          <w:sz w:val="22"/>
          <w:szCs w:val="24"/>
          <w:lang w:val="zh-CN"/>
        </w:rPr>
        <w:t>1,000</w:t>
      </w:r>
      <w:r>
        <w:rPr>
          <w:rFonts w:hint="eastAsia" w:ascii="宋体" w:hAnsi="宋体" w:cs="宋体"/>
          <w:kern w:val="0"/>
          <w:sz w:val="22"/>
          <w:szCs w:val="24"/>
          <w:lang w:val="zh-CN"/>
        </w:rPr>
        <w:t>万元，则上海劳雷按照其业绩承诺期内的实际年度平均净利润的</w:t>
      </w:r>
      <w:r>
        <w:rPr>
          <w:rFonts w:eastAsia="Times New Roman"/>
          <w:kern w:val="0"/>
          <w:sz w:val="22"/>
          <w:szCs w:val="24"/>
          <w:lang w:val="zh-CN"/>
        </w:rPr>
        <w:t>10</w:t>
      </w:r>
      <w:r>
        <w:rPr>
          <w:rFonts w:hint="eastAsia" w:ascii="宋体" w:hAnsi="宋体" w:cs="宋体"/>
          <w:kern w:val="0"/>
          <w:sz w:val="22"/>
          <w:szCs w:val="24"/>
          <w:lang w:val="zh-CN"/>
        </w:rPr>
        <w:t>倍</w:t>
      </w:r>
      <w:r>
        <w:rPr>
          <w:rFonts w:eastAsia="Times New Roman"/>
          <w:kern w:val="0"/>
          <w:sz w:val="22"/>
          <w:szCs w:val="24"/>
          <w:lang w:val="zh-CN"/>
        </w:rPr>
        <w:t>PE</w:t>
      </w:r>
      <w:r>
        <w:rPr>
          <w:rFonts w:hint="eastAsia" w:ascii="宋体" w:hAnsi="宋体" w:cs="宋体"/>
          <w:kern w:val="0"/>
          <w:sz w:val="22"/>
          <w:szCs w:val="24"/>
          <w:lang w:val="zh-CN"/>
        </w:rPr>
        <w:t>所对应的估值（即使年度平均净利润超过</w:t>
      </w:r>
      <w:r>
        <w:rPr>
          <w:rFonts w:eastAsia="Times New Roman"/>
          <w:kern w:val="0"/>
          <w:sz w:val="22"/>
          <w:szCs w:val="24"/>
          <w:lang w:val="zh-CN"/>
        </w:rPr>
        <w:t>1,000</w:t>
      </w:r>
      <w:r>
        <w:rPr>
          <w:rFonts w:hint="eastAsia" w:ascii="宋体" w:hAnsi="宋体" w:cs="宋体"/>
          <w:kern w:val="0"/>
          <w:sz w:val="22"/>
          <w:szCs w:val="24"/>
          <w:lang w:val="zh-CN"/>
        </w:rPr>
        <w:t>万元，最高估值仍以</w:t>
      </w:r>
      <w:r>
        <w:rPr>
          <w:rFonts w:eastAsia="Times New Roman"/>
          <w:kern w:val="0"/>
          <w:sz w:val="22"/>
          <w:szCs w:val="24"/>
          <w:lang w:val="zh-CN"/>
        </w:rPr>
        <w:t>1</w:t>
      </w:r>
      <w:r>
        <w:rPr>
          <w:rFonts w:hint="eastAsia" w:ascii="宋体" w:hAnsi="宋体" w:cs="宋体"/>
          <w:kern w:val="0"/>
          <w:sz w:val="22"/>
          <w:szCs w:val="24"/>
          <w:lang w:val="zh-CN"/>
        </w:rPr>
        <w:t>亿元为限），以现金向广东蓝图信息技术有限公司支付股权届时的估值与本次交易对价之差额。</w:t>
      </w:r>
    </w:p>
    <w:p>
      <w:pPr>
        <w:autoSpaceDE w:val="0"/>
        <w:autoSpaceDN w:val="0"/>
        <w:adjustRightInd w:val="0"/>
        <w:spacing w:before="240" w:after="240"/>
        <w:ind w:firstLine="440"/>
        <w:jc w:val="left"/>
        <w:rPr>
          <w:rFonts w:eastAsia="Times New Roman"/>
          <w:kern w:val="0"/>
          <w:sz w:val="22"/>
          <w:szCs w:val="24"/>
          <w:lang w:val="zh-CN"/>
        </w:rPr>
      </w:pPr>
      <w:r>
        <w:rPr>
          <w:rFonts w:hint="eastAsia" w:ascii="宋体" w:hAnsi="宋体" w:cs="宋体"/>
          <w:kern w:val="0"/>
          <w:sz w:val="22"/>
          <w:szCs w:val="24"/>
          <w:lang w:val="zh-CN"/>
        </w:rPr>
        <w:t>注</w:t>
      </w:r>
      <w:r>
        <w:rPr>
          <w:rFonts w:eastAsia="Times New Roman"/>
          <w:kern w:val="0"/>
          <w:sz w:val="22"/>
          <w:szCs w:val="24"/>
          <w:lang w:val="zh-CN"/>
        </w:rPr>
        <w:t>2</w:t>
      </w:r>
      <w:r>
        <w:rPr>
          <w:rFonts w:hint="eastAsia" w:ascii="宋体" w:hAnsi="宋体" w:cs="宋体"/>
          <w:kern w:val="0"/>
          <w:sz w:val="22"/>
          <w:szCs w:val="24"/>
          <w:lang w:val="zh-CN"/>
        </w:rPr>
        <w:t>：</w:t>
      </w:r>
      <w:r>
        <w:rPr>
          <w:rFonts w:eastAsia="Times New Roman"/>
          <w:kern w:val="0"/>
          <w:sz w:val="22"/>
          <w:szCs w:val="24"/>
          <w:lang w:val="zh-CN"/>
        </w:rPr>
        <w:t>2016</w:t>
      </w:r>
      <w:r>
        <w:rPr>
          <w:rFonts w:hint="eastAsia" w:ascii="宋体" w:hAnsi="宋体" w:cs="宋体"/>
          <w:kern w:val="0"/>
          <w:sz w:val="22"/>
          <w:szCs w:val="24"/>
          <w:lang w:val="zh-CN"/>
        </w:rPr>
        <w:t>年</w:t>
      </w:r>
      <w:r>
        <w:rPr>
          <w:rFonts w:eastAsia="Times New Roman"/>
          <w:kern w:val="0"/>
          <w:sz w:val="22"/>
          <w:szCs w:val="24"/>
          <w:lang w:val="zh-CN"/>
        </w:rPr>
        <w:t>10</w:t>
      </w:r>
      <w:r>
        <w:rPr>
          <w:rFonts w:hint="eastAsia" w:ascii="宋体" w:hAnsi="宋体" w:cs="宋体"/>
          <w:kern w:val="0"/>
          <w:sz w:val="22"/>
          <w:szCs w:val="24"/>
          <w:lang w:val="zh-CN"/>
        </w:rPr>
        <w:t>月，香港海兰船舶电气系统科技有限公司与</w:t>
      </w:r>
      <w:r>
        <w:rPr>
          <w:rFonts w:hint="eastAsia" w:ascii="宋体" w:hAnsi="宋体" w:cs="宋体"/>
          <w:kern w:val="0"/>
          <w:sz w:val="23"/>
          <w:szCs w:val="24"/>
          <w:lang w:val="zh-CN"/>
        </w:rPr>
        <w:t>香港海兰信海洋工程技术开发有限公司</w:t>
      </w:r>
      <w:r>
        <w:rPr>
          <w:rFonts w:hint="eastAsia" w:ascii="宋体" w:hAnsi="宋体" w:cs="宋体"/>
          <w:kern w:val="0"/>
          <w:sz w:val="22"/>
          <w:szCs w:val="24"/>
          <w:lang w:val="zh-CN"/>
        </w:rPr>
        <w:t>签订股权转让协议，香港海兰船舶电气系统科技有限公司购买其持有的</w:t>
      </w:r>
      <w:r>
        <w:rPr>
          <w:rFonts w:eastAsia="Times New Roman"/>
          <w:kern w:val="0"/>
          <w:sz w:val="22"/>
          <w:szCs w:val="24"/>
          <w:lang w:val="zh-CN"/>
        </w:rPr>
        <w:t>Rockson Automation GmbH 51%</w:t>
      </w:r>
      <w:r>
        <w:rPr>
          <w:rFonts w:hint="eastAsia" w:ascii="宋体" w:hAnsi="宋体" w:cs="宋体"/>
          <w:kern w:val="0"/>
          <w:sz w:val="22"/>
          <w:szCs w:val="24"/>
          <w:lang w:val="zh-CN"/>
        </w:rPr>
        <w:t>股权，交易对价为</w:t>
      </w:r>
      <w:r>
        <w:rPr>
          <w:rFonts w:eastAsia="Times New Roman"/>
          <w:kern w:val="0"/>
          <w:sz w:val="22"/>
          <w:szCs w:val="24"/>
          <w:lang w:val="en-GB"/>
        </w:rPr>
        <w:t>16,142,399.00</w:t>
      </w:r>
      <w:r>
        <w:rPr>
          <w:rFonts w:hint="eastAsia" w:ascii="宋体" w:hAnsi="宋体" w:cs="宋体"/>
          <w:kern w:val="0"/>
          <w:sz w:val="22"/>
          <w:szCs w:val="24"/>
          <w:lang w:val="zh-CN"/>
        </w:rPr>
        <w:t>元。该交易事项</w:t>
      </w:r>
      <w:r>
        <w:rPr>
          <w:rFonts w:eastAsia="Times New Roman"/>
          <w:kern w:val="0"/>
          <w:sz w:val="22"/>
          <w:szCs w:val="24"/>
          <w:lang w:val="zh-CN"/>
        </w:rPr>
        <w:t>2016</w:t>
      </w:r>
      <w:r>
        <w:rPr>
          <w:rFonts w:hint="eastAsia" w:ascii="宋体" w:hAnsi="宋体" w:cs="宋体"/>
          <w:kern w:val="0"/>
          <w:sz w:val="22"/>
          <w:szCs w:val="24"/>
          <w:lang w:val="zh-CN"/>
        </w:rPr>
        <w:t>年</w:t>
      </w:r>
      <w:r>
        <w:rPr>
          <w:rFonts w:eastAsia="Times New Roman"/>
          <w:kern w:val="0"/>
          <w:sz w:val="22"/>
          <w:szCs w:val="24"/>
          <w:lang w:val="zh-CN"/>
        </w:rPr>
        <w:t>10</w:t>
      </w:r>
      <w:r>
        <w:rPr>
          <w:rFonts w:hint="eastAsia" w:ascii="宋体" w:hAnsi="宋体" w:cs="宋体"/>
          <w:kern w:val="0"/>
          <w:sz w:val="22"/>
          <w:szCs w:val="24"/>
          <w:lang w:val="zh-CN"/>
        </w:rPr>
        <w:t>月经公司董事会批准通过。</w:t>
      </w:r>
    </w:p>
    <w:p>
      <w:pPr>
        <w:pStyle w:val="10"/>
        <w:outlineLvl w:val="1"/>
        <w:rPr>
          <w:bCs w:val="0"/>
        </w:rPr>
      </w:pPr>
      <w:r>
        <w:rPr>
          <w:rFonts w:hint="eastAsia"/>
          <w:bCs w:val="0"/>
        </w:rPr>
        <w:t>八、聘任、解聘会计师事务所情况</w:t>
      </w:r>
    </w:p>
    <w:p>
      <w:pPr>
        <w:jc w:val="left"/>
        <w:rPr>
          <w:szCs w:val="24"/>
        </w:rPr>
      </w:pPr>
      <w:r>
        <w:rPr>
          <w:rFonts w:hint="eastAsia"/>
          <w:szCs w:val="24"/>
        </w:rPr>
        <w:t>现聘任的会计事务所</w:t>
      </w:r>
    </w:p>
    <w:tbl>
      <w:tblPr>
        <w:tblStyle w:val="8"/>
        <w:tblW w:w="9568" w:type="dxa"/>
        <w:tblInd w:w="28" w:type="dxa"/>
        <w:tblLayout w:type="fixed"/>
        <w:tblCellMar>
          <w:top w:w="0" w:type="dxa"/>
          <w:left w:w="28" w:type="dxa"/>
          <w:bottom w:w="0" w:type="dxa"/>
          <w:right w:w="28" w:type="dxa"/>
        </w:tblCellMar>
      </w:tblPr>
      <w:tblGrid>
        <w:gridCol w:w="3886"/>
        <w:gridCol w:w="5682"/>
      </w:tblGrid>
      <w:tr>
        <w:tblPrEx>
          <w:tblLayout w:type="fixed"/>
          <w:tblCellMar>
            <w:top w:w="0" w:type="dxa"/>
            <w:left w:w="28" w:type="dxa"/>
            <w:bottom w:w="0" w:type="dxa"/>
            <w:right w:w="28" w:type="dxa"/>
          </w:tblCellMar>
        </w:tblPrEx>
        <w:tc>
          <w:tcPr>
            <w:tcW w:w="388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境内会计师事务所名称</w:t>
            </w:r>
          </w:p>
        </w:tc>
        <w:tc>
          <w:tcPr>
            <w:tcW w:w="5682" w:type="dxa"/>
            <w:tcBorders>
              <w:top w:val="single" w:color="auto" w:sz="4" w:space="0"/>
              <w:left w:val="single" w:color="auto" w:sz="4" w:space="0"/>
              <w:bottom w:val="single" w:color="auto" w:sz="4" w:space="0"/>
              <w:right w:val="single" w:color="auto" w:sz="4" w:space="0"/>
            </w:tcBorders>
            <w:vAlign w:val="center"/>
          </w:tcPr>
          <w:p>
            <w:pPr>
              <w:jc w:val="left"/>
              <w:rPr>
                <w:szCs w:val="24"/>
              </w:rPr>
            </w:pPr>
            <w:r>
              <w:rPr>
                <w:rFonts w:hint="eastAsia"/>
                <w:szCs w:val="24"/>
              </w:rPr>
              <w:t>信永中和会计师事务所（特殊普通合伙）</w:t>
            </w:r>
          </w:p>
        </w:tc>
      </w:tr>
      <w:tr>
        <w:tblPrEx>
          <w:tblLayout w:type="fixed"/>
          <w:tblCellMar>
            <w:top w:w="0" w:type="dxa"/>
            <w:left w:w="28" w:type="dxa"/>
            <w:bottom w:w="0" w:type="dxa"/>
            <w:right w:w="28" w:type="dxa"/>
          </w:tblCellMar>
        </w:tblPrEx>
        <w:tc>
          <w:tcPr>
            <w:tcW w:w="388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境内会计师事务所报酬（万元）</w:t>
            </w:r>
          </w:p>
        </w:tc>
        <w:tc>
          <w:tcPr>
            <w:tcW w:w="568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60</w:t>
            </w:r>
          </w:p>
        </w:tc>
      </w:tr>
      <w:tr>
        <w:tblPrEx>
          <w:tblLayout w:type="fixed"/>
          <w:tblCellMar>
            <w:top w:w="0" w:type="dxa"/>
            <w:left w:w="28" w:type="dxa"/>
            <w:bottom w:w="0" w:type="dxa"/>
            <w:right w:w="28" w:type="dxa"/>
          </w:tblCellMar>
        </w:tblPrEx>
        <w:tc>
          <w:tcPr>
            <w:tcW w:w="388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境内会计师事务所审计服务的连续年限</w:t>
            </w:r>
          </w:p>
        </w:tc>
        <w:tc>
          <w:tcPr>
            <w:tcW w:w="568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7</w:t>
            </w:r>
          </w:p>
        </w:tc>
      </w:tr>
      <w:tr>
        <w:tblPrEx>
          <w:tblLayout w:type="fixed"/>
          <w:tblCellMar>
            <w:top w:w="0" w:type="dxa"/>
            <w:left w:w="28" w:type="dxa"/>
            <w:bottom w:w="0" w:type="dxa"/>
            <w:right w:w="28" w:type="dxa"/>
          </w:tblCellMar>
        </w:tblPrEx>
        <w:tc>
          <w:tcPr>
            <w:tcW w:w="388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境内会计师事务所注册会计师姓名</w:t>
            </w:r>
          </w:p>
        </w:tc>
        <w:tc>
          <w:tcPr>
            <w:tcW w:w="568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树新、唐静</w:t>
            </w:r>
          </w:p>
        </w:tc>
      </w:tr>
    </w:tbl>
    <w:p>
      <w:pPr>
        <w:jc w:val="left"/>
        <w:rPr>
          <w:szCs w:val="24"/>
        </w:rPr>
      </w:pPr>
      <w:r>
        <w:rPr>
          <w:rFonts w:hint="eastAsia"/>
          <w:szCs w:val="24"/>
        </w:rPr>
        <w:t>是否改聘会计师事务所</w:t>
      </w:r>
    </w:p>
    <w:p>
      <w:pPr>
        <w:jc w:val="left"/>
        <w:rPr>
          <w:szCs w:val="24"/>
        </w:rPr>
      </w:pPr>
      <w:r>
        <w:rPr>
          <w:szCs w:val="24"/>
        </w:rPr>
        <w:t xml:space="preserve">□ </w:t>
      </w:r>
      <w:r>
        <w:rPr>
          <w:rFonts w:hint="eastAsia"/>
          <w:szCs w:val="24"/>
        </w:rPr>
        <w:t>是</w:t>
      </w:r>
      <w:r>
        <w:rPr>
          <w:szCs w:val="24"/>
        </w:rPr>
        <w:t xml:space="preserve"> √ </w:t>
      </w:r>
      <w:r>
        <w:rPr>
          <w:rFonts w:hint="eastAsia"/>
          <w:szCs w:val="24"/>
        </w:rPr>
        <w:t>否</w:t>
      </w:r>
      <w:r>
        <w:rPr>
          <w:szCs w:val="24"/>
        </w:rPr>
        <w:t xml:space="preserve"> </w:t>
      </w:r>
    </w:p>
    <w:p>
      <w:pPr>
        <w:jc w:val="left"/>
        <w:rPr>
          <w:szCs w:val="24"/>
        </w:rPr>
      </w:pPr>
      <w:r>
        <w:rPr>
          <w:rFonts w:hint="eastAsia"/>
          <w:szCs w:val="24"/>
        </w:rPr>
        <w:t>聘请内部控制审计会计师事务所、财务顾问或保荐人情况</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pStyle w:val="10"/>
        <w:outlineLvl w:val="1"/>
        <w:rPr>
          <w:bCs w:val="0"/>
        </w:rPr>
      </w:pPr>
      <w:r>
        <w:rPr>
          <w:rFonts w:hint="eastAsia"/>
          <w:bCs w:val="0"/>
        </w:rPr>
        <w:t>九、年度报告披露后面临暂停上市和终止上市情况</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pStyle w:val="10"/>
        <w:outlineLvl w:val="1"/>
        <w:rPr>
          <w:bCs w:val="0"/>
        </w:rPr>
      </w:pPr>
      <w:r>
        <w:rPr>
          <w:rFonts w:hint="eastAsia"/>
          <w:bCs w:val="0"/>
        </w:rPr>
        <w:t>十、破产重整相关事项</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jc w:val="left"/>
        <w:rPr>
          <w:szCs w:val="24"/>
        </w:rPr>
      </w:pPr>
      <w:r>
        <w:rPr>
          <w:rFonts w:hint="eastAsia"/>
          <w:szCs w:val="24"/>
        </w:rPr>
        <w:t>公司报告期未发生破产重整相关事项。</w:t>
      </w:r>
    </w:p>
    <w:p>
      <w:pPr>
        <w:pStyle w:val="10"/>
        <w:outlineLvl w:val="1"/>
        <w:rPr>
          <w:bCs w:val="0"/>
        </w:rPr>
      </w:pPr>
      <w:r>
        <w:rPr>
          <w:rFonts w:hint="eastAsia"/>
          <w:bCs w:val="0"/>
        </w:rPr>
        <w:t>十一、重大诉讼、仲裁事项</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jc w:val="left"/>
        <w:rPr>
          <w:szCs w:val="24"/>
        </w:rPr>
      </w:pPr>
      <w:r>
        <w:rPr>
          <w:rFonts w:hint="eastAsia"/>
          <w:szCs w:val="24"/>
        </w:rPr>
        <w:t>本年度公司无重大诉讼、仲裁事项。</w:t>
      </w:r>
    </w:p>
    <w:p>
      <w:pPr>
        <w:pStyle w:val="10"/>
        <w:outlineLvl w:val="1"/>
        <w:rPr>
          <w:bCs w:val="0"/>
        </w:rPr>
      </w:pPr>
      <w:r>
        <w:rPr>
          <w:rFonts w:hint="eastAsia"/>
          <w:bCs w:val="0"/>
        </w:rPr>
        <w:t>十二、处罚及整改情况</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jc w:val="left"/>
        <w:rPr>
          <w:szCs w:val="24"/>
        </w:rPr>
      </w:pPr>
      <w:r>
        <w:rPr>
          <w:rFonts w:hint="eastAsia"/>
          <w:szCs w:val="24"/>
        </w:rPr>
        <w:t>公司报告期不存在处罚及整改情况。</w:t>
      </w:r>
    </w:p>
    <w:p>
      <w:pPr>
        <w:pStyle w:val="10"/>
        <w:outlineLvl w:val="1"/>
        <w:rPr>
          <w:bCs w:val="0"/>
        </w:rPr>
      </w:pPr>
      <w:r>
        <w:rPr>
          <w:rFonts w:hint="eastAsia"/>
          <w:bCs w:val="0"/>
        </w:rPr>
        <w:t>十三、公司及其控股股东、实际控制人的诚信状况</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pStyle w:val="10"/>
        <w:outlineLvl w:val="1"/>
        <w:rPr>
          <w:bCs w:val="0"/>
        </w:rPr>
      </w:pPr>
      <w:r>
        <w:rPr>
          <w:rFonts w:hint="eastAsia"/>
          <w:bCs w:val="0"/>
        </w:rPr>
        <w:t>十四、公司股权激励计划、员工持股计划或其他员工激励措施的实施情况</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autoSpaceDE w:val="0"/>
        <w:autoSpaceDN w:val="0"/>
        <w:adjustRightInd w:val="0"/>
        <w:spacing w:before="0" w:after="0"/>
        <w:ind w:firstLine="420"/>
        <w:jc w:val="left"/>
        <w:rPr>
          <w:rFonts w:eastAsia="Times New Roman"/>
          <w:kern w:val="0"/>
          <w:sz w:val="21"/>
          <w:szCs w:val="24"/>
          <w:lang w:val="zh-CN"/>
        </w:rPr>
      </w:pPr>
      <w:r>
        <w:rPr>
          <w:rFonts w:hint="eastAsia" w:ascii="宋体" w:hAnsi="宋体" w:cs="宋体"/>
          <w:b/>
          <w:kern w:val="0"/>
          <w:sz w:val="21"/>
          <w:szCs w:val="24"/>
          <w:lang w:val="zh-CN"/>
        </w:rPr>
        <w:t>员工持股计划：</w:t>
      </w:r>
    </w:p>
    <w:p>
      <w:pPr>
        <w:autoSpaceDE w:val="0"/>
        <w:autoSpaceDN w:val="0"/>
        <w:adjustRightInd w:val="0"/>
        <w:spacing w:before="0" w:after="0"/>
        <w:ind w:firstLine="420"/>
        <w:jc w:val="left"/>
        <w:rPr>
          <w:rFonts w:eastAsia="Times New Roman"/>
          <w:kern w:val="0"/>
          <w:sz w:val="21"/>
          <w:szCs w:val="24"/>
          <w:lang w:val="zh-CN"/>
        </w:rPr>
      </w:pPr>
      <w:r>
        <w:rPr>
          <w:rFonts w:eastAsia="Times New Roman"/>
          <w:kern w:val="0"/>
          <w:sz w:val="21"/>
          <w:szCs w:val="24"/>
          <w:lang w:val="zh-CN"/>
        </w:rPr>
        <w:t>1</w:t>
      </w:r>
      <w:r>
        <w:rPr>
          <w:rFonts w:hint="eastAsia" w:ascii="宋体" w:hAnsi="宋体" w:cs="宋体"/>
          <w:kern w:val="0"/>
          <w:sz w:val="21"/>
          <w:szCs w:val="24"/>
          <w:lang w:val="zh-CN"/>
        </w:rPr>
        <w:t>、公司第一期员工持股计划经</w:t>
      </w:r>
      <w:r>
        <w:rPr>
          <w:rFonts w:eastAsia="Times New Roman"/>
          <w:kern w:val="0"/>
          <w:sz w:val="21"/>
          <w:szCs w:val="24"/>
          <w:lang w:val="zh-CN"/>
        </w:rPr>
        <w:t>2014</w:t>
      </w:r>
      <w:r>
        <w:rPr>
          <w:rFonts w:hint="eastAsia" w:ascii="宋体" w:hAnsi="宋体" w:cs="宋体"/>
          <w:kern w:val="0"/>
          <w:sz w:val="21"/>
          <w:szCs w:val="24"/>
          <w:lang w:val="zh-CN"/>
        </w:rPr>
        <w:t>年</w:t>
      </w:r>
      <w:r>
        <w:rPr>
          <w:rFonts w:eastAsia="Times New Roman"/>
          <w:kern w:val="0"/>
          <w:sz w:val="21"/>
          <w:szCs w:val="24"/>
          <w:lang w:val="zh-CN"/>
        </w:rPr>
        <w:t>12</w:t>
      </w:r>
      <w:r>
        <w:rPr>
          <w:rFonts w:hint="eastAsia" w:ascii="宋体" w:hAnsi="宋体" w:cs="宋体"/>
          <w:kern w:val="0"/>
          <w:sz w:val="21"/>
          <w:szCs w:val="24"/>
          <w:lang w:val="zh-CN"/>
        </w:rPr>
        <w:t>月</w:t>
      </w:r>
      <w:r>
        <w:rPr>
          <w:rFonts w:eastAsia="Times New Roman"/>
          <w:kern w:val="0"/>
          <w:sz w:val="21"/>
          <w:szCs w:val="24"/>
          <w:lang w:val="zh-CN"/>
        </w:rPr>
        <w:t>17</w:t>
      </w:r>
      <w:r>
        <w:rPr>
          <w:rFonts w:hint="eastAsia" w:ascii="宋体" w:hAnsi="宋体" w:cs="宋体"/>
          <w:kern w:val="0"/>
          <w:sz w:val="21"/>
          <w:szCs w:val="24"/>
          <w:lang w:val="zh-CN"/>
        </w:rPr>
        <w:t>日召开的</w:t>
      </w:r>
      <w:r>
        <w:rPr>
          <w:rFonts w:eastAsia="Times New Roman"/>
          <w:kern w:val="0"/>
          <w:sz w:val="21"/>
          <w:szCs w:val="24"/>
          <w:lang w:val="zh-CN"/>
        </w:rPr>
        <w:t>2014</w:t>
      </w:r>
      <w:r>
        <w:rPr>
          <w:rFonts w:hint="eastAsia" w:ascii="宋体" w:hAnsi="宋体" w:cs="宋体"/>
          <w:kern w:val="0"/>
          <w:sz w:val="21"/>
          <w:szCs w:val="24"/>
          <w:lang w:val="zh-CN"/>
        </w:rPr>
        <w:t>年第二次临时股东大会审议通过，委托山东省国际信托有限公司管理并全额认购山东省国际信托有限公司设立的山东信托</w:t>
      </w:r>
      <w:r>
        <w:rPr>
          <w:rFonts w:eastAsia="Times New Roman"/>
          <w:kern w:val="0"/>
          <w:sz w:val="21"/>
          <w:szCs w:val="24"/>
          <w:lang w:val="zh-CN"/>
        </w:rPr>
        <w:t>-</w:t>
      </w:r>
      <w:r>
        <w:rPr>
          <w:rFonts w:hint="eastAsia" w:ascii="宋体" w:hAnsi="宋体" w:cs="宋体"/>
          <w:kern w:val="0"/>
          <w:sz w:val="21"/>
          <w:szCs w:val="24"/>
          <w:lang w:val="zh-CN"/>
        </w:rPr>
        <w:t>海兰信</w:t>
      </w:r>
      <w:r>
        <w:rPr>
          <w:rFonts w:eastAsia="Times New Roman"/>
          <w:kern w:val="0"/>
          <w:sz w:val="21"/>
          <w:szCs w:val="24"/>
          <w:lang w:val="zh-CN"/>
        </w:rPr>
        <w:t>1</w:t>
      </w:r>
      <w:r>
        <w:rPr>
          <w:rFonts w:hint="eastAsia" w:ascii="宋体" w:hAnsi="宋体" w:cs="宋体"/>
          <w:kern w:val="0"/>
          <w:sz w:val="21"/>
          <w:szCs w:val="24"/>
          <w:lang w:val="zh-CN"/>
        </w:rPr>
        <w:t>号集合资金信托计划的信托份额，以二级市场购买等法律法规许可的方式取得并持有标的股票。本员工持股计划筹集资金总额不超过</w:t>
      </w:r>
      <w:r>
        <w:rPr>
          <w:rFonts w:eastAsia="Times New Roman"/>
          <w:kern w:val="0"/>
          <w:sz w:val="21"/>
          <w:szCs w:val="24"/>
          <w:lang w:val="zh-CN"/>
        </w:rPr>
        <w:t xml:space="preserve">4,000 </w:t>
      </w:r>
      <w:r>
        <w:rPr>
          <w:rFonts w:hint="eastAsia" w:ascii="宋体" w:hAnsi="宋体" w:cs="宋体"/>
          <w:kern w:val="0"/>
          <w:sz w:val="21"/>
          <w:szCs w:val="24"/>
          <w:lang w:val="zh-CN"/>
        </w:rPr>
        <w:t>万元，资金来源为员工合法薪酬、自筹资金等。参加本员工持股计划的范围为公司董事、监事、高级管理人员、公司及下属子公司的正式员工，参加对象在公司或下属子公司全职工作，领取薪酬，并签订劳动合同。参加本员工持股计划的员工总人数不超过</w:t>
      </w:r>
      <w:r>
        <w:rPr>
          <w:rFonts w:eastAsia="Times New Roman"/>
          <w:kern w:val="0"/>
          <w:sz w:val="21"/>
          <w:szCs w:val="24"/>
          <w:lang w:val="zh-CN"/>
        </w:rPr>
        <w:t>30</w:t>
      </w:r>
      <w:r>
        <w:rPr>
          <w:rFonts w:hint="eastAsia" w:ascii="宋体" w:hAnsi="宋体" w:cs="宋体"/>
          <w:kern w:val="0"/>
          <w:sz w:val="21"/>
          <w:szCs w:val="24"/>
          <w:lang w:val="zh-CN"/>
        </w:rPr>
        <w:t>人，具体参加人数根据员工实际缴款情况确定。</w:t>
      </w:r>
    </w:p>
    <w:p>
      <w:pPr>
        <w:autoSpaceDE w:val="0"/>
        <w:autoSpaceDN w:val="0"/>
        <w:adjustRightInd w:val="0"/>
        <w:spacing w:before="0" w:after="0"/>
        <w:ind w:firstLine="420"/>
        <w:jc w:val="left"/>
        <w:rPr>
          <w:rFonts w:eastAsia="Times New Roman"/>
          <w:kern w:val="0"/>
          <w:sz w:val="21"/>
          <w:szCs w:val="24"/>
          <w:lang w:val="zh-CN"/>
        </w:rPr>
      </w:pPr>
      <w:r>
        <w:rPr>
          <w:rFonts w:hint="eastAsia" w:ascii="宋体" w:hAnsi="宋体" w:cs="宋体"/>
          <w:kern w:val="0"/>
          <w:sz w:val="21"/>
          <w:szCs w:val="24"/>
          <w:lang w:val="zh-CN"/>
        </w:rPr>
        <w:t>截至</w:t>
      </w:r>
      <w:r>
        <w:rPr>
          <w:rFonts w:eastAsia="Times New Roman"/>
          <w:kern w:val="0"/>
          <w:sz w:val="21"/>
          <w:szCs w:val="24"/>
          <w:lang w:val="zh-CN"/>
        </w:rPr>
        <w:t>2014</w:t>
      </w:r>
      <w:r>
        <w:rPr>
          <w:rFonts w:hint="eastAsia" w:ascii="宋体" w:hAnsi="宋体" w:cs="宋体"/>
          <w:kern w:val="0"/>
          <w:sz w:val="21"/>
          <w:szCs w:val="24"/>
          <w:lang w:val="zh-CN"/>
        </w:rPr>
        <w:t>年</w:t>
      </w:r>
      <w:r>
        <w:rPr>
          <w:rFonts w:eastAsia="Times New Roman"/>
          <w:kern w:val="0"/>
          <w:sz w:val="21"/>
          <w:szCs w:val="24"/>
          <w:lang w:val="zh-CN"/>
        </w:rPr>
        <w:t>12</w:t>
      </w:r>
      <w:r>
        <w:rPr>
          <w:rFonts w:hint="eastAsia" w:ascii="宋体" w:hAnsi="宋体" w:cs="宋体"/>
          <w:kern w:val="0"/>
          <w:sz w:val="21"/>
          <w:szCs w:val="24"/>
          <w:lang w:val="zh-CN"/>
        </w:rPr>
        <w:t>月</w:t>
      </w:r>
      <w:r>
        <w:rPr>
          <w:rFonts w:eastAsia="Times New Roman"/>
          <w:kern w:val="0"/>
          <w:sz w:val="21"/>
          <w:szCs w:val="24"/>
          <w:lang w:val="zh-CN"/>
        </w:rPr>
        <w:t>29</w:t>
      </w:r>
      <w:r>
        <w:rPr>
          <w:rFonts w:hint="eastAsia" w:ascii="宋体" w:hAnsi="宋体" w:cs="宋体"/>
          <w:kern w:val="0"/>
          <w:sz w:val="21"/>
          <w:szCs w:val="24"/>
          <w:lang w:val="zh-CN"/>
        </w:rPr>
        <w:t>日，公司员工持股计划管理人山东省国际信托有限公司于</w:t>
      </w:r>
      <w:r>
        <w:rPr>
          <w:rFonts w:eastAsia="Times New Roman"/>
          <w:kern w:val="0"/>
          <w:sz w:val="21"/>
          <w:szCs w:val="24"/>
          <w:lang w:val="zh-CN"/>
        </w:rPr>
        <w:t>2014</w:t>
      </w:r>
      <w:r>
        <w:rPr>
          <w:rFonts w:hint="eastAsia" w:ascii="宋体" w:hAnsi="宋体" w:cs="宋体"/>
          <w:kern w:val="0"/>
          <w:sz w:val="21"/>
          <w:szCs w:val="24"/>
          <w:lang w:val="zh-CN"/>
        </w:rPr>
        <w:t>年</w:t>
      </w:r>
      <w:r>
        <w:rPr>
          <w:rFonts w:eastAsia="Times New Roman"/>
          <w:kern w:val="0"/>
          <w:sz w:val="21"/>
          <w:szCs w:val="24"/>
          <w:lang w:val="zh-CN"/>
        </w:rPr>
        <w:t>12</w:t>
      </w:r>
      <w:r>
        <w:rPr>
          <w:rFonts w:hint="eastAsia" w:ascii="宋体" w:hAnsi="宋体" w:cs="宋体"/>
          <w:kern w:val="0"/>
          <w:sz w:val="21"/>
          <w:szCs w:val="24"/>
          <w:lang w:val="zh-CN"/>
        </w:rPr>
        <w:t>月</w:t>
      </w:r>
      <w:r>
        <w:rPr>
          <w:rFonts w:eastAsia="Times New Roman"/>
          <w:kern w:val="0"/>
          <w:sz w:val="21"/>
          <w:szCs w:val="24"/>
          <w:lang w:val="zh-CN"/>
        </w:rPr>
        <w:t>19</w:t>
      </w:r>
      <w:r>
        <w:rPr>
          <w:rFonts w:hint="eastAsia" w:ascii="宋体" w:hAnsi="宋体" w:cs="宋体"/>
          <w:kern w:val="0"/>
          <w:sz w:val="21"/>
          <w:szCs w:val="24"/>
          <w:lang w:val="zh-CN"/>
        </w:rPr>
        <w:t>日</w:t>
      </w:r>
      <w:r>
        <w:rPr>
          <w:rFonts w:eastAsia="Times New Roman"/>
          <w:kern w:val="0"/>
          <w:sz w:val="21"/>
          <w:szCs w:val="24"/>
          <w:lang w:val="zh-CN"/>
        </w:rPr>
        <w:t>- 2014</w:t>
      </w:r>
      <w:r>
        <w:rPr>
          <w:rFonts w:hint="eastAsia" w:ascii="宋体" w:hAnsi="宋体" w:cs="宋体"/>
          <w:kern w:val="0"/>
          <w:sz w:val="21"/>
          <w:szCs w:val="24"/>
          <w:lang w:val="zh-CN"/>
        </w:rPr>
        <w:t>年</w:t>
      </w:r>
      <w:r>
        <w:rPr>
          <w:rFonts w:eastAsia="Times New Roman"/>
          <w:kern w:val="0"/>
          <w:sz w:val="21"/>
          <w:szCs w:val="24"/>
          <w:lang w:val="zh-CN"/>
        </w:rPr>
        <w:t>12</w:t>
      </w:r>
      <w:r>
        <w:rPr>
          <w:rFonts w:hint="eastAsia" w:ascii="宋体" w:hAnsi="宋体" w:cs="宋体"/>
          <w:kern w:val="0"/>
          <w:sz w:val="21"/>
          <w:szCs w:val="24"/>
          <w:lang w:val="zh-CN"/>
        </w:rPr>
        <w:t>月</w:t>
      </w:r>
      <w:r>
        <w:rPr>
          <w:rFonts w:eastAsia="Times New Roman"/>
          <w:kern w:val="0"/>
          <w:sz w:val="21"/>
          <w:szCs w:val="24"/>
          <w:lang w:val="zh-CN"/>
        </w:rPr>
        <w:t>29</w:t>
      </w:r>
      <w:r>
        <w:rPr>
          <w:rFonts w:hint="eastAsia" w:ascii="宋体" w:hAnsi="宋体" w:cs="宋体"/>
          <w:kern w:val="0"/>
          <w:sz w:val="21"/>
          <w:szCs w:val="24"/>
          <w:lang w:val="zh-CN"/>
        </w:rPr>
        <w:t>日期间通过深圳证券交易所竞价交易的方式购买海兰信股票共计</w:t>
      </w:r>
      <w:r>
        <w:rPr>
          <w:rFonts w:eastAsia="Times New Roman"/>
          <w:kern w:val="0"/>
          <w:sz w:val="21"/>
          <w:szCs w:val="24"/>
          <w:lang w:val="zh-CN"/>
        </w:rPr>
        <w:t xml:space="preserve">2,111,900 </w:t>
      </w:r>
      <w:r>
        <w:rPr>
          <w:rFonts w:hint="eastAsia" w:ascii="宋体" w:hAnsi="宋体" w:cs="宋体"/>
          <w:kern w:val="0"/>
          <w:sz w:val="21"/>
          <w:szCs w:val="24"/>
          <w:lang w:val="zh-CN"/>
        </w:rPr>
        <w:t>股，占其时公司总股本的比例为</w:t>
      </w:r>
      <w:r>
        <w:rPr>
          <w:rFonts w:eastAsia="Times New Roman"/>
          <w:kern w:val="0"/>
          <w:sz w:val="21"/>
          <w:szCs w:val="24"/>
          <w:lang w:val="zh-CN"/>
        </w:rPr>
        <w:t>1.0032%</w:t>
      </w:r>
      <w:r>
        <w:rPr>
          <w:rFonts w:hint="eastAsia" w:ascii="宋体" w:hAnsi="宋体" w:cs="宋体"/>
          <w:kern w:val="0"/>
          <w:sz w:val="21"/>
          <w:szCs w:val="24"/>
          <w:lang w:val="zh-CN"/>
        </w:rPr>
        <w:t>，购买均价为</w:t>
      </w:r>
      <w:r>
        <w:rPr>
          <w:rFonts w:eastAsia="Times New Roman"/>
          <w:kern w:val="0"/>
          <w:sz w:val="21"/>
          <w:szCs w:val="24"/>
          <w:lang w:val="zh-CN"/>
        </w:rPr>
        <w:t>17.757</w:t>
      </w:r>
      <w:r>
        <w:rPr>
          <w:rFonts w:hint="eastAsia" w:ascii="宋体" w:hAnsi="宋体" w:cs="宋体"/>
          <w:kern w:val="0"/>
          <w:sz w:val="21"/>
          <w:szCs w:val="24"/>
          <w:lang w:val="zh-CN"/>
        </w:rPr>
        <w:t>元</w:t>
      </w:r>
      <w:r>
        <w:rPr>
          <w:rFonts w:eastAsia="Times New Roman"/>
          <w:kern w:val="0"/>
          <w:sz w:val="21"/>
          <w:szCs w:val="24"/>
          <w:lang w:val="zh-CN"/>
        </w:rPr>
        <w:t>/</w:t>
      </w:r>
      <w:r>
        <w:rPr>
          <w:rFonts w:hint="eastAsia" w:ascii="宋体" w:hAnsi="宋体" w:cs="宋体"/>
          <w:kern w:val="0"/>
          <w:sz w:val="21"/>
          <w:szCs w:val="24"/>
          <w:lang w:val="zh-CN"/>
        </w:rPr>
        <w:t>股。该计划所购买的股票锁定期为</w:t>
      </w:r>
      <w:r>
        <w:rPr>
          <w:rFonts w:eastAsia="Times New Roman"/>
          <w:kern w:val="0"/>
          <w:sz w:val="21"/>
          <w:szCs w:val="24"/>
          <w:lang w:val="zh-CN"/>
        </w:rPr>
        <w:t>2014</w:t>
      </w:r>
      <w:r>
        <w:rPr>
          <w:rFonts w:hint="eastAsia" w:ascii="宋体" w:hAnsi="宋体" w:cs="宋体"/>
          <w:kern w:val="0"/>
          <w:sz w:val="21"/>
          <w:szCs w:val="24"/>
          <w:lang w:val="zh-CN"/>
        </w:rPr>
        <w:t>年</w:t>
      </w:r>
      <w:r>
        <w:rPr>
          <w:rFonts w:eastAsia="Times New Roman"/>
          <w:kern w:val="0"/>
          <w:sz w:val="21"/>
          <w:szCs w:val="24"/>
          <w:lang w:val="zh-CN"/>
        </w:rPr>
        <w:t>12</w:t>
      </w:r>
      <w:r>
        <w:rPr>
          <w:rFonts w:hint="eastAsia" w:ascii="宋体" w:hAnsi="宋体" w:cs="宋体"/>
          <w:kern w:val="0"/>
          <w:sz w:val="21"/>
          <w:szCs w:val="24"/>
          <w:lang w:val="zh-CN"/>
        </w:rPr>
        <w:t>月</w:t>
      </w:r>
      <w:r>
        <w:rPr>
          <w:rFonts w:eastAsia="Times New Roman"/>
          <w:kern w:val="0"/>
          <w:sz w:val="21"/>
          <w:szCs w:val="24"/>
          <w:lang w:val="zh-CN"/>
        </w:rPr>
        <w:t>30</w:t>
      </w:r>
      <w:r>
        <w:rPr>
          <w:rFonts w:hint="eastAsia" w:ascii="宋体" w:hAnsi="宋体" w:cs="宋体"/>
          <w:kern w:val="0"/>
          <w:sz w:val="21"/>
          <w:szCs w:val="24"/>
          <w:lang w:val="zh-CN"/>
        </w:rPr>
        <w:t>日至</w:t>
      </w:r>
      <w:r>
        <w:rPr>
          <w:rFonts w:eastAsia="Times New Roman"/>
          <w:kern w:val="0"/>
          <w:sz w:val="21"/>
          <w:szCs w:val="24"/>
          <w:lang w:val="zh-CN"/>
        </w:rPr>
        <w:t>2015</w:t>
      </w:r>
      <w:r>
        <w:rPr>
          <w:rFonts w:hint="eastAsia" w:ascii="宋体" w:hAnsi="宋体" w:cs="宋体"/>
          <w:kern w:val="0"/>
          <w:sz w:val="21"/>
          <w:szCs w:val="24"/>
          <w:lang w:val="zh-CN"/>
        </w:rPr>
        <w:t>年</w:t>
      </w:r>
      <w:r>
        <w:rPr>
          <w:rFonts w:eastAsia="Times New Roman"/>
          <w:kern w:val="0"/>
          <w:sz w:val="21"/>
          <w:szCs w:val="24"/>
          <w:lang w:val="zh-CN"/>
        </w:rPr>
        <w:t>12</w:t>
      </w:r>
      <w:r>
        <w:rPr>
          <w:rFonts w:hint="eastAsia" w:ascii="宋体" w:hAnsi="宋体" w:cs="宋体"/>
          <w:kern w:val="0"/>
          <w:sz w:val="21"/>
          <w:szCs w:val="24"/>
          <w:lang w:val="zh-CN"/>
        </w:rPr>
        <w:t>月</w:t>
      </w:r>
      <w:r>
        <w:rPr>
          <w:rFonts w:eastAsia="Times New Roman"/>
          <w:kern w:val="0"/>
          <w:sz w:val="21"/>
          <w:szCs w:val="24"/>
          <w:lang w:val="zh-CN"/>
        </w:rPr>
        <w:t>30</w:t>
      </w:r>
      <w:r>
        <w:rPr>
          <w:rFonts w:hint="eastAsia" w:ascii="宋体" w:hAnsi="宋体" w:cs="宋体"/>
          <w:kern w:val="0"/>
          <w:sz w:val="21"/>
          <w:szCs w:val="24"/>
          <w:lang w:val="zh-CN"/>
        </w:rPr>
        <w:t>日。目前第一期员工持股计划已于</w:t>
      </w:r>
      <w:r>
        <w:rPr>
          <w:rFonts w:eastAsia="Times New Roman"/>
          <w:kern w:val="0"/>
          <w:sz w:val="21"/>
          <w:szCs w:val="24"/>
          <w:lang w:val="zh-CN"/>
        </w:rPr>
        <w:t>2015</w:t>
      </w:r>
      <w:r>
        <w:rPr>
          <w:rFonts w:hint="eastAsia" w:ascii="宋体" w:hAnsi="宋体" w:cs="宋体"/>
          <w:kern w:val="0"/>
          <w:sz w:val="21"/>
          <w:szCs w:val="24"/>
          <w:lang w:val="zh-CN"/>
        </w:rPr>
        <w:t>年</w:t>
      </w:r>
      <w:r>
        <w:rPr>
          <w:rFonts w:eastAsia="Times New Roman"/>
          <w:kern w:val="0"/>
          <w:sz w:val="21"/>
          <w:szCs w:val="24"/>
          <w:lang w:val="zh-CN"/>
        </w:rPr>
        <w:t>12</w:t>
      </w:r>
      <w:r>
        <w:rPr>
          <w:rFonts w:hint="eastAsia" w:ascii="宋体" w:hAnsi="宋体" w:cs="宋体"/>
          <w:kern w:val="0"/>
          <w:sz w:val="21"/>
          <w:szCs w:val="24"/>
          <w:lang w:val="zh-CN"/>
        </w:rPr>
        <w:t>月</w:t>
      </w:r>
      <w:r>
        <w:rPr>
          <w:rFonts w:eastAsia="Times New Roman"/>
          <w:kern w:val="0"/>
          <w:sz w:val="21"/>
          <w:szCs w:val="24"/>
          <w:lang w:val="zh-CN"/>
        </w:rPr>
        <w:t>30</w:t>
      </w:r>
      <w:r>
        <w:rPr>
          <w:rFonts w:hint="eastAsia" w:ascii="宋体" w:hAnsi="宋体" w:cs="宋体"/>
          <w:kern w:val="0"/>
          <w:sz w:val="21"/>
          <w:szCs w:val="24"/>
          <w:lang w:val="zh-CN"/>
        </w:rPr>
        <w:t>日解锁。</w:t>
      </w:r>
    </w:p>
    <w:p>
      <w:pPr>
        <w:autoSpaceDE w:val="0"/>
        <w:autoSpaceDN w:val="0"/>
        <w:adjustRightInd w:val="0"/>
        <w:spacing w:before="0" w:after="0"/>
        <w:ind w:firstLine="420"/>
        <w:jc w:val="left"/>
        <w:rPr>
          <w:rFonts w:eastAsia="Times New Roman"/>
          <w:kern w:val="0"/>
          <w:sz w:val="21"/>
          <w:szCs w:val="24"/>
          <w:lang w:val="zh-CN"/>
        </w:rPr>
      </w:pPr>
      <w:r>
        <w:rPr>
          <w:rFonts w:eastAsia="Times New Roman"/>
          <w:kern w:val="0"/>
          <w:sz w:val="21"/>
          <w:szCs w:val="24"/>
          <w:lang w:val="zh-CN"/>
        </w:rPr>
        <w:t>2</w:t>
      </w:r>
      <w:r>
        <w:rPr>
          <w:rFonts w:hint="eastAsia" w:ascii="宋体" w:hAnsi="宋体" w:cs="宋体"/>
          <w:kern w:val="0"/>
          <w:sz w:val="21"/>
          <w:szCs w:val="24"/>
          <w:lang w:val="zh-CN"/>
        </w:rPr>
        <w:t>、公司第二期员工持股计划经</w:t>
      </w:r>
      <w:r>
        <w:rPr>
          <w:rFonts w:eastAsia="Times New Roman"/>
          <w:kern w:val="0"/>
          <w:sz w:val="21"/>
          <w:szCs w:val="24"/>
          <w:lang w:val="zh-CN"/>
        </w:rPr>
        <w:t>2015</w:t>
      </w:r>
      <w:r>
        <w:rPr>
          <w:rFonts w:hint="eastAsia" w:ascii="宋体" w:hAnsi="宋体" w:cs="宋体"/>
          <w:kern w:val="0"/>
          <w:sz w:val="21"/>
          <w:szCs w:val="24"/>
          <w:lang w:val="zh-CN"/>
        </w:rPr>
        <w:t>年</w:t>
      </w:r>
      <w:r>
        <w:rPr>
          <w:rFonts w:eastAsia="Times New Roman"/>
          <w:kern w:val="0"/>
          <w:sz w:val="21"/>
          <w:szCs w:val="24"/>
          <w:lang w:val="zh-CN"/>
        </w:rPr>
        <w:t>7</w:t>
      </w:r>
      <w:r>
        <w:rPr>
          <w:rFonts w:hint="eastAsia" w:ascii="宋体" w:hAnsi="宋体" w:cs="宋体"/>
          <w:kern w:val="0"/>
          <w:sz w:val="21"/>
          <w:szCs w:val="24"/>
          <w:lang w:val="zh-CN"/>
        </w:rPr>
        <w:t>月</w:t>
      </w:r>
      <w:r>
        <w:rPr>
          <w:rFonts w:eastAsia="Times New Roman"/>
          <w:kern w:val="0"/>
          <w:sz w:val="21"/>
          <w:szCs w:val="24"/>
          <w:lang w:val="zh-CN"/>
        </w:rPr>
        <w:t>29</w:t>
      </w:r>
      <w:r>
        <w:rPr>
          <w:rFonts w:hint="eastAsia" w:ascii="宋体" w:hAnsi="宋体" w:cs="宋体"/>
          <w:kern w:val="0"/>
          <w:sz w:val="21"/>
          <w:szCs w:val="24"/>
          <w:lang w:val="zh-CN"/>
        </w:rPr>
        <w:t>日召开的</w:t>
      </w:r>
      <w:r>
        <w:rPr>
          <w:rFonts w:eastAsia="Times New Roman"/>
          <w:kern w:val="0"/>
          <w:sz w:val="21"/>
          <w:szCs w:val="24"/>
          <w:lang w:val="zh-CN"/>
        </w:rPr>
        <w:t>2015</w:t>
      </w:r>
      <w:r>
        <w:rPr>
          <w:rFonts w:hint="eastAsia" w:ascii="宋体" w:hAnsi="宋体" w:cs="宋体"/>
          <w:kern w:val="0"/>
          <w:sz w:val="21"/>
          <w:szCs w:val="24"/>
          <w:lang w:val="zh-CN"/>
        </w:rPr>
        <w:t>年第一次临时股东大会审议通过，委托北信瑞丰基金管理有限公司管理并全额认购北信瑞丰基金管理有限公司设立的北信瑞丰基金海兰信</w:t>
      </w:r>
      <w:r>
        <w:rPr>
          <w:rFonts w:eastAsia="Times New Roman"/>
          <w:kern w:val="0"/>
          <w:sz w:val="21"/>
          <w:szCs w:val="24"/>
          <w:lang w:val="zh-CN"/>
        </w:rPr>
        <w:t xml:space="preserve"> 2 </w:t>
      </w:r>
      <w:r>
        <w:rPr>
          <w:rFonts w:hint="eastAsia" w:ascii="宋体" w:hAnsi="宋体" w:cs="宋体"/>
          <w:kern w:val="0"/>
          <w:sz w:val="21"/>
          <w:szCs w:val="24"/>
          <w:lang w:val="zh-CN"/>
        </w:rPr>
        <w:t>号资产管理计划的基金份额，以二级市场购买等法律法规许可的方式取得并持有公司股票。本员工持股计划筹集资金总额不超过</w:t>
      </w:r>
      <w:r>
        <w:rPr>
          <w:rFonts w:eastAsia="Times New Roman"/>
          <w:kern w:val="0"/>
          <w:sz w:val="21"/>
          <w:szCs w:val="24"/>
          <w:lang w:val="zh-CN"/>
        </w:rPr>
        <w:t xml:space="preserve">3,000 </w:t>
      </w:r>
      <w:r>
        <w:rPr>
          <w:rFonts w:hint="eastAsia" w:ascii="宋体" w:hAnsi="宋体" w:cs="宋体"/>
          <w:kern w:val="0"/>
          <w:sz w:val="21"/>
          <w:szCs w:val="24"/>
          <w:lang w:val="zh-CN"/>
        </w:rPr>
        <w:t>万元，资金来源为公司第一大股东提供。参加本员工持股计划的范围为公司董事、监事、高级管理人员、公司及下属子公司的正式员工，参加对象在公司或下属子公司全职工作，领取薪酬，并签订劳动合同。参加本员工持股计划的员工总人数不超过</w:t>
      </w:r>
      <w:r>
        <w:rPr>
          <w:rFonts w:eastAsia="Times New Roman"/>
          <w:kern w:val="0"/>
          <w:sz w:val="21"/>
          <w:szCs w:val="24"/>
          <w:lang w:val="zh-CN"/>
        </w:rPr>
        <w:t>30</w:t>
      </w:r>
      <w:r>
        <w:rPr>
          <w:rFonts w:hint="eastAsia" w:ascii="宋体" w:hAnsi="宋体" w:cs="宋体"/>
          <w:kern w:val="0"/>
          <w:sz w:val="21"/>
          <w:szCs w:val="24"/>
          <w:lang w:val="zh-CN"/>
        </w:rPr>
        <w:t>人，具体参加人数根据员工实际缴款情况确定。</w:t>
      </w:r>
    </w:p>
    <w:p>
      <w:pPr>
        <w:autoSpaceDE w:val="0"/>
        <w:autoSpaceDN w:val="0"/>
        <w:adjustRightInd w:val="0"/>
        <w:spacing w:before="0" w:after="0"/>
        <w:ind w:firstLine="420"/>
        <w:jc w:val="left"/>
        <w:rPr>
          <w:rFonts w:eastAsia="Times New Roman"/>
          <w:kern w:val="0"/>
          <w:sz w:val="21"/>
          <w:szCs w:val="24"/>
          <w:lang w:val="zh-CN"/>
        </w:rPr>
      </w:pPr>
      <w:r>
        <w:rPr>
          <w:rFonts w:hint="eastAsia" w:ascii="宋体" w:hAnsi="宋体" w:cs="宋体"/>
          <w:kern w:val="0"/>
          <w:sz w:val="21"/>
          <w:szCs w:val="24"/>
          <w:lang w:val="zh-CN"/>
        </w:rPr>
        <w:t>截至</w:t>
      </w:r>
      <w:r>
        <w:rPr>
          <w:rFonts w:eastAsia="Times New Roman"/>
          <w:kern w:val="0"/>
          <w:sz w:val="21"/>
          <w:szCs w:val="24"/>
          <w:lang w:val="zh-CN"/>
        </w:rPr>
        <w:t>2015</w:t>
      </w:r>
      <w:r>
        <w:rPr>
          <w:rFonts w:hint="eastAsia" w:ascii="宋体" w:hAnsi="宋体" w:cs="宋体"/>
          <w:kern w:val="0"/>
          <w:sz w:val="21"/>
          <w:szCs w:val="24"/>
          <w:lang w:val="zh-CN"/>
        </w:rPr>
        <w:t>年</w:t>
      </w:r>
      <w:r>
        <w:rPr>
          <w:rFonts w:eastAsia="Times New Roman"/>
          <w:kern w:val="0"/>
          <w:sz w:val="21"/>
          <w:szCs w:val="24"/>
          <w:lang w:val="zh-CN"/>
        </w:rPr>
        <w:t>9</w:t>
      </w:r>
      <w:r>
        <w:rPr>
          <w:rFonts w:hint="eastAsia" w:ascii="宋体" w:hAnsi="宋体" w:cs="宋体"/>
          <w:kern w:val="0"/>
          <w:sz w:val="21"/>
          <w:szCs w:val="24"/>
          <w:lang w:val="zh-CN"/>
        </w:rPr>
        <w:t>月</w:t>
      </w:r>
      <w:r>
        <w:rPr>
          <w:rFonts w:eastAsia="Times New Roman"/>
          <w:kern w:val="0"/>
          <w:sz w:val="21"/>
          <w:szCs w:val="24"/>
          <w:lang w:val="zh-CN"/>
        </w:rPr>
        <w:t>2</w:t>
      </w:r>
      <w:r>
        <w:rPr>
          <w:rFonts w:hint="eastAsia" w:ascii="宋体" w:hAnsi="宋体" w:cs="宋体"/>
          <w:kern w:val="0"/>
          <w:sz w:val="21"/>
          <w:szCs w:val="24"/>
          <w:lang w:val="zh-CN"/>
        </w:rPr>
        <w:t>日，公司第二期员工持股计划管理人北信瑞丰基金管理有限公司于</w:t>
      </w:r>
      <w:r>
        <w:rPr>
          <w:rFonts w:eastAsia="Times New Roman"/>
          <w:kern w:val="0"/>
          <w:sz w:val="21"/>
          <w:szCs w:val="24"/>
          <w:lang w:val="zh-CN"/>
        </w:rPr>
        <w:t xml:space="preserve"> 2015</w:t>
      </w:r>
      <w:r>
        <w:rPr>
          <w:rFonts w:hint="eastAsia" w:ascii="宋体" w:hAnsi="宋体" w:cs="宋体"/>
          <w:kern w:val="0"/>
          <w:sz w:val="21"/>
          <w:szCs w:val="24"/>
          <w:lang w:val="zh-CN"/>
        </w:rPr>
        <w:t>年</w:t>
      </w:r>
      <w:r>
        <w:rPr>
          <w:rFonts w:eastAsia="Times New Roman"/>
          <w:kern w:val="0"/>
          <w:sz w:val="21"/>
          <w:szCs w:val="24"/>
          <w:lang w:val="zh-CN"/>
        </w:rPr>
        <w:t>8</w:t>
      </w:r>
      <w:r>
        <w:rPr>
          <w:rFonts w:hint="eastAsia" w:ascii="宋体" w:hAnsi="宋体" w:cs="宋体"/>
          <w:kern w:val="0"/>
          <w:sz w:val="21"/>
          <w:szCs w:val="24"/>
          <w:lang w:val="zh-CN"/>
        </w:rPr>
        <w:t>月</w:t>
      </w:r>
      <w:r>
        <w:rPr>
          <w:rFonts w:eastAsia="Times New Roman"/>
          <w:kern w:val="0"/>
          <w:sz w:val="21"/>
          <w:szCs w:val="24"/>
          <w:lang w:val="zh-CN"/>
        </w:rPr>
        <w:t>27</w:t>
      </w:r>
      <w:r>
        <w:rPr>
          <w:rFonts w:hint="eastAsia" w:ascii="宋体" w:hAnsi="宋体" w:cs="宋体"/>
          <w:kern w:val="0"/>
          <w:sz w:val="21"/>
          <w:szCs w:val="24"/>
          <w:lang w:val="zh-CN"/>
        </w:rPr>
        <w:t>日</w:t>
      </w:r>
      <w:r>
        <w:rPr>
          <w:rFonts w:eastAsia="Times New Roman"/>
          <w:kern w:val="0"/>
          <w:sz w:val="21"/>
          <w:szCs w:val="24"/>
          <w:lang w:val="zh-CN"/>
        </w:rPr>
        <w:t>-2015</w:t>
      </w:r>
      <w:r>
        <w:rPr>
          <w:rFonts w:hint="eastAsia" w:ascii="宋体" w:hAnsi="宋体" w:cs="宋体"/>
          <w:kern w:val="0"/>
          <w:sz w:val="21"/>
          <w:szCs w:val="24"/>
          <w:lang w:val="zh-CN"/>
        </w:rPr>
        <w:t>年</w:t>
      </w:r>
      <w:r>
        <w:rPr>
          <w:rFonts w:eastAsia="Times New Roman"/>
          <w:kern w:val="0"/>
          <w:sz w:val="21"/>
          <w:szCs w:val="24"/>
          <w:lang w:val="zh-CN"/>
        </w:rPr>
        <w:t>9</w:t>
      </w:r>
      <w:r>
        <w:rPr>
          <w:rFonts w:hint="eastAsia" w:ascii="宋体" w:hAnsi="宋体" w:cs="宋体"/>
          <w:kern w:val="0"/>
          <w:sz w:val="21"/>
          <w:szCs w:val="24"/>
          <w:lang w:val="zh-CN"/>
        </w:rPr>
        <w:t>月</w:t>
      </w:r>
      <w:r>
        <w:rPr>
          <w:rFonts w:eastAsia="Times New Roman"/>
          <w:kern w:val="0"/>
          <w:sz w:val="21"/>
          <w:szCs w:val="24"/>
          <w:lang w:val="zh-CN"/>
        </w:rPr>
        <w:t>2</w:t>
      </w:r>
      <w:r>
        <w:rPr>
          <w:rFonts w:hint="eastAsia" w:ascii="宋体" w:hAnsi="宋体" w:cs="宋体"/>
          <w:kern w:val="0"/>
          <w:sz w:val="21"/>
          <w:szCs w:val="24"/>
          <w:lang w:val="zh-CN"/>
        </w:rPr>
        <w:t>日期间通过深圳证券交易所竞价交易的方式购买海兰信股票共计</w:t>
      </w:r>
      <w:r>
        <w:rPr>
          <w:rFonts w:eastAsia="Times New Roman"/>
          <w:kern w:val="0"/>
          <w:sz w:val="21"/>
          <w:szCs w:val="24"/>
          <w:lang w:val="zh-CN"/>
        </w:rPr>
        <w:t>1,722,700</w:t>
      </w:r>
      <w:r>
        <w:rPr>
          <w:rFonts w:hint="eastAsia" w:ascii="宋体" w:hAnsi="宋体" w:cs="宋体"/>
          <w:kern w:val="0"/>
          <w:sz w:val="21"/>
          <w:szCs w:val="24"/>
          <w:lang w:val="zh-CN"/>
        </w:rPr>
        <w:t>股，占其时公司总股本的比例为</w:t>
      </w:r>
      <w:r>
        <w:rPr>
          <w:rFonts w:eastAsia="Times New Roman"/>
          <w:kern w:val="0"/>
          <w:sz w:val="21"/>
          <w:szCs w:val="24"/>
          <w:lang w:val="zh-CN"/>
        </w:rPr>
        <w:t>0.8184%</w:t>
      </w:r>
      <w:r>
        <w:rPr>
          <w:rFonts w:hint="eastAsia" w:ascii="宋体" w:hAnsi="宋体" w:cs="宋体"/>
          <w:kern w:val="0"/>
          <w:sz w:val="21"/>
          <w:szCs w:val="24"/>
          <w:lang w:val="zh-CN"/>
        </w:rPr>
        <w:t>，购买均价为</w:t>
      </w:r>
      <w:r>
        <w:rPr>
          <w:rFonts w:eastAsia="Times New Roman"/>
          <w:kern w:val="0"/>
          <w:sz w:val="21"/>
          <w:szCs w:val="24"/>
          <w:lang w:val="zh-CN"/>
        </w:rPr>
        <w:t>17.34</w:t>
      </w:r>
      <w:r>
        <w:rPr>
          <w:rFonts w:hint="eastAsia" w:ascii="宋体" w:hAnsi="宋体" w:cs="宋体"/>
          <w:kern w:val="0"/>
          <w:sz w:val="21"/>
          <w:szCs w:val="24"/>
          <w:lang w:val="zh-CN"/>
        </w:rPr>
        <w:t>元</w:t>
      </w:r>
      <w:r>
        <w:rPr>
          <w:rFonts w:eastAsia="Times New Roman"/>
          <w:kern w:val="0"/>
          <w:sz w:val="21"/>
          <w:szCs w:val="24"/>
          <w:lang w:val="zh-CN"/>
        </w:rPr>
        <w:t>/</w:t>
      </w:r>
      <w:r>
        <w:rPr>
          <w:rFonts w:hint="eastAsia" w:ascii="宋体" w:hAnsi="宋体" w:cs="宋体"/>
          <w:kern w:val="0"/>
          <w:sz w:val="21"/>
          <w:szCs w:val="24"/>
          <w:lang w:val="zh-CN"/>
        </w:rPr>
        <w:t>股。该计划所购买的股票锁定期为</w:t>
      </w:r>
      <w:r>
        <w:rPr>
          <w:rFonts w:eastAsia="Times New Roman"/>
          <w:kern w:val="0"/>
          <w:sz w:val="21"/>
          <w:szCs w:val="24"/>
          <w:lang w:val="zh-CN"/>
        </w:rPr>
        <w:t xml:space="preserve"> 2015</w:t>
      </w:r>
      <w:r>
        <w:rPr>
          <w:rFonts w:hint="eastAsia" w:ascii="宋体" w:hAnsi="宋体" w:cs="宋体"/>
          <w:kern w:val="0"/>
          <w:sz w:val="21"/>
          <w:szCs w:val="24"/>
          <w:lang w:val="zh-CN"/>
        </w:rPr>
        <w:t>年</w:t>
      </w:r>
      <w:r>
        <w:rPr>
          <w:rFonts w:eastAsia="Times New Roman"/>
          <w:kern w:val="0"/>
          <w:sz w:val="21"/>
          <w:szCs w:val="24"/>
          <w:lang w:val="zh-CN"/>
        </w:rPr>
        <w:t>9</w:t>
      </w:r>
      <w:r>
        <w:rPr>
          <w:rFonts w:hint="eastAsia" w:ascii="宋体" w:hAnsi="宋体" w:cs="宋体"/>
          <w:kern w:val="0"/>
          <w:sz w:val="21"/>
          <w:szCs w:val="24"/>
          <w:lang w:val="zh-CN"/>
        </w:rPr>
        <w:t>月</w:t>
      </w:r>
      <w:r>
        <w:rPr>
          <w:rFonts w:eastAsia="Times New Roman"/>
          <w:kern w:val="0"/>
          <w:sz w:val="21"/>
          <w:szCs w:val="24"/>
          <w:lang w:val="zh-CN"/>
        </w:rPr>
        <w:t>3</w:t>
      </w:r>
      <w:r>
        <w:rPr>
          <w:rFonts w:hint="eastAsia" w:ascii="宋体" w:hAnsi="宋体" w:cs="宋体"/>
          <w:kern w:val="0"/>
          <w:sz w:val="21"/>
          <w:szCs w:val="24"/>
          <w:lang w:val="zh-CN"/>
        </w:rPr>
        <w:t>日至</w:t>
      </w:r>
      <w:r>
        <w:rPr>
          <w:rFonts w:eastAsia="Times New Roman"/>
          <w:kern w:val="0"/>
          <w:sz w:val="21"/>
          <w:szCs w:val="24"/>
          <w:lang w:val="zh-CN"/>
        </w:rPr>
        <w:t>2016</w:t>
      </w:r>
      <w:r>
        <w:rPr>
          <w:rFonts w:hint="eastAsia" w:ascii="宋体" w:hAnsi="宋体" w:cs="宋体"/>
          <w:kern w:val="0"/>
          <w:sz w:val="21"/>
          <w:szCs w:val="24"/>
          <w:lang w:val="zh-CN"/>
        </w:rPr>
        <w:t>年</w:t>
      </w:r>
      <w:r>
        <w:rPr>
          <w:rFonts w:eastAsia="Times New Roman"/>
          <w:kern w:val="0"/>
          <w:sz w:val="21"/>
          <w:szCs w:val="24"/>
          <w:lang w:val="zh-CN"/>
        </w:rPr>
        <w:t>9</w:t>
      </w:r>
      <w:r>
        <w:rPr>
          <w:rFonts w:hint="eastAsia" w:ascii="宋体" w:hAnsi="宋体" w:cs="宋体"/>
          <w:kern w:val="0"/>
          <w:sz w:val="21"/>
          <w:szCs w:val="24"/>
          <w:lang w:val="zh-CN"/>
        </w:rPr>
        <w:t>月</w:t>
      </w:r>
      <w:r>
        <w:rPr>
          <w:rFonts w:eastAsia="Times New Roman"/>
          <w:kern w:val="0"/>
          <w:sz w:val="21"/>
          <w:szCs w:val="24"/>
          <w:lang w:val="zh-CN"/>
        </w:rPr>
        <w:t>2</w:t>
      </w:r>
      <w:r>
        <w:rPr>
          <w:rFonts w:hint="eastAsia" w:ascii="宋体" w:hAnsi="宋体" w:cs="宋体"/>
          <w:kern w:val="0"/>
          <w:sz w:val="21"/>
          <w:szCs w:val="24"/>
          <w:lang w:val="zh-CN"/>
        </w:rPr>
        <w:t>日。目前第二期员工持股计划已于</w:t>
      </w:r>
      <w:r>
        <w:rPr>
          <w:rFonts w:eastAsia="Times New Roman"/>
          <w:kern w:val="0"/>
          <w:sz w:val="21"/>
          <w:szCs w:val="24"/>
          <w:lang w:val="zh-CN"/>
        </w:rPr>
        <w:t>2016</w:t>
      </w:r>
      <w:r>
        <w:rPr>
          <w:rFonts w:hint="eastAsia" w:ascii="宋体" w:hAnsi="宋体" w:cs="宋体"/>
          <w:kern w:val="0"/>
          <w:sz w:val="21"/>
          <w:szCs w:val="24"/>
          <w:lang w:val="zh-CN"/>
        </w:rPr>
        <w:t>年</w:t>
      </w:r>
      <w:r>
        <w:rPr>
          <w:rFonts w:eastAsia="Times New Roman"/>
          <w:kern w:val="0"/>
          <w:sz w:val="21"/>
          <w:szCs w:val="24"/>
          <w:lang w:val="zh-CN"/>
        </w:rPr>
        <w:t>9</w:t>
      </w:r>
      <w:r>
        <w:rPr>
          <w:rFonts w:hint="eastAsia" w:ascii="宋体" w:hAnsi="宋体" w:cs="宋体"/>
          <w:kern w:val="0"/>
          <w:sz w:val="21"/>
          <w:szCs w:val="24"/>
          <w:lang w:val="zh-CN"/>
        </w:rPr>
        <w:t>月</w:t>
      </w:r>
      <w:r>
        <w:rPr>
          <w:rFonts w:eastAsia="Times New Roman"/>
          <w:kern w:val="0"/>
          <w:sz w:val="21"/>
          <w:szCs w:val="24"/>
          <w:lang w:val="zh-CN"/>
        </w:rPr>
        <w:t>2</w:t>
      </w:r>
      <w:r>
        <w:rPr>
          <w:rFonts w:hint="eastAsia" w:ascii="宋体" w:hAnsi="宋体" w:cs="宋体"/>
          <w:kern w:val="0"/>
          <w:sz w:val="21"/>
          <w:szCs w:val="24"/>
          <w:lang w:val="zh-CN"/>
        </w:rPr>
        <w:t>日解锁。</w:t>
      </w:r>
    </w:p>
    <w:p>
      <w:pPr>
        <w:autoSpaceDE w:val="0"/>
        <w:autoSpaceDN w:val="0"/>
        <w:adjustRightInd w:val="0"/>
        <w:jc w:val="left"/>
        <w:rPr>
          <w:rFonts w:eastAsia="Times New Roman"/>
          <w:kern w:val="0"/>
          <w:sz w:val="21"/>
          <w:szCs w:val="24"/>
          <w:lang w:val="zh-CN"/>
        </w:rPr>
      </w:pPr>
      <w:r>
        <w:rPr>
          <w:rFonts w:eastAsia="Times New Roman"/>
          <w:kern w:val="0"/>
          <w:sz w:val="21"/>
          <w:szCs w:val="24"/>
          <w:lang w:val="zh-CN"/>
        </w:rPr>
        <w:t xml:space="preserve">   </w:t>
      </w:r>
      <w:r>
        <w:rPr>
          <w:rFonts w:hint="eastAsia" w:ascii="宋体" w:hAnsi="宋体" w:cs="宋体"/>
          <w:kern w:val="0"/>
          <w:sz w:val="21"/>
          <w:szCs w:val="24"/>
          <w:lang w:val="zh-CN"/>
        </w:rPr>
        <w:t>本员工持股计划的实施为公司增持计划的一部分，体现了公司全体管理层及员工对公司未来发展的信心，以及与广大投资者共同成长的愿景。</w:t>
      </w:r>
    </w:p>
    <w:p>
      <w:pPr>
        <w:autoSpaceDE w:val="0"/>
        <w:autoSpaceDN w:val="0"/>
        <w:adjustRightInd w:val="0"/>
        <w:jc w:val="left"/>
        <w:rPr>
          <w:rFonts w:eastAsia="Times New Roman"/>
          <w:kern w:val="0"/>
          <w:szCs w:val="24"/>
          <w:lang w:val="zh-CN"/>
        </w:rPr>
      </w:pPr>
    </w:p>
    <w:p>
      <w:pPr>
        <w:pStyle w:val="10"/>
        <w:outlineLvl w:val="1"/>
        <w:rPr>
          <w:bCs w:val="0"/>
        </w:rPr>
      </w:pPr>
      <w:r>
        <w:rPr>
          <w:rFonts w:hint="eastAsia"/>
          <w:bCs w:val="0"/>
        </w:rPr>
        <w:t>十五、重大关联交易</w:t>
      </w:r>
    </w:p>
    <w:p>
      <w:pPr>
        <w:pStyle w:val="11"/>
        <w:outlineLvl w:val="2"/>
        <w:rPr>
          <w:bCs w:val="0"/>
          <w:szCs w:val="24"/>
        </w:rPr>
      </w:pPr>
      <w:r>
        <w:rPr>
          <w:bCs w:val="0"/>
          <w:szCs w:val="24"/>
        </w:rPr>
        <w:t>1</w:t>
      </w:r>
      <w:r>
        <w:rPr>
          <w:rFonts w:hint="eastAsia"/>
          <w:bCs w:val="0"/>
          <w:szCs w:val="24"/>
        </w:rPr>
        <w:t>、与日常经营相关的关联交易</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jc w:val="left"/>
        <w:rPr>
          <w:szCs w:val="24"/>
        </w:rPr>
      </w:pPr>
      <w:r>
        <w:rPr>
          <w:rFonts w:hint="eastAsia"/>
          <w:szCs w:val="24"/>
        </w:rPr>
        <w:t>公司报告期未发生与日常经营相关的关联交易。</w:t>
      </w:r>
    </w:p>
    <w:p>
      <w:pPr>
        <w:pStyle w:val="11"/>
        <w:outlineLvl w:val="2"/>
        <w:rPr>
          <w:bCs w:val="0"/>
          <w:szCs w:val="24"/>
        </w:rPr>
      </w:pPr>
      <w:r>
        <w:rPr>
          <w:bCs w:val="0"/>
          <w:szCs w:val="24"/>
        </w:rPr>
        <w:t>2</w:t>
      </w:r>
      <w:r>
        <w:rPr>
          <w:rFonts w:hint="eastAsia"/>
          <w:bCs w:val="0"/>
          <w:szCs w:val="24"/>
        </w:rPr>
        <w:t>、资产或股权收购、出售发生的关联交易</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jc w:val="left"/>
        <w:rPr>
          <w:szCs w:val="24"/>
        </w:rPr>
      </w:pPr>
      <w:r>
        <w:rPr>
          <w:rFonts w:hint="eastAsia"/>
          <w:szCs w:val="24"/>
        </w:rPr>
        <w:t>公司报告期未发生资产或股权收购、出售的关联交易。</w:t>
      </w:r>
    </w:p>
    <w:p>
      <w:pPr>
        <w:pStyle w:val="11"/>
        <w:outlineLvl w:val="2"/>
        <w:rPr>
          <w:bCs w:val="0"/>
          <w:szCs w:val="24"/>
        </w:rPr>
      </w:pPr>
      <w:r>
        <w:rPr>
          <w:bCs w:val="0"/>
          <w:szCs w:val="24"/>
        </w:rPr>
        <w:t>3</w:t>
      </w:r>
      <w:r>
        <w:rPr>
          <w:rFonts w:hint="eastAsia"/>
          <w:bCs w:val="0"/>
          <w:szCs w:val="24"/>
        </w:rPr>
        <w:t>、共同对外投资的关联交易</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jc w:val="left"/>
        <w:rPr>
          <w:szCs w:val="24"/>
        </w:rPr>
      </w:pPr>
      <w:r>
        <w:rPr>
          <w:rFonts w:hint="eastAsia"/>
          <w:szCs w:val="24"/>
        </w:rPr>
        <w:t>公司报告期未发生共同对外投资的关联交易。</w:t>
      </w:r>
    </w:p>
    <w:p>
      <w:pPr>
        <w:pStyle w:val="11"/>
        <w:outlineLvl w:val="2"/>
        <w:rPr>
          <w:bCs w:val="0"/>
          <w:szCs w:val="24"/>
        </w:rPr>
      </w:pPr>
      <w:r>
        <w:rPr>
          <w:bCs w:val="0"/>
          <w:szCs w:val="24"/>
        </w:rPr>
        <w:t>4</w:t>
      </w:r>
      <w:r>
        <w:rPr>
          <w:rFonts w:hint="eastAsia"/>
          <w:bCs w:val="0"/>
          <w:szCs w:val="24"/>
        </w:rPr>
        <w:t>、关联债权债务往来</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jc w:val="left"/>
        <w:rPr>
          <w:szCs w:val="24"/>
        </w:rPr>
      </w:pPr>
      <w:r>
        <w:rPr>
          <w:rFonts w:hint="eastAsia"/>
          <w:szCs w:val="24"/>
        </w:rPr>
        <w:t>公司报告期不存在关联债权债务往来。</w:t>
      </w:r>
    </w:p>
    <w:p>
      <w:pPr>
        <w:pStyle w:val="11"/>
        <w:outlineLvl w:val="2"/>
        <w:rPr>
          <w:bCs w:val="0"/>
          <w:szCs w:val="24"/>
        </w:rPr>
      </w:pPr>
      <w:r>
        <w:rPr>
          <w:bCs w:val="0"/>
          <w:szCs w:val="24"/>
        </w:rPr>
        <w:t>5</w:t>
      </w:r>
      <w:r>
        <w:rPr>
          <w:rFonts w:hint="eastAsia"/>
          <w:bCs w:val="0"/>
          <w:szCs w:val="24"/>
        </w:rPr>
        <w:t>、其他重大关联交易</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jc w:val="left"/>
        <w:rPr>
          <w:szCs w:val="24"/>
        </w:rPr>
      </w:pPr>
      <w:r>
        <w:rPr>
          <w:rFonts w:hint="eastAsia"/>
          <w:szCs w:val="24"/>
        </w:rPr>
        <w:t>公司报告期无其他重大关联交易。</w:t>
      </w:r>
    </w:p>
    <w:p>
      <w:pPr>
        <w:pStyle w:val="10"/>
        <w:outlineLvl w:val="1"/>
        <w:rPr>
          <w:bCs w:val="0"/>
        </w:rPr>
      </w:pPr>
      <w:r>
        <w:rPr>
          <w:rFonts w:hint="eastAsia"/>
          <w:bCs w:val="0"/>
        </w:rPr>
        <w:t>十六、重大合同及其履行情况</w:t>
      </w:r>
    </w:p>
    <w:p>
      <w:pPr>
        <w:pStyle w:val="11"/>
        <w:outlineLvl w:val="2"/>
        <w:rPr>
          <w:bCs w:val="0"/>
          <w:szCs w:val="24"/>
        </w:rPr>
      </w:pPr>
      <w:r>
        <w:rPr>
          <w:bCs w:val="0"/>
          <w:szCs w:val="24"/>
        </w:rPr>
        <w:t>1</w:t>
      </w:r>
      <w:r>
        <w:rPr>
          <w:rFonts w:hint="eastAsia"/>
          <w:bCs w:val="0"/>
          <w:szCs w:val="24"/>
        </w:rPr>
        <w:t>、托管、承包、租赁事项情况</w:t>
      </w:r>
    </w:p>
    <w:p>
      <w:pPr>
        <w:pStyle w:val="11"/>
        <w:outlineLvl w:val="3"/>
        <w:rPr>
          <w:bCs w:val="0"/>
          <w:szCs w:val="24"/>
        </w:rPr>
      </w:pPr>
      <w:r>
        <w:rPr>
          <w:rFonts w:hint="eastAsia"/>
          <w:bCs w:val="0"/>
          <w:szCs w:val="24"/>
        </w:rPr>
        <w:t>（</w:t>
      </w:r>
      <w:r>
        <w:rPr>
          <w:bCs w:val="0"/>
          <w:szCs w:val="24"/>
        </w:rPr>
        <w:t>1</w:t>
      </w:r>
      <w:r>
        <w:rPr>
          <w:rFonts w:hint="eastAsia"/>
          <w:bCs w:val="0"/>
          <w:szCs w:val="24"/>
        </w:rPr>
        <w:t>）托管情况</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jc w:val="left"/>
        <w:rPr>
          <w:szCs w:val="24"/>
        </w:rPr>
      </w:pPr>
      <w:r>
        <w:rPr>
          <w:rFonts w:hint="eastAsia"/>
          <w:szCs w:val="24"/>
        </w:rPr>
        <w:t>公司报告期不存在托管情况。</w:t>
      </w:r>
    </w:p>
    <w:p>
      <w:pPr>
        <w:pStyle w:val="11"/>
        <w:outlineLvl w:val="3"/>
        <w:rPr>
          <w:bCs w:val="0"/>
          <w:szCs w:val="24"/>
        </w:rPr>
      </w:pPr>
      <w:r>
        <w:rPr>
          <w:rFonts w:hint="eastAsia"/>
          <w:bCs w:val="0"/>
          <w:szCs w:val="24"/>
        </w:rPr>
        <w:t>（</w:t>
      </w:r>
      <w:r>
        <w:rPr>
          <w:bCs w:val="0"/>
          <w:szCs w:val="24"/>
        </w:rPr>
        <w:t>2</w:t>
      </w:r>
      <w:r>
        <w:rPr>
          <w:rFonts w:hint="eastAsia"/>
          <w:bCs w:val="0"/>
          <w:szCs w:val="24"/>
        </w:rPr>
        <w:t>）承包情况</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jc w:val="left"/>
        <w:rPr>
          <w:szCs w:val="24"/>
        </w:rPr>
      </w:pPr>
      <w:r>
        <w:rPr>
          <w:rFonts w:hint="eastAsia"/>
          <w:szCs w:val="24"/>
        </w:rPr>
        <w:t>公司报告期不存在承包情况。</w:t>
      </w:r>
    </w:p>
    <w:p>
      <w:pPr>
        <w:pStyle w:val="11"/>
        <w:outlineLvl w:val="3"/>
        <w:rPr>
          <w:bCs w:val="0"/>
          <w:szCs w:val="24"/>
        </w:rPr>
      </w:pPr>
      <w:r>
        <w:rPr>
          <w:rFonts w:hint="eastAsia"/>
          <w:bCs w:val="0"/>
          <w:szCs w:val="24"/>
        </w:rPr>
        <w:t>（</w:t>
      </w:r>
      <w:r>
        <w:rPr>
          <w:bCs w:val="0"/>
          <w:szCs w:val="24"/>
        </w:rPr>
        <w:t>3</w:t>
      </w:r>
      <w:r>
        <w:rPr>
          <w:rFonts w:hint="eastAsia"/>
          <w:bCs w:val="0"/>
          <w:szCs w:val="24"/>
        </w:rPr>
        <w:t>）租赁情况</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jc w:val="left"/>
        <w:rPr>
          <w:szCs w:val="24"/>
        </w:rPr>
      </w:pPr>
      <w:r>
        <w:rPr>
          <w:rFonts w:hint="eastAsia"/>
          <w:szCs w:val="24"/>
        </w:rPr>
        <w:t>公司报告期不存在租赁情况。</w:t>
      </w:r>
    </w:p>
    <w:p>
      <w:pPr>
        <w:pStyle w:val="11"/>
        <w:outlineLvl w:val="2"/>
        <w:rPr>
          <w:bCs w:val="0"/>
          <w:szCs w:val="24"/>
        </w:rPr>
      </w:pPr>
      <w:r>
        <w:rPr>
          <w:bCs w:val="0"/>
          <w:szCs w:val="24"/>
        </w:rPr>
        <w:t>2</w:t>
      </w:r>
      <w:r>
        <w:rPr>
          <w:rFonts w:hint="eastAsia"/>
          <w:bCs w:val="0"/>
          <w:szCs w:val="24"/>
        </w:rPr>
        <w:t>、重大担保</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pStyle w:val="11"/>
        <w:outlineLvl w:val="3"/>
        <w:rPr>
          <w:bCs w:val="0"/>
          <w:szCs w:val="24"/>
        </w:rPr>
      </w:pPr>
      <w:r>
        <w:rPr>
          <w:rFonts w:hint="eastAsia"/>
          <w:bCs w:val="0"/>
          <w:szCs w:val="24"/>
        </w:rPr>
        <w:t>（</w:t>
      </w:r>
      <w:r>
        <w:rPr>
          <w:bCs w:val="0"/>
          <w:szCs w:val="24"/>
        </w:rPr>
        <w:t>1</w:t>
      </w:r>
      <w:r>
        <w:rPr>
          <w:rFonts w:hint="eastAsia"/>
          <w:bCs w:val="0"/>
          <w:szCs w:val="24"/>
        </w:rPr>
        <w:t>）担保情况</w:t>
      </w:r>
    </w:p>
    <w:p>
      <w:pPr>
        <w:jc w:val="right"/>
        <w:rPr>
          <w:szCs w:val="24"/>
        </w:rPr>
      </w:pPr>
      <w:r>
        <w:rPr>
          <w:rFonts w:hint="eastAsia"/>
          <w:szCs w:val="24"/>
        </w:rPr>
        <w:t>单位：万元</w:t>
      </w:r>
    </w:p>
    <w:tbl>
      <w:tblPr>
        <w:tblStyle w:val="8"/>
        <w:tblW w:w="9573" w:type="dxa"/>
        <w:tblInd w:w="28" w:type="dxa"/>
        <w:tblLayout w:type="fixed"/>
        <w:tblCellMar>
          <w:top w:w="0" w:type="dxa"/>
          <w:left w:w="28" w:type="dxa"/>
          <w:bottom w:w="0" w:type="dxa"/>
          <w:right w:w="28" w:type="dxa"/>
        </w:tblCellMar>
      </w:tblPr>
      <w:tblGrid>
        <w:gridCol w:w="1709"/>
        <w:gridCol w:w="916"/>
        <w:gridCol w:w="7"/>
        <w:gridCol w:w="7"/>
        <w:gridCol w:w="903"/>
        <w:gridCol w:w="17"/>
        <w:gridCol w:w="1296"/>
        <w:gridCol w:w="1044"/>
        <w:gridCol w:w="19"/>
        <w:gridCol w:w="1035"/>
        <w:gridCol w:w="1045"/>
        <w:gridCol w:w="7"/>
        <w:gridCol w:w="779"/>
        <w:gridCol w:w="10"/>
        <w:gridCol w:w="779"/>
      </w:tblGrid>
      <w:tr>
        <w:tblPrEx>
          <w:tblLayout w:type="fixed"/>
          <w:tblCellMar>
            <w:top w:w="0" w:type="dxa"/>
            <w:left w:w="28" w:type="dxa"/>
            <w:bottom w:w="0" w:type="dxa"/>
            <w:right w:w="28" w:type="dxa"/>
          </w:tblCellMar>
        </w:tblPrEx>
        <w:tc>
          <w:tcPr>
            <w:tcW w:w="9573" w:type="dxa"/>
            <w:gridSpan w:val="15"/>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公司及其子公司对外担保情况（不包括对子公司的担保）</w:t>
            </w:r>
          </w:p>
        </w:tc>
      </w:tr>
      <w:tr>
        <w:tblPrEx>
          <w:tblLayout w:type="fixed"/>
          <w:tblCellMar>
            <w:top w:w="0" w:type="dxa"/>
            <w:left w:w="28" w:type="dxa"/>
            <w:bottom w:w="0" w:type="dxa"/>
            <w:right w:w="28" w:type="dxa"/>
          </w:tblCellMar>
        </w:tblPrEx>
        <w:tc>
          <w:tcPr>
            <w:tcW w:w="170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担保对象名称</w:t>
            </w:r>
          </w:p>
        </w:tc>
        <w:tc>
          <w:tcPr>
            <w:tcW w:w="930" w:type="dxa"/>
            <w:gridSpan w:val="3"/>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担保额度相关公告披露日期</w:t>
            </w:r>
          </w:p>
        </w:tc>
        <w:tc>
          <w:tcPr>
            <w:tcW w:w="920"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担保额度</w:t>
            </w:r>
          </w:p>
        </w:tc>
        <w:tc>
          <w:tcPr>
            <w:tcW w:w="129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实际发生日期（协议签署日）</w:t>
            </w:r>
          </w:p>
        </w:tc>
        <w:tc>
          <w:tcPr>
            <w:tcW w:w="1063"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实际担保金额</w:t>
            </w:r>
          </w:p>
        </w:tc>
        <w:tc>
          <w:tcPr>
            <w:tcW w:w="103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担保类型</w:t>
            </w:r>
          </w:p>
        </w:tc>
        <w:tc>
          <w:tcPr>
            <w:tcW w:w="1052"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担保期</w:t>
            </w:r>
          </w:p>
        </w:tc>
        <w:tc>
          <w:tcPr>
            <w:tcW w:w="789"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是否履行完毕</w:t>
            </w:r>
          </w:p>
        </w:tc>
        <w:tc>
          <w:tcPr>
            <w:tcW w:w="77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是否为关联方担保</w:t>
            </w:r>
          </w:p>
        </w:tc>
      </w:tr>
      <w:tr>
        <w:tblPrEx>
          <w:tblLayout w:type="fixed"/>
          <w:tblCellMar>
            <w:top w:w="0" w:type="dxa"/>
            <w:left w:w="28" w:type="dxa"/>
            <w:bottom w:w="0" w:type="dxa"/>
            <w:right w:w="28" w:type="dxa"/>
          </w:tblCellMar>
        </w:tblPrEx>
        <w:tc>
          <w:tcPr>
            <w:tcW w:w="170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中关村担保公司</w:t>
            </w:r>
          </w:p>
        </w:tc>
        <w:tc>
          <w:tcPr>
            <w:tcW w:w="930" w:type="dxa"/>
            <w:gridSpan w:val="3"/>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2015</w:t>
            </w:r>
            <w:r>
              <w:rPr>
                <w:rFonts w:hint="eastAsia"/>
                <w:szCs w:val="24"/>
              </w:rPr>
              <w:t>年</w:t>
            </w:r>
            <w:r>
              <w:rPr>
                <w:szCs w:val="24"/>
              </w:rPr>
              <w:t>12</w:t>
            </w:r>
            <w:r>
              <w:rPr>
                <w:rFonts w:hint="eastAsia"/>
                <w:szCs w:val="24"/>
              </w:rPr>
              <w:t>月</w:t>
            </w:r>
            <w:r>
              <w:rPr>
                <w:szCs w:val="24"/>
              </w:rPr>
              <w:t>01</w:t>
            </w:r>
            <w:r>
              <w:rPr>
                <w:rFonts w:hint="eastAsia"/>
                <w:szCs w:val="24"/>
              </w:rPr>
              <w:t>日</w:t>
            </w:r>
          </w:p>
        </w:tc>
        <w:tc>
          <w:tcPr>
            <w:tcW w:w="920"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2,400</w:t>
            </w:r>
          </w:p>
        </w:tc>
        <w:tc>
          <w:tcPr>
            <w:tcW w:w="12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2015</w:t>
            </w:r>
            <w:r>
              <w:rPr>
                <w:rFonts w:hint="eastAsia"/>
                <w:szCs w:val="24"/>
              </w:rPr>
              <w:t>年</w:t>
            </w:r>
            <w:r>
              <w:rPr>
                <w:szCs w:val="24"/>
              </w:rPr>
              <w:t>12</w:t>
            </w:r>
            <w:r>
              <w:rPr>
                <w:rFonts w:hint="eastAsia"/>
                <w:szCs w:val="24"/>
              </w:rPr>
              <w:t>月</w:t>
            </w:r>
            <w:r>
              <w:rPr>
                <w:szCs w:val="24"/>
              </w:rPr>
              <w:t>03</w:t>
            </w:r>
            <w:r>
              <w:rPr>
                <w:rFonts w:hint="eastAsia"/>
                <w:szCs w:val="24"/>
              </w:rPr>
              <w:t>日</w:t>
            </w:r>
          </w:p>
        </w:tc>
        <w:tc>
          <w:tcPr>
            <w:tcW w:w="1063"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2,400</w:t>
            </w:r>
          </w:p>
        </w:tc>
        <w:tc>
          <w:tcPr>
            <w:tcW w:w="103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抵押</w:t>
            </w:r>
          </w:p>
        </w:tc>
        <w:tc>
          <w:tcPr>
            <w:tcW w:w="1052"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10</w:t>
            </w:r>
            <w:r>
              <w:rPr>
                <w:rFonts w:hint="eastAsia"/>
                <w:szCs w:val="24"/>
              </w:rPr>
              <w:t>年</w:t>
            </w:r>
          </w:p>
        </w:tc>
        <w:tc>
          <w:tcPr>
            <w:tcW w:w="789"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77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2632" w:type="dxa"/>
            <w:gridSpan w:val="3"/>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报告期内审批的对外担保额度合计（</w:t>
            </w:r>
            <w:r>
              <w:rPr>
                <w:szCs w:val="24"/>
              </w:rPr>
              <w:t>A1</w:t>
            </w:r>
            <w:r>
              <w:rPr>
                <w:rFonts w:hint="eastAsia"/>
                <w:szCs w:val="24"/>
              </w:rPr>
              <w:t>）</w:t>
            </w:r>
          </w:p>
        </w:tc>
        <w:tc>
          <w:tcPr>
            <w:tcW w:w="2223" w:type="dxa"/>
            <w:gridSpan w:val="4"/>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2098" w:type="dxa"/>
            <w:gridSpan w:val="3"/>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报告期内对外担保实际发生额合计（</w:t>
            </w:r>
            <w:r>
              <w:rPr>
                <w:szCs w:val="24"/>
              </w:rPr>
              <w:t>A2</w:t>
            </w:r>
            <w:r>
              <w:rPr>
                <w:rFonts w:hint="eastAsia"/>
                <w:szCs w:val="24"/>
              </w:rPr>
              <w:t>）</w:t>
            </w:r>
          </w:p>
        </w:tc>
        <w:tc>
          <w:tcPr>
            <w:tcW w:w="2620" w:type="dxa"/>
            <w:gridSpan w:val="5"/>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r>
      <w:tr>
        <w:tblPrEx>
          <w:tblLayout w:type="fixed"/>
          <w:tblCellMar>
            <w:top w:w="0" w:type="dxa"/>
            <w:left w:w="28" w:type="dxa"/>
            <w:bottom w:w="0" w:type="dxa"/>
            <w:right w:w="28" w:type="dxa"/>
          </w:tblCellMar>
        </w:tblPrEx>
        <w:tc>
          <w:tcPr>
            <w:tcW w:w="2632" w:type="dxa"/>
            <w:gridSpan w:val="3"/>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报告期末已审批的对外担保额度合计（</w:t>
            </w:r>
            <w:r>
              <w:rPr>
                <w:szCs w:val="24"/>
              </w:rPr>
              <w:t>A3</w:t>
            </w:r>
            <w:r>
              <w:rPr>
                <w:rFonts w:hint="eastAsia"/>
                <w:szCs w:val="24"/>
              </w:rPr>
              <w:t>）</w:t>
            </w:r>
          </w:p>
        </w:tc>
        <w:tc>
          <w:tcPr>
            <w:tcW w:w="2223" w:type="dxa"/>
            <w:gridSpan w:val="4"/>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2,400</w:t>
            </w:r>
          </w:p>
        </w:tc>
        <w:tc>
          <w:tcPr>
            <w:tcW w:w="2098" w:type="dxa"/>
            <w:gridSpan w:val="3"/>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报告期末实际对外担保余额合计（</w:t>
            </w:r>
            <w:r>
              <w:rPr>
                <w:szCs w:val="24"/>
              </w:rPr>
              <w:t>A4</w:t>
            </w:r>
            <w:r>
              <w:rPr>
                <w:rFonts w:hint="eastAsia"/>
                <w:szCs w:val="24"/>
              </w:rPr>
              <w:t>）</w:t>
            </w:r>
          </w:p>
        </w:tc>
        <w:tc>
          <w:tcPr>
            <w:tcW w:w="2620" w:type="dxa"/>
            <w:gridSpan w:val="5"/>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2,400</w:t>
            </w:r>
          </w:p>
        </w:tc>
      </w:tr>
      <w:tr>
        <w:tblPrEx>
          <w:tblLayout w:type="fixed"/>
          <w:tblCellMar>
            <w:top w:w="0" w:type="dxa"/>
            <w:left w:w="28" w:type="dxa"/>
            <w:bottom w:w="0" w:type="dxa"/>
            <w:right w:w="28" w:type="dxa"/>
          </w:tblCellMar>
        </w:tblPrEx>
        <w:tc>
          <w:tcPr>
            <w:tcW w:w="9573" w:type="dxa"/>
            <w:gridSpan w:val="15"/>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公司与子公司之间担保情况</w:t>
            </w:r>
          </w:p>
        </w:tc>
      </w:tr>
      <w:tr>
        <w:tblPrEx>
          <w:tblLayout w:type="fixed"/>
          <w:tblCellMar>
            <w:top w:w="0" w:type="dxa"/>
            <w:left w:w="28" w:type="dxa"/>
            <w:bottom w:w="0" w:type="dxa"/>
            <w:right w:w="28" w:type="dxa"/>
          </w:tblCellMar>
        </w:tblPrEx>
        <w:tc>
          <w:tcPr>
            <w:tcW w:w="170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担保对象名称</w:t>
            </w:r>
          </w:p>
        </w:tc>
        <w:tc>
          <w:tcPr>
            <w:tcW w:w="923"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担保额度相关公告披露日期</w:t>
            </w:r>
          </w:p>
        </w:tc>
        <w:tc>
          <w:tcPr>
            <w:tcW w:w="927" w:type="dxa"/>
            <w:gridSpan w:val="3"/>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担保额度</w:t>
            </w:r>
          </w:p>
        </w:tc>
        <w:tc>
          <w:tcPr>
            <w:tcW w:w="129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实际发生日期（协议签署日）</w:t>
            </w:r>
          </w:p>
        </w:tc>
        <w:tc>
          <w:tcPr>
            <w:tcW w:w="1063"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实际担保金额</w:t>
            </w:r>
          </w:p>
        </w:tc>
        <w:tc>
          <w:tcPr>
            <w:tcW w:w="103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担保类型</w:t>
            </w:r>
          </w:p>
        </w:tc>
        <w:tc>
          <w:tcPr>
            <w:tcW w:w="104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担保期</w:t>
            </w:r>
          </w:p>
        </w:tc>
        <w:tc>
          <w:tcPr>
            <w:tcW w:w="796" w:type="dxa"/>
            <w:gridSpan w:val="3"/>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是否履行完毕</w:t>
            </w:r>
          </w:p>
        </w:tc>
        <w:tc>
          <w:tcPr>
            <w:tcW w:w="77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是否为关联方担保</w:t>
            </w:r>
          </w:p>
        </w:tc>
      </w:tr>
      <w:tr>
        <w:tblPrEx>
          <w:tblLayout w:type="fixed"/>
          <w:tblCellMar>
            <w:top w:w="0" w:type="dxa"/>
            <w:left w:w="28" w:type="dxa"/>
            <w:bottom w:w="0" w:type="dxa"/>
            <w:right w:w="28" w:type="dxa"/>
          </w:tblCellMar>
        </w:tblPrEx>
        <w:tc>
          <w:tcPr>
            <w:tcW w:w="170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香港海兰信</w:t>
            </w:r>
          </w:p>
        </w:tc>
        <w:tc>
          <w:tcPr>
            <w:tcW w:w="923"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2013</w:t>
            </w:r>
            <w:r>
              <w:rPr>
                <w:rFonts w:hint="eastAsia"/>
                <w:szCs w:val="24"/>
              </w:rPr>
              <w:t>年</w:t>
            </w:r>
            <w:r>
              <w:rPr>
                <w:szCs w:val="24"/>
              </w:rPr>
              <w:t>05</w:t>
            </w:r>
            <w:r>
              <w:rPr>
                <w:rFonts w:hint="eastAsia"/>
                <w:szCs w:val="24"/>
              </w:rPr>
              <w:t>月</w:t>
            </w:r>
            <w:r>
              <w:rPr>
                <w:szCs w:val="24"/>
              </w:rPr>
              <w:t>23</w:t>
            </w:r>
            <w:r>
              <w:rPr>
                <w:rFonts w:hint="eastAsia"/>
                <w:szCs w:val="24"/>
              </w:rPr>
              <w:t>日</w:t>
            </w:r>
          </w:p>
        </w:tc>
        <w:tc>
          <w:tcPr>
            <w:tcW w:w="927" w:type="dxa"/>
            <w:gridSpan w:val="3"/>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5,000</w:t>
            </w:r>
          </w:p>
        </w:tc>
        <w:tc>
          <w:tcPr>
            <w:tcW w:w="12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2013</w:t>
            </w:r>
            <w:r>
              <w:rPr>
                <w:rFonts w:hint="eastAsia"/>
                <w:szCs w:val="24"/>
              </w:rPr>
              <w:t>年</w:t>
            </w:r>
            <w:r>
              <w:rPr>
                <w:szCs w:val="24"/>
              </w:rPr>
              <w:t>05</w:t>
            </w:r>
            <w:r>
              <w:rPr>
                <w:rFonts w:hint="eastAsia"/>
                <w:szCs w:val="24"/>
              </w:rPr>
              <w:t>月</w:t>
            </w:r>
            <w:r>
              <w:rPr>
                <w:szCs w:val="24"/>
              </w:rPr>
              <w:t>23</w:t>
            </w:r>
            <w:r>
              <w:rPr>
                <w:rFonts w:hint="eastAsia"/>
                <w:szCs w:val="24"/>
              </w:rPr>
              <w:t>日</w:t>
            </w:r>
          </w:p>
        </w:tc>
        <w:tc>
          <w:tcPr>
            <w:tcW w:w="1063"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103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连带责任保证</w:t>
            </w:r>
          </w:p>
        </w:tc>
        <w:tc>
          <w:tcPr>
            <w:tcW w:w="104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3</w:t>
            </w:r>
            <w:r>
              <w:rPr>
                <w:rFonts w:hint="eastAsia"/>
                <w:szCs w:val="24"/>
              </w:rPr>
              <w:t>年</w:t>
            </w:r>
          </w:p>
        </w:tc>
        <w:tc>
          <w:tcPr>
            <w:tcW w:w="796" w:type="dxa"/>
            <w:gridSpan w:val="3"/>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是</w:t>
            </w:r>
          </w:p>
        </w:tc>
        <w:tc>
          <w:tcPr>
            <w:tcW w:w="77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70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香港海兰信</w:t>
            </w:r>
          </w:p>
        </w:tc>
        <w:tc>
          <w:tcPr>
            <w:tcW w:w="923"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07</w:t>
            </w:r>
            <w:r>
              <w:rPr>
                <w:rFonts w:hint="eastAsia"/>
                <w:szCs w:val="24"/>
              </w:rPr>
              <w:t>月</w:t>
            </w:r>
            <w:r>
              <w:rPr>
                <w:szCs w:val="24"/>
              </w:rPr>
              <w:t>29</w:t>
            </w:r>
            <w:r>
              <w:rPr>
                <w:rFonts w:hint="eastAsia"/>
                <w:szCs w:val="24"/>
              </w:rPr>
              <w:t>日</w:t>
            </w:r>
          </w:p>
        </w:tc>
        <w:tc>
          <w:tcPr>
            <w:tcW w:w="927" w:type="dxa"/>
            <w:gridSpan w:val="3"/>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5,000</w:t>
            </w:r>
          </w:p>
        </w:tc>
        <w:tc>
          <w:tcPr>
            <w:tcW w:w="12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08</w:t>
            </w:r>
            <w:r>
              <w:rPr>
                <w:rFonts w:hint="eastAsia"/>
                <w:szCs w:val="24"/>
              </w:rPr>
              <w:t>月</w:t>
            </w:r>
            <w:r>
              <w:rPr>
                <w:szCs w:val="24"/>
              </w:rPr>
              <w:t>04</w:t>
            </w:r>
            <w:r>
              <w:rPr>
                <w:rFonts w:hint="eastAsia"/>
                <w:szCs w:val="24"/>
              </w:rPr>
              <w:t>日</w:t>
            </w:r>
          </w:p>
        </w:tc>
        <w:tc>
          <w:tcPr>
            <w:tcW w:w="1063"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3,653.41</w:t>
            </w:r>
          </w:p>
        </w:tc>
        <w:tc>
          <w:tcPr>
            <w:tcW w:w="103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连带责任保证</w:t>
            </w:r>
          </w:p>
        </w:tc>
        <w:tc>
          <w:tcPr>
            <w:tcW w:w="104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1</w:t>
            </w:r>
            <w:r>
              <w:rPr>
                <w:rFonts w:hint="eastAsia"/>
                <w:szCs w:val="24"/>
              </w:rPr>
              <w:t>年</w:t>
            </w:r>
          </w:p>
        </w:tc>
        <w:tc>
          <w:tcPr>
            <w:tcW w:w="796" w:type="dxa"/>
            <w:gridSpan w:val="3"/>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77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70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海兰天澄</w:t>
            </w:r>
          </w:p>
        </w:tc>
        <w:tc>
          <w:tcPr>
            <w:tcW w:w="923"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04</w:t>
            </w:r>
            <w:r>
              <w:rPr>
                <w:rFonts w:hint="eastAsia"/>
                <w:szCs w:val="24"/>
              </w:rPr>
              <w:t>月</w:t>
            </w:r>
            <w:r>
              <w:rPr>
                <w:szCs w:val="24"/>
              </w:rPr>
              <w:t>21</w:t>
            </w:r>
            <w:r>
              <w:rPr>
                <w:rFonts w:hint="eastAsia"/>
                <w:szCs w:val="24"/>
              </w:rPr>
              <w:t>日</w:t>
            </w:r>
          </w:p>
        </w:tc>
        <w:tc>
          <w:tcPr>
            <w:tcW w:w="927" w:type="dxa"/>
            <w:gridSpan w:val="3"/>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2,000</w:t>
            </w:r>
          </w:p>
        </w:tc>
        <w:tc>
          <w:tcPr>
            <w:tcW w:w="12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05</w:t>
            </w:r>
            <w:r>
              <w:rPr>
                <w:rFonts w:hint="eastAsia"/>
                <w:szCs w:val="24"/>
              </w:rPr>
              <w:t>月</w:t>
            </w:r>
            <w:r>
              <w:rPr>
                <w:szCs w:val="24"/>
              </w:rPr>
              <w:t>11</w:t>
            </w:r>
            <w:r>
              <w:rPr>
                <w:rFonts w:hint="eastAsia"/>
                <w:szCs w:val="24"/>
              </w:rPr>
              <w:t>日</w:t>
            </w:r>
          </w:p>
        </w:tc>
        <w:tc>
          <w:tcPr>
            <w:tcW w:w="1063"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2,000</w:t>
            </w:r>
          </w:p>
        </w:tc>
        <w:tc>
          <w:tcPr>
            <w:tcW w:w="103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连带责任保证</w:t>
            </w:r>
          </w:p>
        </w:tc>
        <w:tc>
          <w:tcPr>
            <w:tcW w:w="104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1</w:t>
            </w:r>
            <w:r>
              <w:rPr>
                <w:rFonts w:hint="eastAsia"/>
                <w:szCs w:val="24"/>
              </w:rPr>
              <w:t>年</w:t>
            </w:r>
          </w:p>
        </w:tc>
        <w:tc>
          <w:tcPr>
            <w:tcW w:w="796" w:type="dxa"/>
            <w:gridSpan w:val="3"/>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77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70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劳雷香港</w:t>
            </w:r>
          </w:p>
        </w:tc>
        <w:tc>
          <w:tcPr>
            <w:tcW w:w="923"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07</w:t>
            </w:r>
            <w:r>
              <w:rPr>
                <w:rFonts w:hint="eastAsia"/>
                <w:szCs w:val="24"/>
              </w:rPr>
              <w:t>月</w:t>
            </w:r>
            <w:r>
              <w:rPr>
                <w:szCs w:val="24"/>
              </w:rPr>
              <w:t>29</w:t>
            </w:r>
            <w:r>
              <w:rPr>
                <w:rFonts w:hint="eastAsia"/>
                <w:szCs w:val="24"/>
              </w:rPr>
              <w:t>日</w:t>
            </w:r>
          </w:p>
        </w:tc>
        <w:tc>
          <w:tcPr>
            <w:tcW w:w="927" w:type="dxa"/>
            <w:gridSpan w:val="3"/>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1,766.86</w:t>
            </w:r>
          </w:p>
        </w:tc>
        <w:tc>
          <w:tcPr>
            <w:tcW w:w="12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07</w:t>
            </w:r>
            <w:r>
              <w:rPr>
                <w:rFonts w:hint="eastAsia"/>
                <w:szCs w:val="24"/>
              </w:rPr>
              <w:t>月</w:t>
            </w:r>
            <w:r>
              <w:rPr>
                <w:szCs w:val="24"/>
              </w:rPr>
              <w:t>29</w:t>
            </w:r>
            <w:r>
              <w:rPr>
                <w:rFonts w:hint="eastAsia"/>
                <w:szCs w:val="24"/>
              </w:rPr>
              <w:t>日</w:t>
            </w:r>
          </w:p>
        </w:tc>
        <w:tc>
          <w:tcPr>
            <w:tcW w:w="1063"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1,122.95</w:t>
            </w:r>
          </w:p>
        </w:tc>
        <w:tc>
          <w:tcPr>
            <w:tcW w:w="103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连带责任保证</w:t>
            </w:r>
          </w:p>
        </w:tc>
        <w:tc>
          <w:tcPr>
            <w:tcW w:w="104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1</w:t>
            </w:r>
            <w:r>
              <w:rPr>
                <w:rFonts w:hint="eastAsia"/>
                <w:szCs w:val="24"/>
              </w:rPr>
              <w:t>年</w:t>
            </w:r>
          </w:p>
        </w:tc>
        <w:tc>
          <w:tcPr>
            <w:tcW w:w="796" w:type="dxa"/>
            <w:gridSpan w:val="3"/>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77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2632" w:type="dxa"/>
            <w:gridSpan w:val="3"/>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报告期内审批对子公司担保额度合计（</w:t>
            </w:r>
            <w:r>
              <w:rPr>
                <w:szCs w:val="24"/>
              </w:rPr>
              <w:t>B1</w:t>
            </w:r>
            <w:r>
              <w:rPr>
                <w:rFonts w:hint="eastAsia"/>
                <w:szCs w:val="24"/>
              </w:rPr>
              <w:t>）</w:t>
            </w:r>
          </w:p>
        </w:tc>
        <w:tc>
          <w:tcPr>
            <w:tcW w:w="2223" w:type="dxa"/>
            <w:gridSpan w:val="4"/>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8,766.86</w:t>
            </w:r>
          </w:p>
        </w:tc>
        <w:tc>
          <w:tcPr>
            <w:tcW w:w="2098" w:type="dxa"/>
            <w:gridSpan w:val="3"/>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报告期内对子公司担保实际发生额合计（</w:t>
            </w:r>
            <w:r>
              <w:rPr>
                <w:szCs w:val="24"/>
              </w:rPr>
              <w:t>B2</w:t>
            </w:r>
            <w:r>
              <w:rPr>
                <w:rFonts w:hint="eastAsia"/>
                <w:szCs w:val="24"/>
              </w:rPr>
              <w:t>）</w:t>
            </w:r>
          </w:p>
        </w:tc>
        <w:tc>
          <w:tcPr>
            <w:tcW w:w="2620" w:type="dxa"/>
            <w:gridSpan w:val="5"/>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6,776.36</w:t>
            </w:r>
          </w:p>
        </w:tc>
      </w:tr>
      <w:tr>
        <w:tblPrEx>
          <w:tblLayout w:type="fixed"/>
          <w:tblCellMar>
            <w:top w:w="0" w:type="dxa"/>
            <w:left w:w="28" w:type="dxa"/>
            <w:bottom w:w="0" w:type="dxa"/>
            <w:right w:w="28" w:type="dxa"/>
          </w:tblCellMar>
        </w:tblPrEx>
        <w:tc>
          <w:tcPr>
            <w:tcW w:w="2632" w:type="dxa"/>
            <w:gridSpan w:val="3"/>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报告期末已审批的对子公司担保额度合计（</w:t>
            </w:r>
            <w:r>
              <w:rPr>
                <w:szCs w:val="24"/>
              </w:rPr>
              <w:t>B3</w:t>
            </w:r>
            <w:r>
              <w:rPr>
                <w:rFonts w:hint="eastAsia"/>
                <w:szCs w:val="24"/>
              </w:rPr>
              <w:t>）</w:t>
            </w:r>
          </w:p>
        </w:tc>
        <w:tc>
          <w:tcPr>
            <w:tcW w:w="2223" w:type="dxa"/>
            <w:gridSpan w:val="4"/>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8,766.86</w:t>
            </w:r>
          </w:p>
        </w:tc>
        <w:tc>
          <w:tcPr>
            <w:tcW w:w="2098" w:type="dxa"/>
            <w:gridSpan w:val="3"/>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报告期末对子公司实际担保余额合计（</w:t>
            </w:r>
            <w:r>
              <w:rPr>
                <w:szCs w:val="24"/>
              </w:rPr>
              <w:t>B4</w:t>
            </w:r>
            <w:r>
              <w:rPr>
                <w:rFonts w:hint="eastAsia"/>
                <w:szCs w:val="24"/>
              </w:rPr>
              <w:t>）</w:t>
            </w:r>
          </w:p>
        </w:tc>
        <w:tc>
          <w:tcPr>
            <w:tcW w:w="2620" w:type="dxa"/>
            <w:gridSpan w:val="5"/>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6,776.36</w:t>
            </w:r>
          </w:p>
        </w:tc>
      </w:tr>
      <w:tr>
        <w:tblPrEx>
          <w:tblLayout w:type="fixed"/>
          <w:tblCellMar>
            <w:top w:w="0" w:type="dxa"/>
            <w:left w:w="28" w:type="dxa"/>
            <w:bottom w:w="0" w:type="dxa"/>
            <w:right w:w="28" w:type="dxa"/>
          </w:tblCellMar>
        </w:tblPrEx>
        <w:tc>
          <w:tcPr>
            <w:tcW w:w="9573" w:type="dxa"/>
            <w:gridSpan w:val="15"/>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子公司对子公司的担保情况</w:t>
            </w:r>
          </w:p>
        </w:tc>
      </w:tr>
      <w:tr>
        <w:tblPrEx>
          <w:tblLayout w:type="fixed"/>
          <w:tblCellMar>
            <w:top w:w="0" w:type="dxa"/>
            <w:left w:w="28" w:type="dxa"/>
            <w:bottom w:w="0" w:type="dxa"/>
            <w:right w:w="28" w:type="dxa"/>
          </w:tblCellMar>
        </w:tblPrEx>
        <w:tc>
          <w:tcPr>
            <w:tcW w:w="170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担保对象名称</w:t>
            </w:r>
          </w:p>
        </w:tc>
        <w:tc>
          <w:tcPr>
            <w:tcW w:w="91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担保额度相关公告披露日期</w:t>
            </w:r>
          </w:p>
        </w:tc>
        <w:tc>
          <w:tcPr>
            <w:tcW w:w="917" w:type="dxa"/>
            <w:gridSpan w:val="3"/>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担保额度</w:t>
            </w:r>
          </w:p>
        </w:tc>
        <w:tc>
          <w:tcPr>
            <w:tcW w:w="1313"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实际发生日期（协议签署日）</w:t>
            </w:r>
          </w:p>
        </w:tc>
        <w:tc>
          <w:tcPr>
            <w:tcW w:w="104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实际担保金额</w:t>
            </w:r>
          </w:p>
        </w:tc>
        <w:tc>
          <w:tcPr>
            <w:tcW w:w="1054"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担保类型</w:t>
            </w:r>
          </w:p>
        </w:tc>
        <w:tc>
          <w:tcPr>
            <w:tcW w:w="104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担保期</w:t>
            </w:r>
          </w:p>
        </w:tc>
        <w:tc>
          <w:tcPr>
            <w:tcW w:w="786"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是否履行完毕</w:t>
            </w:r>
          </w:p>
        </w:tc>
        <w:tc>
          <w:tcPr>
            <w:tcW w:w="789"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是否为关联方担保</w:t>
            </w:r>
          </w:p>
        </w:tc>
      </w:tr>
      <w:tr>
        <w:tblPrEx>
          <w:tblLayout w:type="fixed"/>
          <w:tblCellMar>
            <w:top w:w="0" w:type="dxa"/>
            <w:left w:w="28" w:type="dxa"/>
            <w:bottom w:w="0" w:type="dxa"/>
            <w:right w:w="28" w:type="dxa"/>
          </w:tblCellMar>
        </w:tblPrEx>
        <w:tc>
          <w:tcPr>
            <w:tcW w:w="170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海兰盈华（香港）航海科技有限公司</w:t>
            </w:r>
          </w:p>
        </w:tc>
        <w:tc>
          <w:tcPr>
            <w:tcW w:w="91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2013</w:t>
            </w:r>
            <w:r>
              <w:rPr>
                <w:rFonts w:hint="eastAsia"/>
                <w:szCs w:val="24"/>
              </w:rPr>
              <w:t>年</w:t>
            </w:r>
            <w:r>
              <w:rPr>
                <w:szCs w:val="24"/>
              </w:rPr>
              <w:t>12</w:t>
            </w:r>
            <w:r>
              <w:rPr>
                <w:rFonts w:hint="eastAsia"/>
                <w:szCs w:val="24"/>
              </w:rPr>
              <w:t>月</w:t>
            </w:r>
            <w:r>
              <w:rPr>
                <w:szCs w:val="24"/>
              </w:rPr>
              <w:t>31</w:t>
            </w:r>
            <w:r>
              <w:rPr>
                <w:rFonts w:hint="eastAsia"/>
                <w:szCs w:val="24"/>
              </w:rPr>
              <w:t>日</w:t>
            </w:r>
          </w:p>
        </w:tc>
        <w:tc>
          <w:tcPr>
            <w:tcW w:w="917" w:type="dxa"/>
            <w:gridSpan w:val="3"/>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4,000</w:t>
            </w:r>
          </w:p>
        </w:tc>
        <w:tc>
          <w:tcPr>
            <w:tcW w:w="1313"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2014</w:t>
            </w:r>
            <w:r>
              <w:rPr>
                <w:rFonts w:hint="eastAsia"/>
                <w:szCs w:val="24"/>
              </w:rPr>
              <w:t>年</w:t>
            </w:r>
            <w:r>
              <w:rPr>
                <w:szCs w:val="24"/>
              </w:rPr>
              <w:t>01</w:t>
            </w:r>
            <w:r>
              <w:rPr>
                <w:rFonts w:hint="eastAsia"/>
                <w:szCs w:val="24"/>
              </w:rPr>
              <w:t>月</w:t>
            </w:r>
            <w:r>
              <w:rPr>
                <w:szCs w:val="24"/>
              </w:rPr>
              <w:t>02</w:t>
            </w:r>
            <w:r>
              <w:rPr>
                <w:rFonts w:hint="eastAsia"/>
                <w:szCs w:val="24"/>
              </w:rPr>
              <w:t>日</w:t>
            </w:r>
          </w:p>
        </w:tc>
        <w:tc>
          <w:tcPr>
            <w:tcW w:w="104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1054"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连带责任保证</w:t>
            </w:r>
          </w:p>
        </w:tc>
        <w:tc>
          <w:tcPr>
            <w:tcW w:w="104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3</w:t>
            </w:r>
            <w:r>
              <w:rPr>
                <w:rFonts w:hint="eastAsia"/>
                <w:szCs w:val="24"/>
              </w:rPr>
              <w:t>年</w:t>
            </w:r>
          </w:p>
        </w:tc>
        <w:tc>
          <w:tcPr>
            <w:tcW w:w="786"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789"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2632" w:type="dxa"/>
            <w:gridSpan w:val="3"/>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报告期内审批对子公司担保额度合计（</w:t>
            </w:r>
            <w:r>
              <w:rPr>
                <w:szCs w:val="24"/>
              </w:rPr>
              <w:t>C1</w:t>
            </w:r>
            <w:r>
              <w:rPr>
                <w:rFonts w:hint="eastAsia"/>
                <w:szCs w:val="24"/>
              </w:rPr>
              <w:t>）</w:t>
            </w:r>
          </w:p>
        </w:tc>
        <w:tc>
          <w:tcPr>
            <w:tcW w:w="2223" w:type="dxa"/>
            <w:gridSpan w:val="4"/>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2098" w:type="dxa"/>
            <w:gridSpan w:val="3"/>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报告期内对子公司担保实际发生额合计（</w:t>
            </w:r>
            <w:r>
              <w:rPr>
                <w:szCs w:val="24"/>
              </w:rPr>
              <w:t>C2</w:t>
            </w:r>
            <w:r>
              <w:rPr>
                <w:rFonts w:hint="eastAsia"/>
                <w:szCs w:val="24"/>
              </w:rPr>
              <w:t>）</w:t>
            </w:r>
          </w:p>
        </w:tc>
        <w:tc>
          <w:tcPr>
            <w:tcW w:w="2620" w:type="dxa"/>
            <w:gridSpan w:val="5"/>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r>
      <w:tr>
        <w:tblPrEx>
          <w:tblLayout w:type="fixed"/>
          <w:tblCellMar>
            <w:top w:w="0" w:type="dxa"/>
            <w:left w:w="28" w:type="dxa"/>
            <w:bottom w:w="0" w:type="dxa"/>
            <w:right w:w="28" w:type="dxa"/>
          </w:tblCellMar>
        </w:tblPrEx>
        <w:tc>
          <w:tcPr>
            <w:tcW w:w="2632" w:type="dxa"/>
            <w:gridSpan w:val="3"/>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报告期末已审批的对子公司担保额度合计（</w:t>
            </w:r>
            <w:r>
              <w:rPr>
                <w:szCs w:val="24"/>
              </w:rPr>
              <w:t>C3</w:t>
            </w:r>
            <w:r>
              <w:rPr>
                <w:rFonts w:hint="eastAsia"/>
                <w:szCs w:val="24"/>
              </w:rPr>
              <w:t>）</w:t>
            </w:r>
          </w:p>
        </w:tc>
        <w:tc>
          <w:tcPr>
            <w:tcW w:w="2223" w:type="dxa"/>
            <w:gridSpan w:val="4"/>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4,000</w:t>
            </w:r>
          </w:p>
        </w:tc>
        <w:tc>
          <w:tcPr>
            <w:tcW w:w="2098" w:type="dxa"/>
            <w:gridSpan w:val="3"/>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报告期末对子公司实际担保余额合计（</w:t>
            </w:r>
            <w:r>
              <w:rPr>
                <w:szCs w:val="24"/>
              </w:rPr>
              <w:t>C4</w:t>
            </w:r>
            <w:r>
              <w:rPr>
                <w:rFonts w:hint="eastAsia"/>
                <w:szCs w:val="24"/>
              </w:rPr>
              <w:t>）</w:t>
            </w:r>
          </w:p>
        </w:tc>
        <w:tc>
          <w:tcPr>
            <w:tcW w:w="2620" w:type="dxa"/>
            <w:gridSpan w:val="5"/>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r>
      <w:tr>
        <w:tblPrEx>
          <w:tblLayout w:type="fixed"/>
          <w:tblCellMar>
            <w:top w:w="0" w:type="dxa"/>
            <w:left w:w="28" w:type="dxa"/>
            <w:bottom w:w="0" w:type="dxa"/>
            <w:right w:w="28" w:type="dxa"/>
          </w:tblCellMar>
        </w:tblPrEx>
        <w:tc>
          <w:tcPr>
            <w:tcW w:w="9573" w:type="dxa"/>
            <w:gridSpan w:val="15"/>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公司担保总额（即前三大项的合计）</w:t>
            </w:r>
          </w:p>
        </w:tc>
      </w:tr>
      <w:tr>
        <w:tblPrEx>
          <w:tblLayout w:type="fixed"/>
          <w:tblCellMar>
            <w:top w:w="0" w:type="dxa"/>
            <w:left w:w="28" w:type="dxa"/>
            <w:bottom w:w="0" w:type="dxa"/>
            <w:right w:w="28" w:type="dxa"/>
          </w:tblCellMar>
        </w:tblPrEx>
        <w:tc>
          <w:tcPr>
            <w:tcW w:w="2632" w:type="dxa"/>
            <w:gridSpan w:val="3"/>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报告期内审批担保额度合计（</w:t>
            </w:r>
            <w:r>
              <w:rPr>
                <w:szCs w:val="24"/>
              </w:rPr>
              <w:t>A1+B1+C1</w:t>
            </w:r>
            <w:r>
              <w:rPr>
                <w:rFonts w:hint="eastAsia"/>
                <w:szCs w:val="24"/>
              </w:rPr>
              <w:t>）</w:t>
            </w:r>
          </w:p>
        </w:tc>
        <w:tc>
          <w:tcPr>
            <w:tcW w:w="2223" w:type="dxa"/>
            <w:gridSpan w:val="4"/>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8,766.86</w:t>
            </w:r>
          </w:p>
        </w:tc>
        <w:tc>
          <w:tcPr>
            <w:tcW w:w="2098" w:type="dxa"/>
            <w:gridSpan w:val="3"/>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报告期内担保实际发生额合计（</w:t>
            </w:r>
            <w:r>
              <w:rPr>
                <w:szCs w:val="24"/>
              </w:rPr>
              <w:t>A2+B2+C2</w:t>
            </w:r>
            <w:r>
              <w:rPr>
                <w:rFonts w:hint="eastAsia"/>
                <w:szCs w:val="24"/>
              </w:rPr>
              <w:t>）</w:t>
            </w:r>
          </w:p>
        </w:tc>
        <w:tc>
          <w:tcPr>
            <w:tcW w:w="2620" w:type="dxa"/>
            <w:gridSpan w:val="5"/>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6,776.36</w:t>
            </w:r>
          </w:p>
        </w:tc>
      </w:tr>
      <w:tr>
        <w:tblPrEx>
          <w:tblLayout w:type="fixed"/>
          <w:tblCellMar>
            <w:top w:w="0" w:type="dxa"/>
            <w:left w:w="28" w:type="dxa"/>
            <w:bottom w:w="0" w:type="dxa"/>
            <w:right w:w="28" w:type="dxa"/>
          </w:tblCellMar>
        </w:tblPrEx>
        <w:tc>
          <w:tcPr>
            <w:tcW w:w="2632" w:type="dxa"/>
            <w:gridSpan w:val="3"/>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报告期末已审批的担保额度合计（</w:t>
            </w:r>
            <w:r>
              <w:rPr>
                <w:szCs w:val="24"/>
              </w:rPr>
              <w:t>A3+B3+C3</w:t>
            </w:r>
            <w:r>
              <w:rPr>
                <w:rFonts w:hint="eastAsia"/>
                <w:szCs w:val="24"/>
              </w:rPr>
              <w:t>）</w:t>
            </w:r>
          </w:p>
        </w:tc>
        <w:tc>
          <w:tcPr>
            <w:tcW w:w="2223" w:type="dxa"/>
            <w:gridSpan w:val="4"/>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15,166.86</w:t>
            </w:r>
          </w:p>
        </w:tc>
        <w:tc>
          <w:tcPr>
            <w:tcW w:w="2098" w:type="dxa"/>
            <w:gridSpan w:val="3"/>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报告期末实际担保余额合计（</w:t>
            </w:r>
            <w:r>
              <w:rPr>
                <w:szCs w:val="24"/>
              </w:rPr>
              <w:t>A4+B4+C4</w:t>
            </w:r>
            <w:r>
              <w:rPr>
                <w:rFonts w:hint="eastAsia"/>
                <w:szCs w:val="24"/>
              </w:rPr>
              <w:t>）</w:t>
            </w:r>
          </w:p>
        </w:tc>
        <w:tc>
          <w:tcPr>
            <w:tcW w:w="2620" w:type="dxa"/>
            <w:gridSpan w:val="5"/>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9,176.36</w:t>
            </w:r>
          </w:p>
        </w:tc>
      </w:tr>
      <w:tr>
        <w:tblPrEx>
          <w:tblLayout w:type="fixed"/>
          <w:tblCellMar>
            <w:top w:w="0" w:type="dxa"/>
            <w:left w:w="28" w:type="dxa"/>
            <w:bottom w:w="0" w:type="dxa"/>
            <w:right w:w="28" w:type="dxa"/>
          </w:tblCellMar>
        </w:tblPrEx>
        <w:tc>
          <w:tcPr>
            <w:tcW w:w="4855" w:type="dxa"/>
            <w:gridSpan w:val="7"/>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实际担保总额（即</w:t>
            </w:r>
            <w:r>
              <w:rPr>
                <w:szCs w:val="24"/>
              </w:rPr>
              <w:t>A4+B4+C4</w:t>
            </w:r>
            <w:r>
              <w:rPr>
                <w:rFonts w:hint="eastAsia"/>
                <w:szCs w:val="24"/>
              </w:rPr>
              <w:t>）占公司净资产的比例</w:t>
            </w:r>
          </w:p>
        </w:tc>
        <w:tc>
          <w:tcPr>
            <w:tcW w:w="4718" w:type="dxa"/>
            <w:gridSpan w:val="8"/>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7.28%</w:t>
            </w:r>
          </w:p>
        </w:tc>
      </w:tr>
      <w:tr>
        <w:tblPrEx>
          <w:tblLayout w:type="fixed"/>
          <w:tblCellMar>
            <w:top w:w="0" w:type="dxa"/>
            <w:left w:w="28" w:type="dxa"/>
            <w:bottom w:w="0" w:type="dxa"/>
            <w:right w:w="28" w:type="dxa"/>
          </w:tblCellMar>
        </w:tblPrEx>
        <w:tc>
          <w:tcPr>
            <w:tcW w:w="9573" w:type="dxa"/>
            <w:gridSpan w:val="15"/>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其中：</w:t>
            </w:r>
          </w:p>
        </w:tc>
      </w:tr>
      <w:tr>
        <w:tblPrEx>
          <w:tblLayout w:type="fixed"/>
          <w:tblCellMar>
            <w:top w:w="0" w:type="dxa"/>
            <w:left w:w="28" w:type="dxa"/>
            <w:bottom w:w="0" w:type="dxa"/>
            <w:right w:w="28" w:type="dxa"/>
          </w:tblCellMar>
        </w:tblPrEx>
        <w:tc>
          <w:tcPr>
            <w:tcW w:w="4855" w:type="dxa"/>
            <w:gridSpan w:val="7"/>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为股东、实际控制人及其关联方提供担保的余额（</w:t>
            </w:r>
            <w:r>
              <w:rPr>
                <w:szCs w:val="24"/>
              </w:rPr>
              <w:t>D</w:t>
            </w:r>
            <w:r>
              <w:rPr>
                <w:rFonts w:hint="eastAsia"/>
                <w:szCs w:val="24"/>
              </w:rPr>
              <w:t>）</w:t>
            </w:r>
          </w:p>
        </w:tc>
        <w:tc>
          <w:tcPr>
            <w:tcW w:w="4718" w:type="dxa"/>
            <w:gridSpan w:val="8"/>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r>
      <w:tr>
        <w:tblPrEx>
          <w:tblLayout w:type="fixed"/>
          <w:tblCellMar>
            <w:top w:w="0" w:type="dxa"/>
            <w:left w:w="28" w:type="dxa"/>
            <w:bottom w:w="0" w:type="dxa"/>
            <w:right w:w="28" w:type="dxa"/>
          </w:tblCellMar>
        </w:tblPrEx>
        <w:tc>
          <w:tcPr>
            <w:tcW w:w="4855" w:type="dxa"/>
            <w:gridSpan w:val="7"/>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直接或间接为资产负债率超过</w:t>
            </w:r>
            <w:r>
              <w:rPr>
                <w:szCs w:val="24"/>
              </w:rPr>
              <w:t>70%</w:t>
            </w:r>
            <w:r>
              <w:rPr>
                <w:rFonts w:hint="eastAsia"/>
                <w:szCs w:val="24"/>
              </w:rPr>
              <w:t>的被担保对象提供的债务担保余额（</w:t>
            </w:r>
            <w:r>
              <w:rPr>
                <w:szCs w:val="24"/>
              </w:rPr>
              <w:t>E</w:t>
            </w:r>
            <w:r>
              <w:rPr>
                <w:rFonts w:hint="eastAsia"/>
                <w:szCs w:val="24"/>
              </w:rPr>
              <w:t>）</w:t>
            </w:r>
          </w:p>
        </w:tc>
        <w:tc>
          <w:tcPr>
            <w:tcW w:w="4718" w:type="dxa"/>
            <w:gridSpan w:val="8"/>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2,000</w:t>
            </w:r>
          </w:p>
        </w:tc>
      </w:tr>
      <w:tr>
        <w:tblPrEx>
          <w:tblLayout w:type="fixed"/>
          <w:tblCellMar>
            <w:top w:w="0" w:type="dxa"/>
            <w:left w:w="28" w:type="dxa"/>
            <w:bottom w:w="0" w:type="dxa"/>
            <w:right w:w="28" w:type="dxa"/>
          </w:tblCellMar>
        </w:tblPrEx>
        <w:tc>
          <w:tcPr>
            <w:tcW w:w="4855" w:type="dxa"/>
            <w:gridSpan w:val="7"/>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担保总额超过净资产</w:t>
            </w:r>
            <w:r>
              <w:rPr>
                <w:szCs w:val="24"/>
              </w:rPr>
              <w:t>50%</w:t>
            </w:r>
            <w:r>
              <w:rPr>
                <w:rFonts w:hint="eastAsia"/>
                <w:szCs w:val="24"/>
              </w:rPr>
              <w:t>部分的金额（</w:t>
            </w:r>
            <w:r>
              <w:rPr>
                <w:szCs w:val="24"/>
              </w:rPr>
              <w:t>F</w:t>
            </w:r>
            <w:r>
              <w:rPr>
                <w:rFonts w:hint="eastAsia"/>
                <w:szCs w:val="24"/>
              </w:rPr>
              <w:t>）</w:t>
            </w:r>
          </w:p>
        </w:tc>
        <w:tc>
          <w:tcPr>
            <w:tcW w:w="4718" w:type="dxa"/>
            <w:gridSpan w:val="8"/>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r>
      <w:tr>
        <w:tblPrEx>
          <w:tblLayout w:type="fixed"/>
          <w:tblCellMar>
            <w:top w:w="0" w:type="dxa"/>
            <w:left w:w="28" w:type="dxa"/>
            <w:bottom w:w="0" w:type="dxa"/>
            <w:right w:w="28" w:type="dxa"/>
          </w:tblCellMar>
        </w:tblPrEx>
        <w:tc>
          <w:tcPr>
            <w:tcW w:w="4855" w:type="dxa"/>
            <w:gridSpan w:val="7"/>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上述三项担保金额合计（</w:t>
            </w:r>
            <w:r>
              <w:rPr>
                <w:szCs w:val="24"/>
              </w:rPr>
              <w:t>D+E+F</w:t>
            </w:r>
            <w:r>
              <w:rPr>
                <w:rFonts w:hint="eastAsia"/>
                <w:szCs w:val="24"/>
              </w:rPr>
              <w:t>）</w:t>
            </w:r>
          </w:p>
        </w:tc>
        <w:tc>
          <w:tcPr>
            <w:tcW w:w="4718" w:type="dxa"/>
            <w:gridSpan w:val="8"/>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2,000</w:t>
            </w:r>
          </w:p>
        </w:tc>
      </w:tr>
      <w:tr>
        <w:tblPrEx>
          <w:tblLayout w:type="fixed"/>
          <w:tblCellMar>
            <w:top w:w="0" w:type="dxa"/>
            <w:left w:w="28" w:type="dxa"/>
            <w:bottom w:w="0" w:type="dxa"/>
            <w:right w:w="28" w:type="dxa"/>
          </w:tblCellMar>
        </w:tblPrEx>
        <w:tc>
          <w:tcPr>
            <w:tcW w:w="4855" w:type="dxa"/>
            <w:gridSpan w:val="7"/>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对未到期担保，报告期内已发生担保责任或可能承担连带清偿责任的情况说明（如有）</w:t>
            </w:r>
          </w:p>
        </w:tc>
        <w:tc>
          <w:tcPr>
            <w:tcW w:w="4718" w:type="dxa"/>
            <w:gridSpan w:val="8"/>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无</w:t>
            </w:r>
          </w:p>
        </w:tc>
      </w:tr>
      <w:tr>
        <w:tblPrEx>
          <w:tblLayout w:type="fixed"/>
          <w:tblCellMar>
            <w:top w:w="0" w:type="dxa"/>
            <w:left w:w="28" w:type="dxa"/>
            <w:bottom w:w="0" w:type="dxa"/>
            <w:right w:w="28" w:type="dxa"/>
          </w:tblCellMar>
        </w:tblPrEx>
        <w:tc>
          <w:tcPr>
            <w:tcW w:w="4855" w:type="dxa"/>
            <w:gridSpan w:val="7"/>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违反规定程序对外提供担保的说明（如有）</w:t>
            </w:r>
          </w:p>
        </w:tc>
        <w:tc>
          <w:tcPr>
            <w:tcW w:w="4718" w:type="dxa"/>
            <w:gridSpan w:val="8"/>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无</w:t>
            </w:r>
          </w:p>
        </w:tc>
      </w:tr>
    </w:tbl>
    <w:p>
      <w:pPr>
        <w:jc w:val="left"/>
        <w:rPr>
          <w:szCs w:val="24"/>
        </w:rPr>
      </w:pPr>
      <w:r>
        <w:rPr>
          <w:rFonts w:hint="eastAsia"/>
          <w:szCs w:val="24"/>
        </w:rPr>
        <w:t>采用复合方式担保的具体情况说明</w:t>
      </w:r>
    </w:p>
    <w:p>
      <w:pPr>
        <w:pStyle w:val="11"/>
        <w:outlineLvl w:val="3"/>
        <w:rPr>
          <w:bCs w:val="0"/>
          <w:szCs w:val="24"/>
        </w:rPr>
      </w:pPr>
      <w:r>
        <w:rPr>
          <w:rFonts w:hint="eastAsia"/>
          <w:bCs w:val="0"/>
          <w:szCs w:val="24"/>
        </w:rPr>
        <w:t>（</w:t>
      </w:r>
      <w:r>
        <w:rPr>
          <w:bCs w:val="0"/>
          <w:szCs w:val="24"/>
        </w:rPr>
        <w:t>2</w:t>
      </w:r>
      <w:r>
        <w:rPr>
          <w:rFonts w:hint="eastAsia"/>
          <w:bCs w:val="0"/>
          <w:szCs w:val="24"/>
        </w:rPr>
        <w:t>）违规对外担保情况</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jc w:val="left"/>
        <w:rPr>
          <w:szCs w:val="24"/>
        </w:rPr>
      </w:pPr>
      <w:r>
        <w:rPr>
          <w:rFonts w:hint="eastAsia"/>
          <w:szCs w:val="24"/>
        </w:rPr>
        <w:t>公司报告期无违规对外担保情况。</w:t>
      </w:r>
    </w:p>
    <w:p>
      <w:pPr>
        <w:pStyle w:val="11"/>
        <w:outlineLvl w:val="2"/>
        <w:rPr>
          <w:bCs w:val="0"/>
          <w:szCs w:val="24"/>
        </w:rPr>
      </w:pPr>
      <w:r>
        <w:rPr>
          <w:bCs w:val="0"/>
          <w:szCs w:val="24"/>
        </w:rPr>
        <w:t>3</w:t>
      </w:r>
      <w:r>
        <w:rPr>
          <w:rFonts w:hint="eastAsia"/>
          <w:bCs w:val="0"/>
          <w:szCs w:val="24"/>
        </w:rPr>
        <w:t>、委托他人进行现金资产管理情况</w:t>
      </w:r>
    </w:p>
    <w:p>
      <w:pPr>
        <w:pStyle w:val="11"/>
        <w:outlineLvl w:val="3"/>
        <w:rPr>
          <w:bCs w:val="0"/>
          <w:szCs w:val="24"/>
        </w:rPr>
      </w:pPr>
      <w:r>
        <w:rPr>
          <w:rFonts w:hint="eastAsia"/>
          <w:bCs w:val="0"/>
          <w:szCs w:val="24"/>
        </w:rPr>
        <w:t>（</w:t>
      </w:r>
      <w:r>
        <w:rPr>
          <w:bCs w:val="0"/>
          <w:szCs w:val="24"/>
        </w:rPr>
        <w:t>1</w:t>
      </w:r>
      <w:r>
        <w:rPr>
          <w:rFonts w:hint="eastAsia"/>
          <w:bCs w:val="0"/>
          <w:szCs w:val="24"/>
        </w:rPr>
        <w:t>）委托理财情况</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jc w:val="right"/>
        <w:rPr>
          <w:szCs w:val="24"/>
        </w:rPr>
      </w:pPr>
      <w:r>
        <w:rPr>
          <w:rFonts w:hint="eastAsia"/>
          <w:szCs w:val="24"/>
        </w:rPr>
        <w:t>单位：万元</w:t>
      </w:r>
    </w:p>
    <w:tbl>
      <w:tblPr>
        <w:tblStyle w:val="8"/>
        <w:tblW w:w="9569" w:type="dxa"/>
        <w:tblInd w:w="28" w:type="dxa"/>
        <w:tblLayout w:type="fixed"/>
        <w:tblCellMar>
          <w:top w:w="0" w:type="dxa"/>
          <w:left w:w="28" w:type="dxa"/>
          <w:bottom w:w="0" w:type="dxa"/>
          <w:right w:w="28" w:type="dxa"/>
        </w:tblCellMar>
      </w:tblPr>
      <w:tblGrid>
        <w:gridCol w:w="801"/>
        <w:gridCol w:w="833"/>
        <w:gridCol w:w="838"/>
        <w:gridCol w:w="875"/>
        <w:gridCol w:w="805"/>
        <w:gridCol w:w="804"/>
        <w:gridCol w:w="802"/>
        <w:gridCol w:w="804"/>
        <w:gridCol w:w="804"/>
        <w:gridCol w:w="802"/>
        <w:gridCol w:w="804"/>
        <w:gridCol w:w="597"/>
      </w:tblGrid>
      <w:tr>
        <w:tblPrEx>
          <w:tblLayout w:type="fixed"/>
        </w:tblPrEx>
        <w:tc>
          <w:tcPr>
            <w:tcW w:w="80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受托人名称</w:t>
            </w:r>
          </w:p>
        </w:tc>
        <w:tc>
          <w:tcPr>
            <w:tcW w:w="83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是否关联交易</w:t>
            </w:r>
          </w:p>
        </w:tc>
        <w:tc>
          <w:tcPr>
            <w:tcW w:w="838"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产品类型</w:t>
            </w:r>
          </w:p>
        </w:tc>
        <w:tc>
          <w:tcPr>
            <w:tcW w:w="87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委托理财金额</w:t>
            </w:r>
          </w:p>
        </w:tc>
        <w:tc>
          <w:tcPr>
            <w:tcW w:w="80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起始日期</w:t>
            </w:r>
          </w:p>
        </w:tc>
        <w:tc>
          <w:tcPr>
            <w:tcW w:w="80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终止日期</w:t>
            </w:r>
          </w:p>
        </w:tc>
        <w:tc>
          <w:tcPr>
            <w:tcW w:w="80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报酬确定方式</w:t>
            </w:r>
          </w:p>
        </w:tc>
        <w:tc>
          <w:tcPr>
            <w:tcW w:w="80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本期实际收回本金金额</w:t>
            </w:r>
          </w:p>
        </w:tc>
        <w:tc>
          <w:tcPr>
            <w:tcW w:w="80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计提减值准备金额（如有）</w:t>
            </w:r>
          </w:p>
        </w:tc>
        <w:tc>
          <w:tcPr>
            <w:tcW w:w="80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预计收益</w:t>
            </w:r>
          </w:p>
        </w:tc>
        <w:tc>
          <w:tcPr>
            <w:tcW w:w="80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报告期实际损益金额</w:t>
            </w:r>
          </w:p>
        </w:tc>
        <w:tc>
          <w:tcPr>
            <w:tcW w:w="59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报告期损益实际收回情况</w:t>
            </w:r>
          </w:p>
        </w:tc>
      </w:tr>
      <w:tr>
        <w:tblPrEx>
          <w:tblLayout w:type="fixed"/>
          <w:tblCellMar>
            <w:top w:w="0" w:type="dxa"/>
            <w:left w:w="28" w:type="dxa"/>
            <w:bottom w:w="0" w:type="dxa"/>
            <w:right w:w="28" w:type="dxa"/>
          </w:tblCellMar>
        </w:tblPrEx>
        <w:tc>
          <w:tcPr>
            <w:tcW w:w="8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农业银行</w:t>
            </w:r>
          </w:p>
        </w:tc>
        <w:tc>
          <w:tcPr>
            <w:tcW w:w="83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83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银行理财产品</w:t>
            </w:r>
          </w:p>
        </w:tc>
        <w:tc>
          <w:tcPr>
            <w:tcW w:w="8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300</w:t>
            </w:r>
          </w:p>
        </w:tc>
        <w:tc>
          <w:tcPr>
            <w:tcW w:w="80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02</w:t>
            </w:r>
            <w:r>
              <w:rPr>
                <w:rFonts w:hint="eastAsia"/>
                <w:szCs w:val="24"/>
              </w:rPr>
              <w:t>月</w:t>
            </w:r>
            <w:r>
              <w:rPr>
                <w:szCs w:val="24"/>
              </w:rPr>
              <w:t>16</w:t>
            </w:r>
            <w:r>
              <w:rPr>
                <w:rFonts w:hint="eastAsia"/>
                <w:szCs w:val="24"/>
              </w:rPr>
              <w:t>日</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04</w:t>
            </w:r>
            <w:r>
              <w:rPr>
                <w:rFonts w:hint="eastAsia"/>
                <w:szCs w:val="24"/>
              </w:rPr>
              <w:t>月</w:t>
            </w:r>
            <w:r>
              <w:rPr>
                <w:szCs w:val="24"/>
              </w:rPr>
              <w:t>30</w:t>
            </w:r>
            <w:r>
              <w:rPr>
                <w:rFonts w:hint="eastAsia"/>
                <w:szCs w:val="24"/>
              </w:rPr>
              <w:t>日</w:t>
            </w: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到期时支取全部本金及理财收益</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300</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1.17</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1.17</w:t>
            </w:r>
          </w:p>
        </w:tc>
        <w:tc>
          <w:tcPr>
            <w:tcW w:w="5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全部收回</w:t>
            </w:r>
          </w:p>
        </w:tc>
      </w:tr>
      <w:tr>
        <w:tblPrEx>
          <w:tblLayout w:type="fixed"/>
          <w:tblCellMar>
            <w:top w:w="0" w:type="dxa"/>
            <w:left w:w="28" w:type="dxa"/>
            <w:bottom w:w="0" w:type="dxa"/>
            <w:right w:w="28" w:type="dxa"/>
          </w:tblCellMar>
        </w:tblPrEx>
        <w:tc>
          <w:tcPr>
            <w:tcW w:w="8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农业银行</w:t>
            </w:r>
          </w:p>
        </w:tc>
        <w:tc>
          <w:tcPr>
            <w:tcW w:w="83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83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银行理财产品</w:t>
            </w:r>
          </w:p>
        </w:tc>
        <w:tc>
          <w:tcPr>
            <w:tcW w:w="8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1,300</w:t>
            </w:r>
          </w:p>
        </w:tc>
        <w:tc>
          <w:tcPr>
            <w:tcW w:w="80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02</w:t>
            </w:r>
            <w:r>
              <w:rPr>
                <w:rFonts w:hint="eastAsia"/>
                <w:szCs w:val="24"/>
              </w:rPr>
              <w:t>月</w:t>
            </w:r>
            <w:r>
              <w:rPr>
                <w:szCs w:val="24"/>
              </w:rPr>
              <w:t>16</w:t>
            </w:r>
            <w:r>
              <w:rPr>
                <w:rFonts w:hint="eastAsia"/>
                <w:szCs w:val="24"/>
              </w:rPr>
              <w:t>日</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03</w:t>
            </w:r>
            <w:r>
              <w:rPr>
                <w:rFonts w:hint="eastAsia"/>
                <w:szCs w:val="24"/>
              </w:rPr>
              <w:t>月</w:t>
            </w:r>
            <w:r>
              <w:rPr>
                <w:szCs w:val="24"/>
              </w:rPr>
              <w:t>22</w:t>
            </w:r>
            <w:r>
              <w:rPr>
                <w:rFonts w:hint="eastAsia"/>
                <w:szCs w:val="24"/>
              </w:rPr>
              <w:t>日</w:t>
            </w: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到期时支取全部本金及理财收益</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1,300</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3.51</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3.51</w:t>
            </w:r>
          </w:p>
        </w:tc>
        <w:tc>
          <w:tcPr>
            <w:tcW w:w="5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全部收回</w:t>
            </w:r>
          </w:p>
        </w:tc>
      </w:tr>
      <w:tr>
        <w:tblPrEx>
          <w:tblLayout w:type="fixed"/>
          <w:tblCellMar>
            <w:top w:w="0" w:type="dxa"/>
            <w:left w:w="28" w:type="dxa"/>
            <w:bottom w:w="0" w:type="dxa"/>
            <w:right w:w="28" w:type="dxa"/>
          </w:tblCellMar>
        </w:tblPrEx>
        <w:tc>
          <w:tcPr>
            <w:tcW w:w="8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农业银行</w:t>
            </w:r>
          </w:p>
        </w:tc>
        <w:tc>
          <w:tcPr>
            <w:tcW w:w="83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83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银行理财产品</w:t>
            </w:r>
          </w:p>
        </w:tc>
        <w:tc>
          <w:tcPr>
            <w:tcW w:w="8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360</w:t>
            </w:r>
          </w:p>
        </w:tc>
        <w:tc>
          <w:tcPr>
            <w:tcW w:w="80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03</w:t>
            </w:r>
            <w:r>
              <w:rPr>
                <w:rFonts w:hint="eastAsia"/>
                <w:szCs w:val="24"/>
              </w:rPr>
              <w:t>月</w:t>
            </w:r>
            <w:r>
              <w:rPr>
                <w:szCs w:val="24"/>
              </w:rPr>
              <w:t>04</w:t>
            </w:r>
            <w:r>
              <w:rPr>
                <w:rFonts w:hint="eastAsia"/>
                <w:szCs w:val="24"/>
              </w:rPr>
              <w:t>日</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04</w:t>
            </w:r>
            <w:r>
              <w:rPr>
                <w:rFonts w:hint="eastAsia"/>
                <w:szCs w:val="24"/>
              </w:rPr>
              <w:t>月</w:t>
            </w:r>
            <w:r>
              <w:rPr>
                <w:szCs w:val="24"/>
              </w:rPr>
              <w:t>08</w:t>
            </w:r>
            <w:r>
              <w:rPr>
                <w:rFonts w:hint="eastAsia"/>
                <w:szCs w:val="24"/>
              </w:rPr>
              <w:t>日</w:t>
            </w: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到期时支取全部本金及理财收益</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360</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0.96</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0.96</w:t>
            </w:r>
          </w:p>
        </w:tc>
        <w:tc>
          <w:tcPr>
            <w:tcW w:w="5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全部收回</w:t>
            </w:r>
          </w:p>
        </w:tc>
      </w:tr>
      <w:tr>
        <w:tblPrEx>
          <w:tblLayout w:type="fixed"/>
          <w:tblCellMar>
            <w:top w:w="0" w:type="dxa"/>
            <w:left w:w="28" w:type="dxa"/>
            <w:bottom w:w="0" w:type="dxa"/>
            <w:right w:w="28" w:type="dxa"/>
          </w:tblCellMar>
        </w:tblPrEx>
        <w:tc>
          <w:tcPr>
            <w:tcW w:w="8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农业银行</w:t>
            </w:r>
          </w:p>
        </w:tc>
        <w:tc>
          <w:tcPr>
            <w:tcW w:w="83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83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银行理财产品</w:t>
            </w:r>
          </w:p>
        </w:tc>
        <w:tc>
          <w:tcPr>
            <w:tcW w:w="8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500</w:t>
            </w:r>
          </w:p>
        </w:tc>
        <w:tc>
          <w:tcPr>
            <w:tcW w:w="80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04</w:t>
            </w:r>
            <w:r>
              <w:rPr>
                <w:rFonts w:hint="eastAsia"/>
                <w:szCs w:val="24"/>
              </w:rPr>
              <w:t>月</w:t>
            </w:r>
            <w:r>
              <w:rPr>
                <w:szCs w:val="24"/>
              </w:rPr>
              <w:t>07</w:t>
            </w:r>
            <w:r>
              <w:rPr>
                <w:rFonts w:hint="eastAsia"/>
                <w:szCs w:val="24"/>
              </w:rPr>
              <w:t>日</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12</w:t>
            </w:r>
            <w:r>
              <w:rPr>
                <w:rFonts w:hint="eastAsia"/>
                <w:szCs w:val="24"/>
              </w:rPr>
              <w:t>月</w:t>
            </w:r>
            <w:r>
              <w:rPr>
                <w:szCs w:val="24"/>
              </w:rPr>
              <w:t>20</w:t>
            </w:r>
            <w:r>
              <w:rPr>
                <w:rFonts w:hint="eastAsia"/>
                <w:szCs w:val="24"/>
              </w:rPr>
              <w:t>日</w:t>
            </w: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到期时支取全部本金及理财收益</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500</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2.11</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2.11</w:t>
            </w:r>
          </w:p>
        </w:tc>
        <w:tc>
          <w:tcPr>
            <w:tcW w:w="5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全部收回</w:t>
            </w:r>
          </w:p>
        </w:tc>
      </w:tr>
      <w:tr>
        <w:tblPrEx>
          <w:tblLayout w:type="fixed"/>
          <w:tblCellMar>
            <w:top w:w="0" w:type="dxa"/>
            <w:left w:w="28" w:type="dxa"/>
            <w:bottom w:w="0" w:type="dxa"/>
            <w:right w:w="28" w:type="dxa"/>
          </w:tblCellMar>
        </w:tblPrEx>
        <w:tc>
          <w:tcPr>
            <w:tcW w:w="8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农业银行</w:t>
            </w:r>
          </w:p>
        </w:tc>
        <w:tc>
          <w:tcPr>
            <w:tcW w:w="83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83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银行理财产品</w:t>
            </w:r>
          </w:p>
        </w:tc>
        <w:tc>
          <w:tcPr>
            <w:tcW w:w="8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1,000</w:t>
            </w:r>
          </w:p>
        </w:tc>
        <w:tc>
          <w:tcPr>
            <w:tcW w:w="80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04</w:t>
            </w:r>
            <w:r>
              <w:rPr>
                <w:rFonts w:hint="eastAsia"/>
                <w:szCs w:val="24"/>
              </w:rPr>
              <w:t>月</w:t>
            </w:r>
            <w:r>
              <w:rPr>
                <w:szCs w:val="24"/>
              </w:rPr>
              <w:t>25</w:t>
            </w:r>
            <w:r>
              <w:rPr>
                <w:rFonts w:hint="eastAsia"/>
                <w:szCs w:val="24"/>
              </w:rPr>
              <w:t>日</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05</w:t>
            </w:r>
            <w:r>
              <w:rPr>
                <w:rFonts w:hint="eastAsia"/>
                <w:szCs w:val="24"/>
              </w:rPr>
              <w:t>月</w:t>
            </w:r>
            <w:r>
              <w:rPr>
                <w:szCs w:val="24"/>
              </w:rPr>
              <w:t>30</w:t>
            </w:r>
            <w:r>
              <w:rPr>
                <w:rFonts w:hint="eastAsia"/>
                <w:szCs w:val="24"/>
              </w:rPr>
              <w:t>日</w:t>
            </w: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到期时支取全部本金及理财收益</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1,000</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2.56</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2.56</w:t>
            </w:r>
          </w:p>
        </w:tc>
        <w:tc>
          <w:tcPr>
            <w:tcW w:w="5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全部收回</w:t>
            </w:r>
          </w:p>
        </w:tc>
      </w:tr>
      <w:tr>
        <w:tblPrEx>
          <w:tblLayout w:type="fixed"/>
          <w:tblCellMar>
            <w:top w:w="0" w:type="dxa"/>
            <w:left w:w="28" w:type="dxa"/>
            <w:bottom w:w="0" w:type="dxa"/>
            <w:right w:w="28" w:type="dxa"/>
          </w:tblCellMar>
        </w:tblPrEx>
        <w:tc>
          <w:tcPr>
            <w:tcW w:w="8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农业银行</w:t>
            </w:r>
          </w:p>
        </w:tc>
        <w:tc>
          <w:tcPr>
            <w:tcW w:w="83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83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银行理财产品</w:t>
            </w:r>
          </w:p>
        </w:tc>
        <w:tc>
          <w:tcPr>
            <w:tcW w:w="8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1,000</w:t>
            </w:r>
          </w:p>
        </w:tc>
        <w:tc>
          <w:tcPr>
            <w:tcW w:w="80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06</w:t>
            </w:r>
            <w:r>
              <w:rPr>
                <w:rFonts w:hint="eastAsia"/>
                <w:szCs w:val="24"/>
              </w:rPr>
              <w:t>月</w:t>
            </w:r>
            <w:r>
              <w:rPr>
                <w:szCs w:val="24"/>
              </w:rPr>
              <w:t>03</w:t>
            </w:r>
            <w:r>
              <w:rPr>
                <w:rFonts w:hint="eastAsia"/>
                <w:szCs w:val="24"/>
              </w:rPr>
              <w:t>日</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07</w:t>
            </w:r>
            <w:r>
              <w:rPr>
                <w:rFonts w:hint="eastAsia"/>
                <w:szCs w:val="24"/>
              </w:rPr>
              <w:t>月</w:t>
            </w:r>
            <w:r>
              <w:rPr>
                <w:szCs w:val="24"/>
              </w:rPr>
              <w:t>08</w:t>
            </w:r>
            <w:r>
              <w:rPr>
                <w:rFonts w:hint="eastAsia"/>
                <w:szCs w:val="24"/>
              </w:rPr>
              <w:t>日</w:t>
            </w: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到期时支取全部本金及理财收益</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1,000</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2.42</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2.42</w:t>
            </w:r>
          </w:p>
        </w:tc>
        <w:tc>
          <w:tcPr>
            <w:tcW w:w="5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全部收回</w:t>
            </w:r>
          </w:p>
        </w:tc>
      </w:tr>
      <w:tr>
        <w:tblPrEx>
          <w:tblLayout w:type="fixed"/>
          <w:tblCellMar>
            <w:top w:w="0" w:type="dxa"/>
            <w:left w:w="28" w:type="dxa"/>
            <w:bottom w:w="0" w:type="dxa"/>
            <w:right w:w="28" w:type="dxa"/>
          </w:tblCellMar>
        </w:tblPrEx>
        <w:tc>
          <w:tcPr>
            <w:tcW w:w="8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农业银行</w:t>
            </w:r>
          </w:p>
        </w:tc>
        <w:tc>
          <w:tcPr>
            <w:tcW w:w="83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83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银行理财产品</w:t>
            </w:r>
          </w:p>
        </w:tc>
        <w:tc>
          <w:tcPr>
            <w:tcW w:w="8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700</w:t>
            </w:r>
          </w:p>
        </w:tc>
        <w:tc>
          <w:tcPr>
            <w:tcW w:w="80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11</w:t>
            </w:r>
            <w:r>
              <w:rPr>
                <w:rFonts w:hint="eastAsia"/>
                <w:szCs w:val="24"/>
              </w:rPr>
              <w:t>月</w:t>
            </w:r>
            <w:r>
              <w:rPr>
                <w:szCs w:val="24"/>
              </w:rPr>
              <w:t>30</w:t>
            </w:r>
            <w:r>
              <w:rPr>
                <w:rFonts w:hint="eastAsia"/>
                <w:szCs w:val="24"/>
              </w:rPr>
              <w:t>日</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12</w:t>
            </w:r>
            <w:r>
              <w:rPr>
                <w:rFonts w:hint="eastAsia"/>
                <w:szCs w:val="24"/>
              </w:rPr>
              <w:t>月</w:t>
            </w:r>
            <w:r>
              <w:rPr>
                <w:szCs w:val="24"/>
              </w:rPr>
              <w:t>28</w:t>
            </w:r>
            <w:r>
              <w:rPr>
                <w:rFonts w:hint="eastAsia"/>
                <w:szCs w:val="24"/>
              </w:rPr>
              <w:t>日</w:t>
            </w: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到期时支取全部本金及理财收益</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700</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1.02</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1.02</w:t>
            </w:r>
          </w:p>
        </w:tc>
        <w:tc>
          <w:tcPr>
            <w:tcW w:w="5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全部收回</w:t>
            </w:r>
          </w:p>
        </w:tc>
      </w:tr>
      <w:tr>
        <w:tblPrEx>
          <w:tblLayout w:type="fixed"/>
          <w:tblCellMar>
            <w:top w:w="0" w:type="dxa"/>
            <w:left w:w="28" w:type="dxa"/>
            <w:bottom w:w="0" w:type="dxa"/>
            <w:right w:w="28" w:type="dxa"/>
          </w:tblCellMar>
        </w:tblPrEx>
        <w:tc>
          <w:tcPr>
            <w:tcW w:w="8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平安银行</w:t>
            </w:r>
          </w:p>
        </w:tc>
        <w:tc>
          <w:tcPr>
            <w:tcW w:w="83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83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银行理财产品</w:t>
            </w:r>
          </w:p>
        </w:tc>
        <w:tc>
          <w:tcPr>
            <w:tcW w:w="8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450</w:t>
            </w:r>
          </w:p>
        </w:tc>
        <w:tc>
          <w:tcPr>
            <w:tcW w:w="80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07</w:t>
            </w:r>
            <w:r>
              <w:rPr>
                <w:rFonts w:hint="eastAsia"/>
                <w:szCs w:val="24"/>
              </w:rPr>
              <w:t>月</w:t>
            </w:r>
            <w:r>
              <w:rPr>
                <w:szCs w:val="24"/>
              </w:rPr>
              <w:t>20</w:t>
            </w:r>
            <w:r>
              <w:rPr>
                <w:rFonts w:hint="eastAsia"/>
                <w:szCs w:val="24"/>
              </w:rPr>
              <w:t>日</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2017</w:t>
            </w:r>
            <w:r>
              <w:rPr>
                <w:rFonts w:hint="eastAsia"/>
                <w:szCs w:val="24"/>
              </w:rPr>
              <w:t>年</w:t>
            </w:r>
            <w:r>
              <w:rPr>
                <w:szCs w:val="24"/>
              </w:rPr>
              <w:t>03</w:t>
            </w:r>
            <w:r>
              <w:rPr>
                <w:rFonts w:hint="eastAsia"/>
                <w:szCs w:val="24"/>
              </w:rPr>
              <w:t>月</w:t>
            </w:r>
            <w:r>
              <w:rPr>
                <w:szCs w:val="24"/>
              </w:rPr>
              <w:t>15</w:t>
            </w:r>
            <w:r>
              <w:rPr>
                <w:rFonts w:hint="eastAsia"/>
                <w:szCs w:val="24"/>
              </w:rPr>
              <w:t>日</w:t>
            </w: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到期时支取全部本金及理财收益</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5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未到期</w:t>
            </w:r>
          </w:p>
        </w:tc>
      </w:tr>
      <w:tr>
        <w:tblPrEx>
          <w:tblLayout w:type="fixed"/>
          <w:tblCellMar>
            <w:top w:w="0" w:type="dxa"/>
            <w:left w:w="28" w:type="dxa"/>
            <w:bottom w:w="0" w:type="dxa"/>
            <w:right w:w="28" w:type="dxa"/>
          </w:tblCellMar>
        </w:tblPrEx>
        <w:tc>
          <w:tcPr>
            <w:tcW w:w="8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民生银行</w:t>
            </w:r>
          </w:p>
        </w:tc>
        <w:tc>
          <w:tcPr>
            <w:tcW w:w="83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83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银行理财产品</w:t>
            </w:r>
          </w:p>
        </w:tc>
        <w:tc>
          <w:tcPr>
            <w:tcW w:w="8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367</w:t>
            </w:r>
          </w:p>
        </w:tc>
        <w:tc>
          <w:tcPr>
            <w:tcW w:w="80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2015</w:t>
            </w:r>
            <w:r>
              <w:rPr>
                <w:rFonts w:hint="eastAsia"/>
                <w:szCs w:val="24"/>
              </w:rPr>
              <w:t>年</w:t>
            </w:r>
            <w:r>
              <w:rPr>
                <w:szCs w:val="24"/>
              </w:rPr>
              <w:t>10</w:t>
            </w:r>
            <w:r>
              <w:rPr>
                <w:rFonts w:hint="eastAsia"/>
                <w:szCs w:val="24"/>
              </w:rPr>
              <w:t>月</w:t>
            </w:r>
            <w:r>
              <w:rPr>
                <w:szCs w:val="24"/>
              </w:rPr>
              <w:t>10</w:t>
            </w:r>
            <w:r>
              <w:rPr>
                <w:rFonts w:hint="eastAsia"/>
                <w:szCs w:val="24"/>
              </w:rPr>
              <w:t>日</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04</w:t>
            </w:r>
            <w:r>
              <w:rPr>
                <w:rFonts w:hint="eastAsia"/>
                <w:szCs w:val="24"/>
              </w:rPr>
              <w:t>月</w:t>
            </w:r>
            <w:r>
              <w:rPr>
                <w:szCs w:val="24"/>
              </w:rPr>
              <w:t>11</w:t>
            </w:r>
            <w:r>
              <w:rPr>
                <w:rFonts w:hint="eastAsia"/>
                <w:szCs w:val="24"/>
              </w:rPr>
              <w:t>日</w:t>
            </w: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到期时支取全部本金及理财收益</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367</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6.85</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6.85</w:t>
            </w:r>
          </w:p>
        </w:tc>
        <w:tc>
          <w:tcPr>
            <w:tcW w:w="5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全部收回</w:t>
            </w:r>
          </w:p>
        </w:tc>
      </w:tr>
      <w:tr>
        <w:tblPrEx>
          <w:tblLayout w:type="fixed"/>
          <w:tblCellMar>
            <w:top w:w="0" w:type="dxa"/>
            <w:left w:w="28" w:type="dxa"/>
            <w:bottom w:w="0" w:type="dxa"/>
            <w:right w:w="28" w:type="dxa"/>
          </w:tblCellMar>
        </w:tblPrEx>
        <w:tc>
          <w:tcPr>
            <w:tcW w:w="8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民生银行</w:t>
            </w:r>
          </w:p>
        </w:tc>
        <w:tc>
          <w:tcPr>
            <w:tcW w:w="83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83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银行理财产品</w:t>
            </w:r>
          </w:p>
        </w:tc>
        <w:tc>
          <w:tcPr>
            <w:tcW w:w="8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1,100</w:t>
            </w:r>
          </w:p>
        </w:tc>
        <w:tc>
          <w:tcPr>
            <w:tcW w:w="80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12</w:t>
            </w:r>
            <w:r>
              <w:rPr>
                <w:rFonts w:hint="eastAsia"/>
                <w:szCs w:val="24"/>
              </w:rPr>
              <w:t>月</w:t>
            </w:r>
            <w:r>
              <w:rPr>
                <w:szCs w:val="24"/>
              </w:rPr>
              <w:t>29</w:t>
            </w:r>
            <w:r>
              <w:rPr>
                <w:rFonts w:hint="eastAsia"/>
                <w:szCs w:val="24"/>
              </w:rPr>
              <w:t>日</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2017</w:t>
            </w:r>
            <w:r>
              <w:rPr>
                <w:rFonts w:hint="eastAsia"/>
                <w:szCs w:val="24"/>
              </w:rPr>
              <w:t>年</w:t>
            </w:r>
            <w:r>
              <w:rPr>
                <w:szCs w:val="24"/>
              </w:rPr>
              <w:t>02</w:t>
            </w:r>
            <w:r>
              <w:rPr>
                <w:rFonts w:hint="eastAsia"/>
                <w:szCs w:val="24"/>
              </w:rPr>
              <w:t>月</w:t>
            </w:r>
            <w:r>
              <w:rPr>
                <w:szCs w:val="24"/>
              </w:rPr>
              <w:t>02</w:t>
            </w:r>
            <w:r>
              <w:rPr>
                <w:rFonts w:hint="eastAsia"/>
                <w:szCs w:val="24"/>
              </w:rPr>
              <w:t>日</w:t>
            </w: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到期时支取全部本金及理财收益</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5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未到期</w:t>
            </w:r>
          </w:p>
        </w:tc>
      </w:tr>
      <w:tr>
        <w:tblPrEx>
          <w:tblLayout w:type="fixed"/>
          <w:tblCellMar>
            <w:top w:w="0" w:type="dxa"/>
            <w:left w:w="28" w:type="dxa"/>
            <w:bottom w:w="0" w:type="dxa"/>
            <w:right w:w="28" w:type="dxa"/>
          </w:tblCellMar>
        </w:tblPrEx>
        <w:tc>
          <w:tcPr>
            <w:tcW w:w="8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宁波银行</w:t>
            </w:r>
          </w:p>
        </w:tc>
        <w:tc>
          <w:tcPr>
            <w:tcW w:w="83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83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银行理财产品</w:t>
            </w:r>
          </w:p>
        </w:tc>
        <w:tc>
          <w:tcPr>
            <w:tcW w:w="8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900</w:t>
            </w:r>
          </w:p>
        </w:tc>
        <w:tc>
          <w:tcPr>
            <w:tcW w:w="80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10</w:t>
            </w:r>
            <w:r>
              <w:rPr>
                <w:rFonts w:hint="eastAsia"/>
                <w:szCs w:val="24"/>
              </w:rPr>
              <w:t>月</w:t>
            </w:r>
            <w:r>
              <w:rPr>
                <w:szCs w:val="24"/>
              </w:rPr>
              <w:t>18</w:t>
            </w:r>
            <w:r>
              <w:rPr>
                <w:rFonts w:hint="eastAsia"/>
                <w:szCs w:val="24"/>
              </w:rPr>
              <w:t>日</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11</w:t>
            </w:r>
            <w:r>
              <w:rPr>
                <w:rFonts w:hint="eastAsia"/>
                <w:szCs w:val="24"/>
              </w:rPr>
              <w:t>月</w:t>
            </w:r>
            <w:r>
              <w:rPr>
                <w:szCs w:val="24"/>
              </w:rPr>
              <w:t>17</w:t>
            </w:r>
            <w:r>
              <w:rPr>
                <w:rFonts w:hint="eastAsia"/>
                <w:szCs w:val="24"/>
              </w:rPr>
              <w:t>日</w:t>
            </w: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到期时支取全部本金及理财收益</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900</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2.92</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2.92</w:t>
            </w:r>
          </w:p>
        </w:tc>
        <w:tc>
          <w:tcPr>
            <w:tcW w:w="5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全部收回</w:t>
            </w:r>
          </w:p>
        </w:tc>
      </w:tr>
      <w:tr>
        <w:tblPrEx>
          <w:tblLayout w:type="fixed"/>
          <w:tblCellMar>
            <w:top w:w="0" w:type="dxa"/>
            <w:left w:w="28" w:type="dxa"/>
            <w:bottom w:w="0" w:type="dxa"/>
            <w:right w:w="28" w:type="dxa"/>
          </w:tblCellMar>
        </w:tblPrEx>
        <w:tc>
          <w:tcPr>
            <w:tcW w:w="8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宁波银行</w:t>
            </w:r>
          </w:p>
        </w:tc>
        <w:tc>
          <w:tcPr>
            <w:tcW w:w="83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83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银行理财产品</w:t>
            </w:r>
          </w:p>
        </w:tc>
        <w:tc>
          <w:tcPr>
            <w:tcW w:w="8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790</w:t>
            </w:r>
          </w:p>
        </w:tc>
        <w:tc>
          <w:tcPr>
            <w:tcW w:w="80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12</w:t>
            </w:r>
            <w:r>
              <w:rPr>
                <w:rFonts w:hint="eastAsia"/>
                <w:szCs w:val="24"/>
              </w:rPr>
              <w:t>月</w:t>
            </w:r>
            <w:r>
              <w:rPr>
                <w:szCs w:val="24"/>
              </w:rPr>
              <w:t>20</w:t>
            </w:r>
            <w:r>
              <w:rPr>
                <w:rFonts w:hint="eastAsia"/>
                <w:szCs w:val="24"/>
              </w:rPr>
              <w:t>日</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2017</w:t>
            </w:r>
            <w:r>
              <w:rPr>
                <w:rFonts w:hint="eastAsia"/>
                <w:szCs w:val="24"/>
              </w:rPr>
              <w:t>年</w:t>
            </w:r>
            <w:r>
              <w:rPr>
                <w:szCs w:val="24"/>
              </w:rPr>
              <w:t>01</w:t>
            </w:r>
            <w:r>
              <w:rPr>
                <w:rFonts w:hint="eastAsia"/>
                <w:szCs w:val="24"/>
              </w:rPr>
              <w:t>月</w:t>
            </w:r>
            <w:r>
              <w:rPr>
                <w:szCs w:val="24"/>
              </w:rPr>
              <w:t>03</w:t>
            </w:r>
            <w:r>
              <w:rPr>
                <w:rFonts w:hint="eastAsia"/>
                <w:szCs w:val="24"/>
              </w:rPr>
              <w:t>日</w:t>
            </w: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到期时支取全部本金及理财收益</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5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未到期</w:t>
            </w:r>
          </w:p>
        </w:tc>
      </w:tr>
      <w:tr>
        <w:tblPrEx>
          <w:tblLayout w:type="fixed"/>
          <w:tblCellMar>
            <w:top w:w="0" w:type="dxa"/>
            <w:left w:w="28" w:type="dxa"/>
            <w:bottom w:w="0" w:type="dxa"/>
            <w:right w:w="28" w:type="dxa"/>
          </w:tblCellMar>
        </w:tblPrEx>
        <w:tc>
          <w:tcPr>
            <w:tcW w:w="8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宁波银行</w:t>
            </w:r>
          </w:p>
        </w:tc>
        <w:tc>
          <w:tcPr>
            <w:tcW w:w="83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83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银行理财产品</w:t>
            </w:r>
          </w:p>
        </w:tc>
        <w:tc>
          <w:tcPr>
            <w:tcW w:w="8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3,000</w:t>
            </w:r>
          </w:p>
        </w:tc>
        <w:tc>
          <w:tcPr>
            <w:tcW w:w="80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12</w:t>
            </w:r>
            <w:r>
              <w:rPr>
                <w:rFonts w:hint="eastAsia"/>
                <w:szCs w:val="24"/>
              </w:rPr>
              <w:t>月</w:t>
            </w:r>
            <w:r>
              <w:rPr>
                <w:szCs w:val="24"/>
              </w:rPr>
              <w:t>22</w:t>
            </w:r>
            <w:r>
              <w:rPr>
                <w:rFonts w:hint="eastAsia"/>
                <w:szCs w:val="24"/>
              </w:rPr>
              <w:t>日</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2017</w:t>
            </w:r>
            <w:r>
              <w:rPr>
                <w:rFonts w:hint="eastAsia"/>
                <w:szCs w:val="24"/>
              </w:rPr>
              <w:t>年</w:t>
            </w:r>
            <w:r>
              <w:rPr>
                <w:szCs w:val="24"/>
              </w:rPr>
              <w:t>03</w:t>
            </w:r>
            <w:r>
              <w:rPr>
                <w:rFonts w:hint="eastAsia"/>
                <w:szCs w:val="24"/>
              </w:rPr>
              <w:t>月</w:t>
            </w:r>
            <w:r>
              <w:rPr>
                <w:szCs w:val="24"/>
              </w:rPr>
              <w:t>22</w:t>
            </w:r>
            <w:r>
              <w:rPr>
                <w:rFonts w:hint="eastAsia"/>
                <w:szCs w:val="24"/>
              </w:rPr>
              <w:t>日</w:t>
            </w: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到期时支取全部本金及理财收益</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5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未到期</w:t>
            </w:r>
          </w:p>
        </w:tc>
      </w:tr>
      <w:tr>
        <w:tblPrEx>
          <w:tblLayout w:type="fixed"/>
          <w:tblCellMar>
            <w:top w:w="0" w:type="dxa"/>
            <w:left w:w="28" w:type="dxa"/>
            <w:bottom w:w="0" w:type="dxa"/>
            <w:right w:w="28" w:type="dxa"/>
          </w:tblCellMar>
        </w:tblPrEx>
        <w:tc>
          <w:tcPr>
            <w:tcW w:w="8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宁波银行</w:t>
            </w:r>
          </w:p>
        </w:tc>
        <w:tc>
          <w:tcPr>
            <w:tcW w:w="83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83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银行理财产品</w:t>
            </w:r>
          </w:p>
        </w:tc>
        <w:tc>
          <w:tcPr>
            <w:tcW w:w="8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88</w:t>
            </w:r>
          </w:p>
        </w:tc>
        <w:tc>
          <w:tcPr>
            <w:tcW w:w="80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12</w:t>
            </w:r>
            <w:r>
              <w:rPr>
                <w:rFonts w:hint="eastAsia"/>
                <w:szCs w:val="24"/>
              </w:rPr>
              <w:t>月</w:t>
            </w:r>
            <w:r>
              <w:rPr>
                <w:szCs w:val="24"/>
              </w:rPr>
              <w:t>16</w:t>
            </w:r>
            <w:r>
              <w:rPr>
                <w:rFonts w:hint="eastAsia"/>
                <w:szCs w:val="24"/>
              </w:rPr>
              <w:t>日</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12</w:t>
            </w:r>
            <w:r>
              <w:rPr>
                <w:rFonts w:hint="eastAsia"/>
                <w:szCs w:val="24"/>
              </w:rPr>
              <w:t>月</w:t>
            </w:r>
            <w:r>
              <w:rPr>
                <w:szCs w:val="24"/>
              </w:rPr>
              <w:t>30</w:t>
            </w:r>
            <w:r>
              <w:rPr>
                <w:rFonts w:hint="eastAsia"/>
                <w:szCs w:val="24"/>
              </w:rPr>
              <w:t>日</w:t>
            </w: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到期时支取全部本金及理财收益</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88</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0.11</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0.11</w:t>
            </w:r>
          </w:p>
        </w:tc>
        <w:tc>
          <w:tcPr>
            <w:tcW w:w="5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全部收回</w:t>
            </w:r>
          </w:p>
        </w:tc>
      </w:tr>
      <w:tr>
        <w:tblPrEx>
          <w:tblLayout w:type="fixed"/>
          <w:tblCellMar>
            <w:top w:w="0" w:type="dxa"/>
            <w:left w:w="28" w:type="dxa"/>
            <w:bottom w:w="0" w:type="dxa"/>
            <w:right w:w="28" w:type="dxa"/>
          </w:tblCellMar>
        </w:tblPrEx>
        <w:tc>
          <w:tcPr>
            <w:tcW w:w="8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宁波银行</w:t>
            </w:r>
          </w:p>
        </w:tc>
        <w:tc>
          <w:tcPr>
            <w:tcW w:w="83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83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银行理财产品</w:t>
            </w:r>
          </w:p>
        </w:tc>
        <w:tc>
          <w:tcPr>
            <w:tcW w:w="8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800</w:t>
            </w:r>
          </w:p>
        </w:tc>
        <w:tc>
          <w:tcPr>
            <w:tcW w:w="80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12</w:t>
            </w:r>
            <w:r>
              <w:rPr>
                <w:rFonts w:hint="eastAsia"/>
                <w:szCs w:val="24"/>
              </w:rPr>
              <w:t>月</w:t>
            </w:r>
            <w:r>
              <w:rPr>
                <w:szCs w:val="24"/>
              </w:rPr>
              <w:t>01</w:t>
            </w:r>
            <w:r>
              <w:rPr>
                <w:rFonts w:hint="eastAsia"/>
                <w:szCs w:val="24"/>
              </w:rPr>
              <w:t>日</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12</w:t>
            </w:r>
            <w:r>
              <w:rPr>
                <w:rFonts w:hint="eastAsia"/>
                <w:szCs w:val="24"/>
              </w:rPr>
              <w:t>月</w:t>
            </w:r>
            <w:r>
              <w:rPr>
                <w:szCs w:val="24"/>
              </w:rPr>
              <w:t>15</w:t>
            </w:r>
            <w:r>
              <w:rPr>
                <w:rFonts w:hint="eastAsia"/>
                <w:szCs w:val="24"/>
              </w:rPr>
              <w:t>日</w:t>
            </w: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到期时支取全部本金及理财收益</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800</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0.94</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0.94</w:t>
            </w:r>
          </w:p>
        </w:tc>
        <w:tc>
          <w:tcPr>
            <w:tcW w:w="5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全部收回</w:t>
            </w:r>
          </w:p>
        </w:tc>
      </w:tr>
      <w:tr>
        <w:tblPrEx>
          <w:tblLayout w:type="fixed"/>
          <w:tblCellMar>
            <w:top w:w="0" w:type="dxa"/>
            <w:left w:w="28" w:type="dxa"/>
            <w:bottom w:w="0" w:type="dxa"/>
            <w:right w:w="28" w:type="dxa"/>
          </w:tblCellMar>
        </w:tblPrEx>
        <w:tc>
          <w:tcPr>
            <w:tcW w:w="8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农业银行</w:t>
            </w:r>
          </w:p>
        </w:tc>
        <w:tc>
          <w:tcPr>
            <w:tcW w:w="83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83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银行理财产品</w:t>
            </w:r>
          </w:p>
        </w:tc>
        <w:tc>
          <w:tcPr>
            <w:tcW w:w="8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500</w:t>
            </w:r>
          </w:p>
        </w:tc>
        <w:tc>
          <w:tcPr>
            <w:tcW w:w="80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12</w:t>
            </w:r>
            <w:r>
              <w:rPr>
                <w:rFonts w:hint="eastAsia"/>
                <w:szCs w:val="24"/>
              </w:rPr>
              <w:t>月</w:t>
            </w:r>
            <w:r>
              <w:rPr>
                <w:szCs w:val="24"/>
              </w:rPr>
              <w:t>19</w:t>
            </w:r>
            <w:r>
              <w:rPr>
                <w:rFonts w:hint="eastAsia"/>
                <w:szCs w:val="24"/>
              </w:rPr>
              <w:t>日</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12</w:t>
            </w:r>
            <w:r>
              <w:rPr>
                <w:rFonts w:hint="eastAsia"/>
                <w:szCs w:val="24"/>
              </w:rPr>
              <w:t>月</w:t>
            </w:r>
            <w:r>
              <w:rPr>
                <w:szCs w:val="24"/>
              </w:rPr>
              <w:t>28</w:t>
            </w:r>
            <w:r>
              <w:rPr>
                <w:rFonts w:hint="eastAsia"/>
                <w:szCs w:val="24"/>
              </w:rPr>
              <w:t>日</w:t>
            </w: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到期时支取全部本金及理财收益</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500</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0.27</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0.27</w:t>
            </w:r>
          </w:p>
        </w:tc>
        <w:tc>
          <w:tcPr>
            <w:tcW w:w="5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全部收回</w:t>
            </w:r>
          </w:p>
        </w:tc>
      </w:tr>
      <w:tr>
        <w:tblPrEx>
          <w:tblLayout w:type="fixed"/>
          <w:tblCellMar>
            <w:top w:w="0" w:type="dxa"/>
            <w:left w:w="28" w:type="dxa"/>
            <w:bottom w:w="0" w:type="dxa"/>
            <w:right w:w="28" w:type="dxa"/>
          </w:tblCellMar>
        </w:tblPrEx>
        <w:tc>
          <w:tcPr>
            <w:tcW w:w="8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农业银行</w:t>
            </w:r>
          </w:p>
        </w:tc>
        <w:tc>
          <w:tcPr>
            <w:tcW w:w="83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83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银行理财产品</w:t>
            </w:r>
          </w:p>
        </w:tc>
        <w:tc>
          <w:tcPr>
            <w:tcW w:w="8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100</w:t>
            </w:r>
          </w:p>
        </w:tc>
        <w:tc>
          <w:tcPr>
            <w:tcW w:w="80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11</w:t>
            </w:r>
            <w:r>
              <w:rPr>
                <w:rFonts w:hint="eastAsia"/>
                <w:szCs w:val="24"/>
              </w:rPr>
              <w:t>月</w:t>
            </w:r>
            <w:r>
              <w:rPr>
                <w:szCs w:val="24"/>
              </w:rPr>
              <w:t>30</w:t>
            </w:r>
            <w:r>
              <w:rPr>
                <w:rFonts w:hint="eastAsia"/>
                <w:szCs w:val="24"/>
              </w:rPr>
              <w:t>日</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12</w:t>
            </w:r>
            <w:r>
              <w:rPr>
                <w:rFonts w:hint="eastAsia"/>
                <w:szCs w:val="24"/>
              </w:rPr>
              <w:t>月</w:t>
            </w:r>
            <w:r>
              <w:rPr>
                <w:szCs w:val="24"/>
              </w:rPr>
              <w:t>28</w:t>
            </w:r>
            <w:r>
              <w:rPr>
                <w:rFonts w:hint="eastAsia"/>
                <w:szCs w:val="24"/>
              </w:rPr>
              <w:t>日</w:t>
            </w: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到期时支取全部本金及理财收益</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100</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0.17</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0.17</w:t>
            </w:r>
          </w:p>
        </w:tc>
        <w:tc>
          <w:tcPr>
            <w:tcW w:w="5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全部收回</w:t>
            </w:r>
          </w:p>
        </w:tc>
      </w:tr>
      <w:tr>
        <w:tblPrEx>
          <w:tblLayout w:type="fixed"/>
          <w:tblCellMar>
            <w:top w:w="0" w:type="dxa"/>
            <w:left w:w="28" w:type="dxa"/>
            <w:bottom w:w="0" w:type="dxa"/>
            <w:right w:w="28" w:type="dxa"/>
          </w:tblCellMar>
        </w:tblPrEx>
        <w:tc>
          <w:tcPr>
            <w:tcW w:w="8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农业银行</w:t>
            </w:r>
          </w:p>
        </w:tc>
        <w:tc>
          <w:tcPr>
            <w:tcW w:w="83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83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银行理财产品</w:t>
            </w:r>
          </w:p>
        </w:tc>
        <w:tc>
          <w:tcPr>
            <w:tcW w:w="8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1,700</w:t>
            </w:r>
          </w:p>
        </w:tc>
        <w:tc>
          <w:tcPr>
            <w:tcW w:w="80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09</w:t>
            </w:r>
            <w:r>
              <w:rPr>
                <w:rFonts w:hint="eastAsia"/>
                <w:szCs w:val="24"/>
              </w:rPr>
              <w:t>月</w:t>
            </w:r>
            <w:r>
              <w:rPr>
                <w:szCs w:val="24"/>
              </w:rPr>
              <w:t>23</w:t>
            </w:r>
            <w:r>
              <w:rPr>
                <w:rFonts w:hint="eastAsia"/>
                <w:szCs w:val="24"/>
              </w:rPr>
              <w:t>日</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09</w:t>
            </w:r>
            <w:r>
              <w:rPr>
                <w:rFonts w:hint="eastAsia"/>
                <w:szCs w:val="24"/>
              </w:rPr>
              <w:t>月</w:t>
            </w:r>
            <w:r>
              <w:rPr>
                <w:szCs w:val="24"/>
              </w:rPr>
              <w:t>30</w:t>
            </w:r>
            <w:r>
              <w:rPr>
                <w:rFonts w:hint="eastAsia"/>
                <w:szCs w:val="24"/>
              </w:rPr>
              <w:t>日</w:t>
            </w: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到期时支取全部本金及理财收益</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1,700</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0.46</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0.46</w:t>
            </w:r>
          </w:p>
        </w:tc>
        <w:tc>
          <w:tcPr>
            <w:tcW w:w="5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全部收回</w:t>
            </w:r>
          </w:p>
        </w:tc>
      </w:tr>
      <w:tr>
        <w:tblPrEx>
          <w:tblLayout w:type="fixed"/>
          <w:tblCellMar>
            <w:top w:w="0" w:type="dxa"/>
            <w:left w:w="28" w:type="dxa"/>
            <w:bottom w:w="0" w:type="dxa"/>
            <w:right w:w="28" w:type="dxa"/>
          </w:tblCellMar>
        </w:tblPrEx>
        <w:tc>
          <w:tcPr>
            <w:tcW w:w="8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农业银行</w:t>
            </w:r>
          </w:p>
        </w:tc>
        <w:tc>
          <w:tcPr>
            <w:tcW w:w="83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83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银行理财产品</w:t>
            </w:r>
          </w:p>
        </w:tc>
        <w:tc>
          <w:tcPr>
            <w:tcW w:w="8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750</w:t>
            </w:r>
          </w:p>
        </w:tc>
        <w:tc>
          <w:tcPr>
            <w:tcW w:w="80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09</w:t>
            </w:r>
            <w:r>
              <w:rPr>
                <w:rFonts w:hint="eastAsia"/>
                <w:szCs w:val="24"/>
              </w:rPr>
              <w:t>月</w:t>
            </w:r>
            <w:r>
              <w:rPr>
                <w:szCs w:val="24"/>
              </w:rPr>
              <w:t>30</w:t>
            </w:r>
            <w:r>
              <w:rPr>
                <w:rFonts w:hint="eastAsia"/>
                <w:szCs w:val="24"/>
              </w:rPr>
              <w:t>日</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11</w:t>
            </w:r>
            <w:r>
              <w:rPr>
                <w:rFonts w:hint="eastAsia"/>
                <w:szCs w:val="24"/>
              </w:rPr>
              <w:t>月</w:t>
            </w:r>
            <w:r>
              <w:rPr>
                <w:szCs w:val="24"/>
              </w:rPr>
              <w:t>14</w:t>
            </w:r>
            <w:r>
              <w:rPr>
                <w:rFonts w:hint="eastAsia"/>
                <w:szCs w:val="24"/>
              </w:rPr>
              <w:t>日</w:t>
            </w: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到期时支取全部本金及理财收益</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750</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2.05</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2.05</w:t>
            </w:r>
          </w:p>
        </w:tc>
        <w:tc>
          <w:tcPr>
            <w:tcW w:w="5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全部收回</w:t>
            </w:r>
          </w:p>
        </w:tc>
      </w:tr>
      <w:tr>
        <w:tblPrEx>
          <w:tblLayout w:type="fixed"/>
          <w:tblCellMar>
            <w:top w:w="0" w:type="dxa"/>
            <w:left w:w="28" w:type="dxa"/>
            <w:bottom w:w="0" w:type="dxa"/>
            <w:right w:w="28" w:type="dxa"/>
          </w:tblCellMar>
        </w:tblPrEx>
        <w:tc>
          <w:tcPr>
            <w:tcW w:w="8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农业银行</w:t>
            </w:r>
          </w:p>
        </w:tc>
        <w:tc>
          <w:tcPr>
            <w:tcW w:w="83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83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银行理财产品</w:t>
            </w:r>
          </w:p>
        </w:tc>
        <w:tc>
          <w:tcPr>
            <w:tcW w:w="8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900</w:t>
            </w:r>
          </w:p>
        </w:tc>
        <w:tc>
          <w:tcPr>
            <w:tcW w:w="80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12</w:t>
            </w:r>
            <w:r>
              <w:rPr>
                <w:rFonts w:hint="eastAsia"/>
                <w:szCs w:val="24"/>
              </w:rPr>
              <w:t>月</w:t>
            </w:r>
            <w:r>
              <w:rPr>
                <w:szCs w:val="24"/>
              </w:rPr>
              <w:t>30</w:t>
            </w:r>
            <w:r>
              <w:rPr>
                <w:rFonts w:hint="eastAsia"/>
                <w:szCs w:val="24"/>
              </w:rPr>
              <w:t>日</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2017</w:t>
            </w:r>
            <w:r>
              <w:rPr>
                <w:rFonts w:hint="eastAsia"/>
                <w:szCs w:val="24"/>
              </w:rPr>
              <w:t>年</w:t>
            </w:r>
            <w:r>
              <w:rPr>
                <w:szCs w:val="24"/>
              </w:rPr>
              <w:t>12</w:t>
            </w:r>
            <w:r>
              <w:rPr>
                <w:rFonts w:hint="eastAsia"/>
                <w:szCs w:val="24"/>
              </w:rPr>
              <w:t>月</w:t>
            </w:r>
            <w:r>
              <w:rPr>
                <w:szCs w:val="24"/>
              </w:rPr>
              <w:t>31</w:t>
            </w:r>
            <w:r>
              <w:rPr>
                <w:rFonts w:hint="eastAsia"/>
                <w:szCs w:val="24"/>
              </w:rPr>
              <w:t>日</w:t>
            </w: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到期时支取全部本金及理财收益</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5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未到期</w:t>
            </w:r>
          </w:p>
        </w:tc>
      </w:tr>
      <w:tr>
        <w:tblPrEx>
          <w:tblLayout w:type="fixed"/>
          <w:tblCellMar>
            <w:top w:w="0" w:type="dxa"/>
            <w:left w:w="28" w:type="dxa"/>
            <w:bottom w:w="0" w:type="dxa"/>
            <w:right w:w="28" w:type="dxa"/>
          </w:tblCellMar>
        </w:tblPrEx>
        <w:tc>
          <w:tcPr>
            <w:tcW w:w="8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浦发银行</w:t>
            </w:r>
          </w:p>
        </w:tc>
        <w:tc>
          <w:tcPr>
            <w:tcW w:w="83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83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银行理财产品</w:t>
            </w:r>
          </w:p>
        </w:tc>
        <w:tc>
          <w:tcPr>
            <w:tcW w:w="8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5,000</w:t>
            </w:r>
          </w:p>
        </w:tc>
        <w:tc>
          <w:tcPr>
            <w:tcW w:w="80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06</w:t>
            </w:r>
            <w:r>
              <w:rPr>
                <w:rFonts w:hint="eastAsia"/>
                <w:szCs w:val="24"/>
              </w:rPr>
              <w:t>月</w:t>
            </w:r>
            <w:r>
              <w:rPr>
                <w:szCs w:val="24"/>
              </w:rPr>
              <w:t>08</w:t>
            </w:r>
            <w:r>
              <w:rPr>
                <w:rFonts w:hint="eastAsia"/>
                <w:szCs w:val="24"/>
              </w:rPr>
              <w:t>日</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07</w:t>
            </w:r>
            <w:r>
              <w:rPr>
                <w:rFonts w:hint="eastAsia"/>
                <w:szCs w:val="24"/>
              </w:rPr>
              <w:t>月</w:t>
            </w:r>
            <w:r>
              <w:rPr>
                <w:szCs w:val="24"/>
              </w:rPr>
              <w:t>08</w:t>
            </w:r>
            <w:r>
              <w:rPr>
                <w:rFonts w:hint="eastAsia"/>
                <w:szCs w:val="24"/>
              </w:rPr>
              <w:t>日</w:t>
            </w: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每月</w:t>
            </w:r>
            <w:r>
              <w:rPr>
                <w:szCs w:val="24"/>
              </w:rPr>
              <w:t>15</w:t>
            </w:r>
            <w:r>
              <w:rPr>
                <w:rFonts w:hint="eastAsia"/>
                <w:szCs w:val="24"/>
              </w:rPr>
              <w:t>日结算利息</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5,000</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15</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15</w:t>
            </w:r>
          </w:p>
        </w:tc>
        <w:tc>
          <w:tcPr>
            <w:tcW w:w="5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全部收回</w:t>
            </w:r>
          </w:p>
        </w:tc>
      </w:tr>
      <w:tr>
        <w:tblPrEx>
          <w:tblLayout w:type="fixed"/>
          <w:tblCellMar>
            <w:top w:w="0" w:type="dxa"/>
            <w:left w:w="28" w:type="dxa"/>
            <w:bottom w:w="0" w:type="dxa"/>
            <w:right w:w="28" w:type="dxa"/>
          </w:tblCellMar>
        </w:tblPrEx>
        <w:tc>
          <w:tcPr>
            <w:tcW w:w="8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浦发银行</w:t>
            </w:r>
          </w:p>
        </w:tc>
        <w:tc>
          <w:tcPr>
            <w:tcW w:w="83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83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银行理财产品</w:t>
            </w:r>
          </w:p>
        </w:tc>
        <w:tc>
          <w:tcPr>
            <w:tcW w:w="8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7,000</w:t>
            </w:r>
          </w:p>
        </w:tc>
        <w:tc>
          <w:tcPr>
            <w:tcW w:w="80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05</w:t>
            </w:r>
            <w:r>
              <w:rPr>
                <w:rFonts w:hint="eastAsia"/>
                <w:szCs w:val="24"/>
              </w:rPr>
              <w:t>月</w:t>
            </w:r>
            <w:r>
              <w:rPr>
                <w:szCs w:val="24"/>
              </w:rPr>
              <w:t>25</w:t>
            </w:r>
            <w:r>
              <w:rPr>
                <w:rFonts w:hint="eastAsia"/>
                <w:szCs w:val="24"/>
              </w:rPr>
              <w:t>日</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07</w:t>
            </w:r>
            <w:r>
              <w:rPr>
                <w:rFonts w:hint="eastAsia"/>
                <w:szCs w:val="24"/>
              </w:rPr>
              <w:t>月</w:t>
            </w:r>
            <w:r>
              <w:rPr>
                <w:szCs w:val="24"/>
              </w:rPr>
              <w:t>25</w:t>
            </w:r>
            <w:r>
              <w:rPr>
                <w:rFonts w:hint="eastAsia"/>
                <w:szCs w:val="24"/>
              </w:rPr>
              <w:t>日</w:t>
            </w: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每月</w:t>
            </w:r>
            <w:r>
              <w:rPr>
                <w:szCs w:val="24"/>
              </w:rPr>
              <w:t>15</w:t>
            </w:r>
            <w:r>
              <w:rPr>
                <w:rFonts w:hint="eastAsia"/>
                <w:szCs w:val="24"/>
              </w:rPr>
              <w:t>日结算利息</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7,000</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18.51</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18.51</w:t>
            </w:r>
          </w:p>
        </w:tc>
        <w:tc>
          <w:tcPr>
            <w:tcW w:w="5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全部收回</w:t>
            </w:r>
          </w:p>
        </w:tc>
      </w:tr>
      <w:tr>
        <w:tblPrEx>
          <w:tblLayout w:type="fixed"/>
          <w:tblCellMar>
            <w:top w:w="0" w:type="dxa"/>
            <w:left w:w="28" w:type="dxa"/>
            <w:bottom w:w="0" w:type="dxa"/>
            <w:right w:w="28" w:type="dxa"/>
          </w:tblCellMar>
        </w:tblPrEx>
        <w:tc>
          <w:tcPr>
            <w:tcW w:w="8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浦发银行</w:t>
            </w:r>
          </w:p>
        </w:tc>
        <w:tc>
          <w:tcPr>
            <w:tcW w:w="83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83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银行理财产品</w:t>
            </w:r>
          </w:p>
        </w:tc>
        <w:tc>
          <w:tcPr>
            <w:tcW w:w="8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1,000</w:t>
            </w:r>
          </w:p>
        </w:tc>
        <w:tc>
          <w:tcPr>
            <w:tcW w:w="80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04</w:t>
            </w:r>
            <w:r>
              <w:rPr>
                <w:rFonts w:hint="eastAsia"/>
                <w:szCs w:val="24"/>
              </w:rPr>
              <w:t>月</w:t>
            </w:r>
            <w:r>
              <w:rPr>
                <w:szCs w:val="24"/>
              </w:rPr>
              <w:t>28</w:t>
            </w:r>
            <w:r>
              <w:rPr>
                <w:rFonts w:hint="eastAsia"/>
                <w:szCs w:val="24"/>
              </w:rPr>
              <w:t>日</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07</w:t>
            </w:r>
            <w:r>
              <w:rPr>
                <w:rFonts w:hint="eastAsia"/>
                <w:szCs w:val="24"/>
              </w:rPr>
              <w:t>月</w:t>
            </w:r>
            <w:r>
              <w:rPr>
                <w:szCs w:val="24"/>
              </w:rPr>
              <w:t>25</w:t>
            </w:r>
            <w:r>
              <w:rPr>
                <w:rFonts w:hint="eastAsia"/>
                <w:szCs w:val="24"/>
              </w:rPr>
              <w:t>日</w:t>
            </w: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每月</w:t>
            </w:r>
            <w:r>
              <w:rPr>
                <w:szCs w:val="24"/>
              </w:rPr>
              <w:t>15</w:t>
            </w:r>
            <w:r>
              <w:rPr>
                <w:rFonts w:hint="eastAsia"/>
                <w:szCs w:val="24"/>
              </w:rPr>
              <w:t>日结算利息</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1,000</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5.17</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5.17</w:t>
            </w:r>
          </w:p>
        </w:tc>
        <w:tc>
          <w:tcPr>
            <w:tcW w:w="5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全部收回</w:t>
            </w:r>
          </w:p>
        </w:tc>
      </w:tr>
      <w:tr>
        <w:tblPrEx>
          <w:tblLayout w:type="fixed"/>
          <w:tblCellMar>
            <w:top w:w="0" w:type="dxa"/>
            <w:left w:w="28" w:type="dxa"/>
            <w:bottom w:w="0" w:type="dxa"/>
            <w:right w:w="28" w:type="dxa"/>
          </w:tblCellMar>
        </w:tblPrEx>
        <w:tc>
          <w:tcPr>
            <w:tcW w:w="8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浦发银行</w:t>
            </w:r>
          </w:p>
        </w:tc>
        <w:tc>
          <w:tcPr>
            <w:tcW w:w="83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83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银行理财产品</w:t>
            </w:r>
          </w:p>
        </w:tc>
        <w:tc>
          <w:tcPr>
            <w:tcW w:w="8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1,000</w:t>
            </w:r>
          </w:p>
        </w:tc>
        <w:tc>
          <w:tcPr>
            <w:tcW w:w="80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07</w:t>
            </w:r>
            <w:r>
              <w:rPr>
                <w:rFonts w:hint="eastAsia"/>
                <w:szCs w:val="24"/>
              </w:rPr>
              <w:t>月</w:t>
            </w:r>
            <w:r>
              <w:rPr>
                <w:szCs w:val="24"/>
              </w:rPr>
              <w:t>29</w:t>
            </w:r>
            <w:r>
              <w:rPr>
                <w:rFonts w:hint="eastAsia"/>
                <w:szCs w:val="24"/>
              </w:rPr>
              <w:t>日</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08</w:t>
            </w:r>
            <w:r>
              <w:rPr>
                <w:rFonts w:hint="eastAsia"/>
                <w:szCs w:val="24"/>
              </w:rPr>
              <w:t>月</w:t>
            </w:r>
            <w:r>
              <w:rPr>
                <w:szCs w:val="24"/>
              </w:rPr>
              <w:t>29</w:t>
            </w:r>
            <w:r>
              <w:rPr>
                <w:rFonts w:hint="eastAsia"/>
                <w:szCs w:val="24"/>
              </w:rPr>
              <w:t>日</w:t>
            </w: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到期时支取全部本金及理财收益</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1,000</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3.14</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3.14</w:t>
            </w:r>
          </w:p>
        </w:tc>
        <w:tc>
          <w:tcPr>
            <w:tcW w:w="5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全部收回</w:t>
            </w:r>
          </w:p>
        </w:tc>
      </w:tr>
      <w:tr>
        <w:tblPrEx>
          <w:tblLayout w:type="fixed"/>
          <w:tblCellMar>
            <w:top w:w="0" w:type="dxa"/>
            <w:left w:w="28" w:type="dxa"/>
            <w:bottom w:w="0" w:type="dxa"/>
            <w:right w:w="28" w:type="dxa"/>
          </w:tblCellMar>
        </w:tblPrEx>
        <w:tc>
          <w:tcPr>
            <w:tcW w:w="8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浦发银行</w:t>
            </w:r>
          </w:p>
        </w:tc>
        <w:tc>
          <w:tcPr>
            <w:tcW w:w="83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83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银行理财产品</w:t>
            </w:r>
          </w:p>
        </w:tc>
        <w:tc>
          <w:tcPr>
            <w:tcW w:w="8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100</w:t>
            </w:r>
          </w:p>
        </w:tc>
        <w:tc>
          <w:tcPr>
            <w:tcW w:w="80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07</w:t>
            </w:r>
            <w:r>
              <w:rPr>
                <w:rFonts w:hint="eastAsia"/>
                <w:szCs w:val="24"/>
              </w:rPr>
              <w:t>月</w:t>
            </w:r>
            <w:r>
              <w:rPr>
                <w:szCs w:val="24"/>
              </w:rPr>
              <w:t>26</w:t>
            </w:r>
            <w:r>
              <w:rPr>
                <w:rFonts w:hint="eastAsia"/>
                <w:szCs w:val="24"/>
              </w:rPr>
              <w:t>日</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12</w:t>
            </w:r>
            <w:r>
              <w:rPr>
                <w:rFonts w:hint="eastAsia"/>
                <w:szCs w:val="24"/>
              </w:rPr>
              <w:t>月</w:t>
            </w:r>
            <w:r>
              <w:rPr>
                <w:szCs w:val="24"/>
              </w:rPr>
              <w:t>15</w:t>
            </w:r>
            <w:r>
              <w:rPr>
                <w:rFonts w:hint="eastAsia"/>
                <w:szCs w:val="24"/>
              </w:rPr>
              <w:t>日</w:t>
            </w: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每月</w:t>
            </w:r>
            <w:r>
              <w:rPr>
                <w:szCs w:val="24"/>
              </w:rPr>
              <w:t>15</w:t>
            </w:r>
            <w:r>
              <w:rPr>
                <w:rFonts w:hint="eastAsia"/>
                <w:szCs w:val="24"/>
              </w:rPr>
              <w:t>日结算利息</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100</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1.5</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1.5</w:t>
            </w:r>
          </w:p>
        </w:tc>
        <w:tc>
          <w:tcPr>
            <w:tcW w:w="5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全部收回</w:t>
            </w:r>
          </w:p>
        </w:tc>
      </w:tr>
      <w:tr>
        <w:tblPrEx>
          <w:tblLayout w:type="fixed"/>
          <w:tblCellMar>
            <w:top w:w="0" w:type="dxa"/>
            <w:left w:w="28" w:type="dxa"/>
            <w:bottom w:w="0" w:type="dxa"/>
            <w:right w:w="28" w:type="dxa"/>
          </w:tblCellMar>
        </w:tblPrEx>
        <w:tc>
          <w:tcPr>
            <w:tcW w:w="8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浦发银行</w:t>
            </w:r>
          </w:p>
        </w:tc>
        <w:tc>
          <w:tcPr>
            <w:tcW w:w="83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83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银行理财产品</w:t>
            </w:r>
          </w:p>
        </w:tc>
        <w:tc>
          <w:tcPr>
            <w:tcW w:w="8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6,000</w:t>
            </w:r>
          </w:p>
        </w:tc>
        <w:tc>
          <w:tcPr>
            <w:tcW w:w="80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07</w:t>
            </w:r>
            <w:r>
              <w:rPr>
                <w:rFonts w:hint="eastAsia"/>
                <w:szCs w:val="24"/>
              </w:rPr>
              <w:t>月</w:t>
            </w:r>
            <w:r>
              <w:rPr>
                <w:szCs w:val="24"/>
              </w:rPr>
              <w:t>25</w:t>
            </w:r>
            <w:r>
              <w:rPr>
                <w:rFonts w:hint="eastAsia"/>
                <w:szCs w:val="24"/>
              </w:rPr>
              <w:t>日</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08</w:t>
            </w:r>
            <w:r>
              <w:rPr>
                <w:rFonts w:hint="eastAsia"/>
                <w:szCs w:val="24"/>
              </w:rPr>
              <w:t>月</w:t>
            </w:r>
            <w:r>
              <w:rPr>
                <w:szCs w:val="24"/>
              </w:rPr>
              <w:t>25</w:t>
            </w:r>
            <w:r>
              <w:rPr>
                <w:rFonts w:hint="eastAsia"/>
                <w:szCs w:val="24"/>
              </w:rPr>
              <w:t>日</w:t>
            </w: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到期时支取全部本金及理财收益</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6,000</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18.25</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18.25</w:t>
            </w:r>
          </w:p>
        </w:tc>
        <w:tc>
          <w:tcPr>
            <w:tcW w:w="5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全部收回</w:t>
            </w:r>
          </w:p>
        </w:tc>
      </w:tr>
      <w:tr>
        <w:tblPrEx>
          <w:tblLayout w:type="fixed"/>
          <w:tblCellMar>
            <w:top w:w="0" w:type="dxa"/>
            <w:left w:w="28" w:type="dxa"/>
            <w:bottom w:w="0" w:type="dxa"/>
            <w:right w:w="28" w:type="dxa"/>
          </w:tblCellMar>
        </w:tblPrEx>
        <w:tc>
          <w:tcPr>
            <w:tcW w:w="8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浦发银行</w:t>
            </w:r>
          </w:p>
        </w:tc>
        <w:tc>
          <w:tcPr>
            <w:tcW w:w="83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83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银行理财产品</w:t>
            </w:r>
          </w:p>
        </w:tc>
        <w:tc>
          <w:tcPr>
            <w:tcW w:w="8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5,000</w:t>
            </w:r>
          </w:p>
        </w:tc>
        <w:tc>
          <w:tcPr>
            <w:tcW w:w="80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07</w:t>
            </w:r>
            <w:r>
              <w:rPr>
                <w:rFonts w:hint="eastAsia"/>
                <w:szCs w:val="24"/>
              </w:rPr>
              <w:t>月</w:t>
            </w:r>
            <w:r>
              <w:rPr>
                <w:szCs w:val="24"/>
              </w:rPr>
              <w:t>13</w:t>
            </w:r>
            <w:r>
              <w:rPr>
                <w:rFonts w:hint="eastAsia"/>
                <w:szCs w:val="24"/>
              </w:rPr>
              <w:t>日</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08</w:t>
            </w:r>
            <w:r>
              <w:rPr>
                <w:rFonts w:hint="eastAsia"/>
                <w:szCs w:val="24"/>
              </w:rPr>
              <w:t>月</w:t>
            </w:r>
            <w:r>
              <w:rPr>
                <w:szCs w:val="24"/>
              </w:rPr>
              <w:t>12</w:t>
            </w:r>
            <w:r>
              <w:rPr>
                <w:rFonts w:hint="eastAsia"/>
                <w:szCs w:val="24"/>
              </w:rPr>
              <w:t>日</w:t>
            </w: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到期时支取全部本金及理财收益</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5,000</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15.21</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15.21</w:t>
            </w:r>
          </w:p>
        </w:tc>
        <w:tc>
          <w:tcPr>
            <w:tcW w:w="5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全部收回</w:t>
            </w:r>
          </w:p>
        </w:tc>
      </w:tr>
      <w:tr>
        <w:tblPrEx>
          <w:tblLayout w:type="fixed"/>
          <w:tblCellMar>
            <w:top w:w="0" w:type="dxa"/>
            <w:left w:w="28" w:type="dxa"/>
            <w:bottom w:w="0" w:type="dxa"/>
            <w:right w:w="28" w:type="dxa"/>
          </w:tblCellMar>
        </w:tblPrEx>
        <w:tc>
          <w:tcPr>
            <w:tcW w:w="8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浦发银行</w:t>
            </w:r>
          </w:p>
        </w:tc>
        <w:tc>
          <w:tcPr>
            <w:tcW w:w="83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83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银行理财产品</w:t>
            </w:r>
          </w:p>
        </w:tc>
        <w:tc>
          <w:tcPr>
            <w:tcW w:w="8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7,000</w:t>
            </w:r>
          </w:p>
        </w:tc>
        <w:tc>
          <w:tcPr>
            <w:tcW w:w="80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08</w:t>
            </w:r>
            <w:r>
              <w:rPr>
                <w:rFonts w:hint="eastAsia"/>
                <w:szCs w:val="24"/>
              </w:rPr>
              <w:t>月</w:t>
            </w:r>
            <w:r>
              <w:rPr>
                <w:szCs w:val="24"/>
              </w:rPr>
              <w:t>31</w:t>
            </w:r>
            <w:r>
              <w:rPr>
                <w:rFonts w:hint="eastAsia"/>
                <w:szCs w:val="24"/>
              </w:rPr>
              <w:t>日</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09</w:t>
            </w:r>
            <w:r>
              <w:rPr>
                <w:rFonts w:hint="eastAsia"/>
                <w:szCs w:val="24"/>
              </w:rPr>
              <w:t>月</w:t>
            </w:r>
            <w:r>
              <w:rPr>
                <w:szCs w:val="24"/>
              </w:rPr>
              <w:t>30</w:t>
            </w:r>
            <w:r>
              <w:rPr>
                <w:rFonts w:hint="eastAsia"/>
                <w:szCs w:val="24"/>
              </w:rPr>
              <w:t>日</w:t>
            </w: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到期时支取全部本金及理财收益</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7,000</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20.42</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20.42</w:t>
            </w:r>
          </w:p>
        </w:tc>
        <w:tc>
          <w:tcPr>
            <w:tcW w:w="5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全部收回</w:t>
            </w:r>
          </w:p>
        </w:tc>
      </w:tr>
      <w:tr>
        <w:tblPrEx>
          <w:tblLayout w:type="fixed"/>
          <w:tblCellMar>
            <w:top w:w="0" w:type="dxa"/>
            <w:left w:w="28" w:type="dxa"/>
            <w:bottom w:w="0" w:type="dxa"/>
            <w:right w:w="28" w:type="dxa"/>
          </w:tblCellMar>
        </w:tblPrEx>
        <w:tc>
          <w:tcPr>
            <w:tcW w:w="8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浦发银行</w:t>
            </w:r>
          </w:p>
        </w:tc>
        <w:tc>
          <w:tcPr>
            <w:tcW w:w="83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83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银行理财产品</w:t>
            </w:r>
          </w:p>
        </w:tc>
        <w:tc>
          <w:tcPr>
            <w:tcW w:w="8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5,000</w:t>
            </w:r>
          </w:p>
        </w:tc>
        <w:tc>
          <w:tcPr>
            <w:tcW w:w="80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08</w:t>
            </w:r>
            <w:r>
              <w:rPr>
                <w:rFonts w:hint="eastAsia"/>
                <w:szCs w:val="24"/>
              </w:rPr>
              <w:t>月</w:t>
            </w:r>
            <w:r>
              <w:rPr>
                <w:szCs w:val="24"/>
              </w:rPr>
              <w:t>16</w:t>
            </w:r>
            <w:r>
              <w:rPr>
                <w:rFonts w:hint="eastAsia"/>
                <w:szCs w:val="24"/>
              </w:rPr>
              <w:t>日</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09</w:t>
            </w:r>
            <w:r>
              <w:rPr>
                <w:rFonts w:hint="eastAsia"/>
                <w:szCs w:val="24"/>
              </w:rPr>
              <w:t>月</w:t>
            </w:r>
            <w:r>
              <w:rPr>
                <w:szCs w:val="24"/>
              </w:rPr>
              <w:t>18</w:t>
            </w:r>
            <w:r>
              <w:rPr>
                <w:rFonts w:hint="eastAsia"/>
                <w:szCs w:val="24"/>
              </w:rPr>
              <w:t>日</w:t>
            </w: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到期时支取全部本金及理财收益</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5,000</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16.27</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16.27</w:t>
            </w:r>
          </w:p>
        </w:tc>
        <w:tc>
          <w:tcPr>
            <w:tcW w:w="5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全部收回</w:t>
            </w:r>
          </w:p>
        </w:tc>
      </w:tr>
      <w:tr>
        <w:tblPrEx>
          <w:tblLayout w:type="fixed"/>
          <w:tblCellMar>
            <w:top w:w="0" w:type="dxa"/>
            <w:left w:w="28" w:type="dxa"/>
            <w:bottom w:w="0" w:type="dxa"/>
            <w:right w:w="28" w:type="dxa"/>
          </w:tblCellMar>
        </w:tblPrEx>
        <w:tc>
          <w:tcPr>
            <w:tcW w:w="8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浦发银行</w:t>
            </w:r>
          </w:p>
        </w:tc>
        <w:tc>
          <w:tcPr>
            <w:tcW w:w="83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83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银行理财产品</w:t>
            </w:r>
          </w:p>
        </w:tc>
        <w:tc>
          <w:tcPr>
            <w:tcW w:w="8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5,000</w:t>
            </w:r>
          </w:p>
        </w:tc>
        <w:tc>
          <w:tcPr>
            <w:tcW w:w="80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09</w:t>
            </w:r>
            <w:r>
              <w:rPr>
                <w:rFonts w:hint="eastAsia"/>
                <w:szCs w:val="24"/>
              </w:rPr>
              <w:t>月</w:t>
            </w:r>
            <w:r>
              <w:rPr>
                <w:szCs w:val="24"/>
              </w:rPr>
              <w:t>20</w:t>
            </w:r>
            <w:r>
              <w:rPr>
                <w:rFonts w:hint="eastAsia"/>
                <w:szCs w:val="24"/>
              </w:rPr>
              <w:t>日</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10</w:t>
            </w:r>
            <w:r>
              <w:rPr>
                <w:rFonts w:hint="eastAsia"/>
                <w:szCs w:val="24"/>
              </w:rPr>
              <w:t>月</w:t>
            </w:r>
            <w:r>
              <w:rPr>
                <w:szCs w:val="24"/>
              </w:rPr>
              <w:t>20</w:t>
            </w:r>
            <w:r>
              <w:rPr>
                <w:rFonts w:hint="eastAsia"/>
                <w:szCs w:val="24"/>
              </w:rPr>
              <w:t>日</w:t>
            </w: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到期时支取全部本金及理财收益</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5,000</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14.59</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14.59</w:t>
            </w:r>
          </w:p>
        </w:tc>
        <w:tc>
          <w:tcPr>
            <w:tcW w:w="5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全部收回</w:t>
            </w:r>
          </w:p>
        </w:tc>
      </w:tr>
      <w:tr>
        <w:tblPrEx>
          <w:tblLayout w:type="fixed"/>
          <w:tblCellMar>
            <w:top w:w="0" w:type="dxa"/>
            <w:left w:w="28" w:type="dxa"/>
            <w:bottom w:w="0" w:type="dxa"/>
            <w:right w:w="28" w:type="dxa"/>
          </w:tblCellMar>
        </w:tblPrEx>
        <w:tc>
          <w:tcPr>
            <w:tcW w:w="8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浦发银行</w:t>
            </w:r>
          </w:p>
        </w:tc>
        <w:tc>
          <w:tcPr>
            <w:tcW w:w="83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83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银行理财产品</w:t>
            </w:r>
          </w:p>
        </w:tc>
        <w:tc>
          <w:tcPr>
            <w:tcW w:w="8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5,100</w:t>
            </w:r>
          </w:p>
        </w:tc>
        <w:tc>
          <w:tcPr>
            <w:tcW w:w="80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10</w:t>
            </w:r>
            <w:r>
              <w:rPr>
                <w:rFonts w:hint="eastAsia"/>
                <w:szCs w:val="24"/>
              </w:rPr>
              <w:t>月</w:t>
            </w:r>
            <w:r>
              <w:rPr>
                <w:szCs w:val="24"/>
              </w:rPr>
              <w:t>25</w:t>
            </w:r>
            <w:r>
              <w:rPr>
                <w:rFonts w:hint="eastAsia"/>
                <w:szCs w:val="24"/>
              </w:rPr>
              <w:t>日</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12</w:t>
            </w:r>
            <w:r>
              <w:rPr>
                <w:rFonts w:hint="eastAsia"/>
                <w:szCs w:val="24"/>
              </w:rPr>
              <w:t>月</w:t>
            </w:r>
            <w:r>
              <w:rPr>
                <w:szCs w:val="24"/>
              </w:rPr>
              <w:t>16</w:t>
            </w:r>
            <w:r>
              <w:rPr>
                <w:rFonts w:hint="eastAsia"/>
                <w:szCs w:val="24"/>
              </w:rPr>
              <w:t>日</w:t>
            </w: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每月</w:t>
            </w:r>
            <w:r>
              <w:rPr>
                <w:szCs w:val="24"/>
              </w:rPr>
              <w:t>15</w:t>
            </w:r>
            <w:r>
              <w:rPr>
                <w:rFonts w:hint="eastAsia"/>
                <w:szCs w:val="24"/>
              </w:rPr>
              <w:t>日结算利息</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5,100</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14.45</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14.45</w:t>
            </w:r>
          </w:p>
        </w:tc>
        <w:tc>
          <w:tcPr>
            <w:tcW w:w="5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全部收回</w:t>
            </w:r>
          </w:p>
        </w:tc>
      </w:tr>
      <w:tr>
        <w:tblPrEx>
          <w:tblLayout w:type="fixed"/>
          <w:tblCellMar>
            <w:top w:w="0" w:type="dxa"/>
            <w:left w:w="28" w:type="dxa"/>
            <w:bottom w:w="0" w:type="dxa"/>
            <w:right w:w="28" w:type="dxa"/>
          </w:tblCellMar>
        </w:tblPrEx>
        <w:tc>
          <w:tcPr>
            <w:tcW w:w="8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浦发银行</w:t>
            </w:r>
          </w:p>
        </w:tc>
        <w:tc>
          <w:tcPr>
            <w:tcW w:w="83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83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银行理财产品</w:t>
            </w:r>
          </w:p>
        </w:tc>
        <w:tc>
          <w:tcPr>
            <w:tcW w:w="8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7,000</w:t>
            </w:r>
          </w:p>
        </w:tc>
        <w:tc>
          <w:tcPr>
            <w:tcW w:w="80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10</w:t>
            </w:r>
            <w:r>
              <w:rPr>
                <w:rFonts w:hint="eastAsia"/>
                <w:szCs w:val="24"/>
              </w:rPr>
              <w:t>月</w:t>
            </w:r>
            <w:r>
              <w:rPr>
                <w:szCs w:val="24"/>
              </w:rPr>
              <w:t>08</w:t>
            </w:r>
            <w:r>
              <w:rPr>
                <w:rFonts w:hint="eastAsia"/>
                <w:szCs w:val="24"/>
              </w:rPr>
              <w:t>日</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11</w:t>
            </w:r>
            <w:r>
              <w:rPr>
                <w:rFonts w:hint="eastAsia"/>
                <w:szCs w:val="24"/>
              </w:rPr>
              <w:t>月</w:t>
            </w:r>
            <w:r>
              <w:rPr>
                <w:szCs w:val="24"/>
              </w:rPr>
              <w:t>08</w:t>
            </w:r>
            <w:r>
              <w:rPr>
                <w:rFonts w:hint="eastAsia"/>
                <w:szCs w:val="24"/>
              </w:rPr>
              <w:t>日</w:t>
            </w: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到期时支取全部本金及理财收益</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7,000</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20.42</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20.42</w:t>
            </w:r>
          </w:p>
        </w:tc>
        <w:tc>
          <w:tcPr>
            <w:tcW w:w="5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全部收回</w:t>
            </w:r>
          </w:p>
        </w:tc>
      </w:tr>
      <w:tr>
        <w:tblPrEx>
          <w:tblLayout w:type="fixed"/>
          <w:tblCellMar>
            <w:top w:w="0" w:type="dxa"/>
            <w:left w:w="28" w:type="dxa"/>
            <w:bottom w:w="0" w:type="dxa"/>
            <w:right w:w="28" w:type="dxa"/>
          </w:tblCellMar>
        </w:tblPrEx>
        <w:tc>
          <w:tcPr>
            <w:tcW w:w="8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浦发银行</w:t>
            </w:r>
          </w:p>
        </w:tc>
        <w:tc>
          <w:tcPr>
            <w:tcW w:w="83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83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银行理财产品</w:t>
            </w:r>
          </w:p>
        </w:tc>
        <w:tc>
          <w:tcPr>
            <w:tcW w:w="8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7,000</w:t>
            </w:r>
          </w:p>
        </w:tc>
        <w:tc>
          <w:tcPr>
            <w:tcW w:w="80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11</w:t>
            </w:r>
            <w:r>
              <w:rPr>
                <w:rFonts w:hint="eastAsia"/>
                <w:szCs w:val="24"/>
              </w:rPr>
              <w:t>月</w:t>
            </w:r>
            <w:r>
              <w:rPr>
                <w:szCs w:val="24"/>
              </w:rPr>
              <w:t>10</w:t>
            </w:r>
            <w:r>
              <w:rPr>
                <w:rFonts w:hint="eastAsia"/>
                <w:szCs w:val="24"/>
              </w:rPr>
              <w:t>日</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12</w:t>
            </w:r>
            <w:r>
              <w:rPr>
                <w:rFonts w:hint="eastAsia"/>
                <w:szCs w:val="24"/>
              </w:rPr>
              <w:t>月</w:t>
            </w:r>
            <w:r>
              <w:rPr>
                <w:szCs w:val="24"/>
              </w:rPr>
              <w:t>15</w:t>
            </w:r>
            <w:r>
              <w:rPr>
                <w:rFonts w:hint="eastAsia"/>
                <w:szCs w:val="24"/>
              </w:rPr>
              <w:t>日</w:t>
            </w: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每月</w:t>
            </w:r>
            <w:r>
              <w:rPr>
                <w:szCs w:val="24"/>
              </w:rPr>
              <w:t>15</w:t>
            </w:r>
            <w:r>
              <w:rPr>
                <w:rFonts w:hint="eastAsia"/>
                <w:szCs w:val="24"/>
              </w:rPr>
              <w:t>日结算利息</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7,000</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21.78</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21.78</w:t>
            </w:r>
          </w:p>
        </w:tc>
        <w:tc>
          <w:tcPr>
            <w:tcW w:w="5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全部收回</w:t>
            </w:r>
          </w:p>
        </w:tc>
      </w:tr>
      <w:tr>
        <w:tblPrEx>
          <w:tblLayout w:type="fixed"/>
          <w:tblCellMar>
            <w:top w:w="0" w:type="dxa"/>
            <w:left w:w="28" w:type="dxa"/>
            <w:bottom w:w="0" w:type="dxa"/>
            <w:right w:w="28" w:type="dxa"/>
          </w:tblCellMar>
        </w:tblPrEx>
        <w:tc>
          <w:tcPr>
            <w:tcW w:w="8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浦发银行</w:t>
            </w:r>
          </w:p>
        </w:tc>
        <w:tc>
          <w:tcPr>
            <w:tcW w:w="83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83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银行理财产品</w:t>
            </w:r>
          </w:p>
        </w:tc>
        <w:tc>
          <w:tcPr>
            <w:tcW w:w="8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3,540</w:t>
            </w:r>
          </w:p>
        </w:tc>
        <w:tc>
          <w:tcPr>
            <w:tcW w:w="80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12</w:t>
            </w:r>
            <w:r>
              <w:rPr>
                <w:rFonts w:hint="eastAsia"/>
                <w:szCs w:val="24"/>
              </w:rPr>
              <w:t>月</w:t>
            </w:r>
            <w:r>
              <w:rPr>
                <w:szCs w:val="24"/>
              </w:rPr>
              <w:t>28</w:t>
            </w:r>
            <w:r>
              <w:rPr>
                <w:rFonts w:hint="eastAsia"/>
                <w:szCs w:val="24"/>
              </w:rPr>
              <w:t>日</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2017</w:t>
            </w:r>
            <w:r>
              <w:rPr>
                <w:rFonts w:hint="eastAsia"/>
                <w:szCs w:val="24"/>
              </w:rPr>
              <w:t>年</w:t>
            </w:r>
            <w:r>
              <w:rPr>
                <w:szCs w:val="24"/>
              </w:rPr>
              <w:t>01</w:t>
            </w:r>
            <w:r>
              <w:rPr>
                <w:rFonts w:hint="eastAsia"/>
                <w:szCs w:val="24"/>
              </w:rPr>
              <w:t>月</w:t>
            </w:r>
            <w:r>
              <w:rPr>
                <w:szCs w:val="24"/>
              </w:rPr>
              <w:t>28</w:t>
            </w:r>
            <w:r>
              <w:rPr>
                <w:rFonts w:hint="eastAsia"/>
                <w:szCs w:val="24"/>
              </w:rPr>
              <w:t>日</w:t>
            </w: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到期时支取全部本金及理财收益</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14.66</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5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未到期</w:t>
            </w:r>
          </w:p>
        </w:tc>
      </w:tr>
      <w:tr>
        <w:tblPrEx>
          <w:tblLayout w:type="fixed"/>
          <w:tblCellMar>
            <w:top w:w="0" w:type="dxa"/>
            <w:left w:w="28" w:type="dxa"/>
            <w:bottom w:w="0" w:type="dxa"/>
            <w:right w:w="28" w:type="dxa"/>
          </w:tblCellMar>
        </w:tblPrEx>
        <w:tc>
          <w:tcPr>
            <w:tcW w:w="8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浦发银行</w:t>
            </w:r>
          </w:p>
        </w:tc>
        <w:tc>
          <w:tcPr>
            <w:tcW w:w="83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83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银行理财产品</w:t>
            </w:r>
          </w:p>
        </w:tc>
        <w:tc>
          <w:tcPr>
            <w:tcW w:w="8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9,400</w:t>
            </w:r>
          </w:p>
        </w:tc>
        <w:tc>
          <w:tcPr>
            <w:tcW w:w="80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12</w:t>
            </w:r>
            <w:r>
              <w:rPr>
                <w:rFonts w:hint="eastAsia"/>
                <w:szCs w:val="24"/>
              </w:rPr>
              <w:t>月</w:t>
            </w:r>
            <w:r>
              <w:rPr>
                <w:szCs w:val="24"/>
              </w:rPr>
              <w:t>19</w:t>
            </w:r>
            <w:r>
              <w:rPr>
                <w:rFonts w:hint="eastAsia"/>
                <w:szCs w:val="24"/>
              </w:rPr>
              <w:t>日</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2017</w:t>
            </w:r>
            <w:r>
              <w:rPr>
                <w:rFonts w:hint="eastAsia"/>
                <w:szCs w:val="24"/>
              </w:rPr>
              <w:t>年</w:t>
            </w:r>
            <w:r>
              <w:rPr>
                <w:szCs w:val="24"/>
              </w:rPr>
              <w:t>01</w:t>
            </w:r>
            <w:r>
              <w:rPr>
                <w:rFonts w:hint="eastAsia"/>
                <w:szCs w:val="24"/>
              </w:rPr>
              <w:t>月</w:t>
            </w:r>
            <w:r>
              <w:rPr>
                <w:szCs w:val="24"/>
              </w:rPr>
              <w:t>19</w:t>
            </w:r>
            <w:r>
              <w:rPr>
                <w:rFonts w:hint="eastAsia"/>
                <w:szCs w:val="24"/>
              </w:rPr>
              <w:t>日</w:t>
            </w: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到期时支取全部本金及理财收益</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32.06</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5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未到期</w:t>
            </w:r>
          </w:p>
        </w:tc>
      </w:tr>
      <w:tr>
        <w:tblPrEx>
          <w:tblLayout w:type="fixed"/>
          <w:tblCellMar>
            <w:top w:w="0" w:type="dxa"/>
            <w:left w:w="28" w:type="dxa"/>
            <w:bottom w:w="0" w:type="dxa"/>
            <w:right w:w="28" w:type="dxa"/>
          </w:tblCellMar>
        </w:tblPrEx>
        <w:tc>
          <w:tcPr>
            <w:tcW w:w="8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交通银行</w:t>
            </w:r>
          </w:p>
        </w:tc>
        <w:tc>
          <w:tcPr>
            <w:tcW w:w="83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83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银行理财产品</w:t>
            </w:r>
          </w:p>
        </w:tc>
        <w:tc>
          <w:tcPr>
            <w:tcW w:w="8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1,000</w:t>
            </w:r>
          </w:p>
        </w:tc>
        <w:tc>
          <w:tcPr>
            <w:tcW w:w="80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01</w:t>
            </w:r>
            <w:r>
              <w:rPr>
                <w:rFonts w:hint="eastAsia"/>
                <w:szCs w:val="24"/>
              </w:rPr>
              <w:t>月</w:t>
            </w:r>
            <w:r>
              <w:rPr>
                <w:szCs w:val="24"/>
              </w:rPr>
              <w:t>18</w:t>
            </w:r>
            <w:r>
              <w:rPr>
                <w:rFonts w:hint="eastAsia"/>
                <w:szCs w:val="24"/>
              </w:rPr>
              <w:t>日</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04</w:t>
            </w:r>
            <w:r>
              <w:rPr>
                <w:rFonts w:hint="eastAsia"/>
                <w:szCs w:val="24"/>
              </w:rPr>
              <w:t>月</w:t>
            </w:r>
            <w:r>
              <w:rPr>
                <w:szCs w:val="24"/>
              </w:rPr>
              <w:t>18</w:t>
            </w:r>
            <w:r>
              <w:rPr>
                <w:rFonts w:hint="eastAsia"/>
                <w:szCs w:val="24"/>
              </w:rPr>
              <w:t>日</w:t>
            </w: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到期时支取全部本金及理财收益</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1,000</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9.35</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9.35</w:t>
            </w:r>
          </w:p>
        </w:tc>
        <w:tc>
          <w:tcPr>
            <w:tcW w:w="5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全部收回</w:t>
            </w:r>
          </w:p>
        </w:tc>
      </w:tr>
      <w:tr>
        <w:tblPrEx>
          <w:tblLayout w:type="fixed"/>
          <w:tblCellMar>
            <w:top w:w="0" w:type="dxa"/>
            <w:left w:w="28" w:type="dxa"/>
            <w:bottom w:w="0" w:type="dxa"/>
            <w:right w:w="28" w:type="dxa"/>
          </w:tblCellMar>
        </w:tblPrEx>
        <w:tc>
          <w:tcPr>
            <w:tcW w:w="8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交通银行</w:t>
            </w:r>
          </w:p>
        </w:tc>
        <w:tc>
          <w:tcPr>
            <w:tcW w:w="83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83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银行理财产品</w:t>
            </w:r>
          </w:p>
        </w:tc>
        <w:tc>
          <w:tcPr>
            <w:tcW w:w="8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1,000</w:t>
            </w:r>
          </w:p>
        </w:tc>
        <w:tc>
          <w:tcPr>
            <w:tcW w:w="80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04</w:t>
            </w:r>
            <w:r>
              <w:rPr>
                <w:rFonts w:hint="eastAsia"/>
                <w:szCs w:val="24"/>
              </w:rPr>
              <w:t>月</w:t>
            </w:r>
            <w:r>
              <w:rPr>
                <w:szCs w:val="24"/>
              </w:rPr>
              <w:t>25</w:t>
            </w:r>
            <w:r>
              <w:rPr>
                <w:rFonts w:hint="eastAsia"/>
                <w:szCs w:val="24"/>
              </w:rPr>
              <w:t>日</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07</w:t>
            </w:r>
            <w:r>
              <w:rPr>
                <w:rFonts w:hint="eastAsia"/>
                <w:szCs w:val="24"/>
              </w:rPr>
              <w:t>月</w:t>
            </w:r>
            <w:r>
              <w:rPr>
                <w:szCs w:val="24"/>
              </w:rPr>
              <w:t>26</w:t>
            </w:r>
            <w:r>
              <w:rPr>
                <w:rFonts w:hint="eastAsia"/>
                <w:szCs w:val="24"/>
              </w:rPr>
              <w:t>日</w:t>
            </w: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到期时支取全部本金及理财收益</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1,000</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8.57</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8.57</w:t>
            </w:r>
          </w:p>
        </w:tc>
        <w:tc>
          <w:tcPr>
            <w:tcW w:w="5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全部收回</w:t>
            </w:r>
          </w:p>
        </w:tc>
      </w:tr>
      <w:tr>
        <w:tblPrEx>
          <w:tblLayout w:type="fixed"/>
          <w:tblCellMar>
            <w:top w:w="0" w:type="dxa"/>
            <w:left w:w="28" w:type="dxa"/>
            <w:bottom w:w="0" w:type="dxa"/>
            <w:right w:w="28" w:type="dxa"/>
          </w:tblCellMar>
        </w:tblPrEx>
        <w:tc>
          <w:tcPr>
            <w:tcW w:w="8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交通银行</w:t>
            </w:r>
          </w:p>
        </w:tc>
        <w:tc>
          <w:tcPr>
            <w:tcW w:w="83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83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银行理财产品</w:t>
            </w:r>
          </w:p>
        </w:tc>
        <w:tc>
          <w:tcPr>
            <w:tcW w:w="8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600</w:t>
            </w:r>
          </w:p>
        </w:tc>
        <w:tc>
          <w:tcPr>
            <w:tcW w:w="80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12</w:t>
            </w:r>
            <w:r>
              <w:rPr>
                <w:rFonts w:hint="eastAsia"/>
                <w:szCs w:val="24"/>
              </w:rPr>
              <w:t>月</w:t>
            </w:r>
            <w:r>
              <w:rPr>
                <w:szCs w:val="24"/>
              </w:rPr>
              <w:t>28</w:t>
            </w:r>
            <w:r>
              <w:rPr>
                <w:rFonts w:hint="eastAsia"/>
                <w:szCs w:val="24"/>
              </w:rPr>
              <w:t>日</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2017</w:t>
            </w:r>
            <w:r>
              <w:rPr>
                <w:rFonts w:hint="eastAsia"/>
                <w:szCs w:val="24"/>
              </w:rPr>
              <w:t>年</w:t>
            </w:r>
            <w:r>
              <w:rPr>
                <w:szCs w:val="24"/>
              </w:rPr>
              <w:t>12</w:t>
            </w:r>
            <w:r>
              <w:rPr>
                <w:rFonts w:hint="eastAsia"/>
                <w:szCs w:val="24"/>
              </w:rPr>
              <w:t>月</w:t>
            </w:r>
            <w:r>
              <w:rPr>
                <w:szCs w:val="24"/>
              </w:rPr>
              <w:t>31</w:t>
            </w:r>
            <w:r>
              <w:rPr>
                <w:rFonts w:hint="eastAsia"/>
                <w:szCs w:val="24"/>
              </w:rPr>
              <w:t>日</w:t>
            </w: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到期时支取全部本金及理财收益</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5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未到期</w:t>
            </w:r>
          </w:p>
        </w:tc>
      </w:tr>
      <w:tr>
        <w:tblPrEx>
          <w:tblLayout w:type="fixed"/>
          <w:tblCellMar>
            <w:top w:w="0" w:type="dxa"/>
            <w:left w:w="28" w:type="dxa"/>
            <w:bottom w:w="0" w:type="dxa"/>
            <w:right w:w="28" w:type="dxa"/>
          </w:tblCellMar>
        </w:tblPrEx>
        <w:tc>
          <w:tcPr>
            <w:tcW w:w="8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建设银行广州天河工业园支行</w:t>
            </w:r>
          </w:p>
        </w:tc>
        <w:tc>
          <w:tcPr>
            <w:tcW w:w="83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83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银行理财产品</w:t>
            </w:r>
          </w:p>
        </w:tc>
        <w:tc>
          <w:tcPr>
            <w:tcW w:w="8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1,000</w:t>
            </w:r>
          </w:p>
        </w:tc>
        <w:tc>
          <w:tcPr>
            <w:tcW w:w="80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06</w:t>
            </w:r>
            <w:r>
              <w:rPr>
                <w:rFonts w:hint="eastAsia"/>
                <w:szCs w:val="24"/>
              </w:rPr>
              <w:t>月</w:t>
            </w:r>
            <w:r>
              <w:rPr>
                <w:szCs w:val="24"/>
              </w:rPr>
              <w:t>02</w:t>
            </w:r>
            <w:r>
              <w:rPr>
                <w:rFonts w:hint="eastAsia"/>
                <w:szCs w:val="24"/>
              </w:rPr>
              <w:t>日</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12</w:t>
            </w:r>
            <w:r>
              <w:rPr>
                <w:rFonts w:hint="eastAsia"/>
                <w:szCs w:val="24"/>
              </w:rPr>
              <w:t>月</w:t>
            </w:r>
            <w:r>
              <w:rPr>
                <w:szCs w:val="24"/>
              </w:rPr>
              <w:t>02</w:t>
            </w:r>
            <w:r>
              <w:rPr>
                <w:rFonts w:hint="eastAsia"/>
                <w:szCs w:val="24"/>
              </w:rPr>
              <w:t>日</w:t>
            </w: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到期时支取全部本金及理财收益</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1,000</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23.65</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23.65</w:t>
            </w:r>
          </w:p>
        </w:tc>
        <w:tc>
          <w:tcPr>
            <w:tcW w:w="5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全部收回</w:t>
            </w:r>
          </w:p>
        </w:tc>
      </w:tr>
      <w:tr>
        <w:tblPrEx>
          <w:tblLayout w:type="fixed"/>
          <w:tblCellMar>
            <w:top w:w="0" w:type="dxa"/>
            <w:left w:w="28" w:type="dxa"/>
            <w:bottom w:w="0" w:type="dxa"/>
            <w:right w:w="28" w:type="dxa"/>
          </w:tblCellMar>
        </w:tblPrEx>
        <w:tc>
          <w:tcPr>
            <w:tcW w:w="8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建设银行广州天河工业园支行</w:t>
            </w:r>
          </w:p>
        </w:tc>
        <w:tc>
          <w:tcPr>
            <w:tcW w:w="83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83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银行理财产品</w:t>
            </w:r>
          </w:p>
        </w:tc>
        <w:tc>
          <w:tcPr>
            <w:tcW w:w="8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500</w:t>
            </w:r>
          </w:p>
        </w:tc>
        <w:tc>
          <w:tcPr>
            <w:tcW w:w="80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03</w:t>
            </w:r>
            <w:r>
              <w:rPr>
                <w:rFonts w:hint="eastAsia"/>
                <w:szCs w:val="24"/>
              </w:rPr>
              <w:t>月</w:t>
            </w:r>
            <w:r>
              <w:rPr>
                <w:szCs w:val="24"/>
              </w:rPr>
              <w:t>31</w:t>
            </w:r>
            <w:r>
              <w:rPr>
                <w:rFonts w:hint="eastAsia"/>
                <w:szCs w:val="24"/>
              </w:rPr>
              <w:t>日</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2017</w:t>
            </w:r>
            <w:r>
              <w:rPr>
                <w:rFonts w:hint="eastAsia"/>
                <w:szCs w:val="24"/>
              </w:rPr>
              <w:t>年</w:t>
            </w:r>
            <w:r>
              <w:rPr>
                <w:szCs w:val="24"/>
              </w:rPr>
              <w:t>12</w:t>
            </w:r>
            <w:r>
              <w:rPr>
                <w:rFonts w:hint="eastAsia"/>
                <w:szCs w:val="24"/>
              </w:rPr>
              <w:t>月</w:t>
            </w:r>
            <w:r>
              <w:rPr>
                <w:szCs w:val="24"/>
              </w:rPr>
              <w:t>31</w:t>
            </w:r>
            <w:r>
              <w:rPr>
                <w:rFonts w:hint="eastAsia"/>
                <w:szCs w:val="24"/>
              </w:rPr>
              <w:t>日</w:t>
            </w: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到期时支取全部本金及理财收益</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5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未到期</w:t>
            </w:r>
          </w:p>
        </w:tc>
      </w:tr>
      <w:tr>
        <w:tblPrEx>
          <w:tblLayout w:type="fixed"/>
          <w:tblCellMar>
            <w:top w:w="0" w:type="dxa"/>
            <w:left w:w="28" w:type="dxa"/>
            <w:bottom w:w="0" w:type="dxa"/>
            <w:right w:w="28" w:type="dxa"/>
          </w:tblCellMar>
        </w:tblPrEx>
        <w:tc>
          <w:tcPr>
            <w:tcW w:w="8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建设银行广州天河工业园支行</w:t>
            </w:r>
          </w:p>
        </w:tc>
        <w:tc>
          <w:tcPr>
            <w:tcW w:w="83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83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银行理财产品</w:t>
            </w:r>
          </w:p>
        </w:tc>
        <w:tc>
          <w:tcPr>
            <w:tcW w:w="8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300</w:t>
            </w:r>
          </w:p>
        </w:tc>
        <w:tc>
          <w:tcPr>
            <w:tcW w:w="80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06</w:t>
            </w:r>
            <w:r>
              <w:rPr>
                <w:rFonts w:hint="eastAsia"/>
                <w:szCs w:val="24"/>
              </w:rPr>
              <w:t>月</w:t>
            </w:r>
            <w:r>
              <w:rPr>
                <w:szCs w:val="24"/>
              </w:rPr>
              <w:t>08</w:t>
            </w:r>
            <w:r>
              <w:rPr>
                <w:rFonts w:hint="eastAsia"/>
                <w:szCs w:val="24"/>
              </w:rPr>
              <w:t>日</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2017</w:t>
            </w:r>
            <w:r>
              <w:rPr>
                <w:rFonts w:hint="eastAsia"/>
                <w:szCs w:val="24"/>
              </w:rPr>
              <w:t>年</w:t>
            </w:r>
            <w:r>
              <w:rPr>
                <w:szCs w:val="24"/>
              </w:rPr>
              <w:t>12</w:t>
            </w:r>
            <w:r>
              <w:rPr>
                <w:rFonts w:hint="eastAsia"/>
                <w:szCs w:val="24"/>
              </w:rPr>
              <w:t>月</w:t>
            </w:r>
            <w:r>
              <w:rPr>
                <w:szCs w:val="24"/>
              </w:rPr>
              <w:t>31</w:t>
            </w:r>
            <w:r>
              <w:rPr>
                <w:rFonts w:hint="eastAsia"/>
                <w:szCs w:val="24"/>
              </w:rPr>
              <w:t>日</w:t>
            </w: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到期时支取全部本金及理财收益</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5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未到期</w:t>
            </w:r>
          </w:p>
        </w:tc>
      </w:tr>
      <w:tr>
        <w:tblPrEx>
          <w:tblLayout w:type="fixed"/>
          <w:tblCellMar>
            <w:top w:w="0" w:type="dxa"/>
            <w:left w:w="28" w:type="dxa"/>
            <w:bottom w:w="0" w:type="dxa"/>
            <w:right w:w="28" w:type="dxa"/>
          </w:tblCellMar>
        </w:tblPrEx>
        <w:tc>
          <w:tcPr>
            <w:tcW w:w="8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建设银行广州天河工业园支行</w:t>
            </w:r>
          </w:p>
        </w:tc>
        <w:tc>
          <w:tcPr>
            <w:tcW w:w="83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83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银行理财产品</w:t>
            </w:r>
          </w:p>
        </w:tc>
        <w:tc>
          <w:tcPr>
            <w:tcW w:w="8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500</w:t>
            </w:r>
          </w:p>
        </w:tc>
        <w:tc>
          <w:tcPr>
            <w:tcW w:w="80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12</w:t>
            </w:r>
            <w:r>
              <w:rPr>
                <w:rFonts w:hint="eastAsia"/>
                <w:szCs w:val="24"/>
              </w:rPr>
              <w:t>月</w:t>
            </w:r>
            <w:r>
              <w:rPr>
                <w:szCs w:val="24"/>
              </w:rPr>
              <w:t>02</w:t>
            </w:r>
            <w:r>
              <w:rPr>
                <w:rFonts w:hint="eastAsia"/>
                <w:szCs w:val="24"/>
              </w:rPr>
              <w:t>日</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2017</w:t>
            </w:r>
            <w:r>
              <w:rPr>
                <w:rFonts w:hint="eastAsia"/>
                <w:szCs w:val="24"/>
              </w:rPr>
              <w:t>年</w:t>
            </w:r>
            <w:r>
              <w:rPr>
                <w:szCs w:val="24"/>
              </w:rPr>
              <w:t>12</w:t>
            </w:r>
            <w:r>
              <w:rPr>
                <w:rFonts w:hint="eastAsia"/>
                <w:szCs w:val="24"/>
              </w:rPr>
              <w:t>月</w:t>
            </w:r>
            <w:r>
              <w:rPr>
                <w:szCs w:val="24"/>
              </w:rPr>
              <w:t>31</w:t>
            </w:r>
            <w:r>
              <w:rPr>
                <w:rFonts w:hint="eastAsia"/>
                <w:szCs w:val="24"/>
              </w:rPr>
              <w:t>日</w:t>
            </w: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到期时支取全部本金及理财收益</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5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未到期</w:t>
            </w:r>
          </w:p>
        </w:tc>
      </w:tr>
      <w:tr>
        <w:tblPrEx>
          <w:tblLayout w:type="fixed"/>
          <w:tblCellMar>
            <w:top w:w="0" w:type="dxa"/>
            <w:left w:w="28" w:type="dxa"/>
            <w:bottom w:w="0" w:type="dxa"/>
            <w:right w:w="28" w:type="dxa"/>
          </w:tblCellMar>
        </w:tblPrEx>
        <w:tc>
          <w:tcPr>
            <w:tcW w:w="8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建设银行广州天河工业园支行</w:t>
            </w:r>
          </w:p>
        </w:tc>
        <w:tc>
          <w:tcPr>
            <w:tcW w:w="83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83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银行理财产品</w:t>
            </w:r>
          </w:p>
        </w:tc>
        <w:tc>
          <w:tcPr>
            <w:tcW w:w="8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500</w:t>
            </w:r>
          </w:p>
        </w:tc>
        <w:tc>
          <w:tcPr>
            <w:tcW w:w="80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12</w:t>
            </w:r>
            <w:r>
              <w:rPr>
                <w:rFonts w:hint="eastAsia"/>
                <w:szCs w:val="24"/>
              </w:rPr>
              <w:t>月</w:t>
            </w:r>
            <w:r>
              <w:rPr>
                <w:szCs w:val="24"/>
              </w:rPr>
              <w:t>02</w:t>
            </w:r>
            <w:r>
              <w:rPr>
                <w:rFonts w:hint="eastAsia"/>
                <w:szCs w:val="24"/>
              </w:rPr>
              <w:t>日</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2017</w:t>
            </w:r>
            <w:r>
              <w:rPr>
                <w:rFonts w:hint="eastAsia"/>
                <w:szCs w:val="24"/>
              </w:rPr>
              <w:t>年</w:t>
            </w:r>
            <w:r>
              <w:rPr>
                <w:szCs w:val="24"/>
              </w:rPr>
              <w:t>05</w:t>
            </w:r>
            <w:r>
              <w:rPr>
                <w:rFonts w:hint="eastAsia"/>
                <w:szCs w:val="24"/>
              </w:rPr>
              <w:t>月</w:t>
            </w:r>
            <w:r>
              <w:rPr>
                <w:szCs w:val="24"/>
              </w:rPr>
              <w:t>10</w:t>
            </w:r>
            <w:r>
              <w:rPr>
                <w:rFonts w:hint="eastAsia"/>
                <w:szCs w:val="24"/>
              </w:rPr>
              <w:t>日</w:t>
            </w: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到期时支取全部本金及理财收益</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7.1</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5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未到期</w:t>
            </w:r>
          </w:p>
        </w:tc>
      </w:tr>
      <w:tr>
        <w:tblPrEx>
          <w:tblLayout w:type="fixed"/>
          <w:tblCellMar>
            <w:top w:w="0" w:type="dxa"/>
            <w:left w:w="28" w:type="dxa"/>
            <w:bottom w:w="0" w:type="dxa"/>
            <w:right w:w="28" w:type="dxa"/>
          </w:tblCellMar>
        </w:tblPrEx>
        <w:tc>
          <w:tcPr>
            <w:tcW w:w="8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建设银行广州天河工业园支行</w:t>
            </w:r>
          </w:p>
        </w:tc>
        <w:tc>
          <w:tcPr>
            <w:tcW w:w="83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c>
          <w:tcPr>
            <w:tcW w:w="83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银行理财产品</w:t>
            </w:r>
          </w:p>
        </w:tc>
        <w:tc>
          <w:tcPr>
            <w:tcW w:w="8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1,000</w:t>
            </w:r>
          </w:p>
        </w:tc>
        <w:tc>
          <w:tcPr>
            <w:tcW w:w="80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12</w:t>
            </w:r>
            <w:r>
              <w:rPr>
                <w:rFonts w:hint="eastAsia"/>
                <w:szCs w:val="24"/>
              </w:rPr>
              <w:t>月</w:t>
            </w:r>
            <w:r>
              <w:rPr>
                <w:szCs w:val="24"/>
              </w:rPr>
              <w:t>29</w:t>
            </w:r>
            <w:r>
              <w:rPr>
                <w:rFonts w:hint="eastAsia"/>
                <w:szCs w:val="24"/>
              </w:rPr>
              <w:t>日</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2017</w:t>
            </w:r>
            <w:r>
              <w:rPr>
                <w:rFonts w:hint="eastAsia"/>
                <w:szCs w:val="24"/>
              </w:rPr>
              <w:t>年</w:t>
            </w:r>
            <w:r>
              <w:rPr>
                <w:szCs w:val="24"/>
              </w:rPr>
              <w:t>04</w:t>
            </w:r>
            <w:r>
              <w:rPr>
                <w:rFonts w:hint="eastAsia"/>
                <w:szCs w:val="24"/>
              </w:rPr>
              <w:t>月</w:t>
            </w:r>
            <w:r>
              <w:rPr>
                <w:szCs w:val="24"/>
              </w:rPr>
              <w:t>13</w:t>
            </w:r>
            <w:r>
              <w:rPr>
                <w:rFonts w:hint="eastAsia"/>
                <w:szCs w:val="24"/>
              </w:rPr>
              <w:t>日</w:t>
            </w: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到期时支取全部本金及理财收益</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10.82</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5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未到期</w:t>
            </w:r>
          </w:p>
        </w:tc>
      </w:tr>
      <w:tr>
        <w:tblPrEx>
          <w:tblLayout w:type="fixed"/>
          <w:tblCellMar>
            <w:top w:w="0" w:type="dxa"/>
            <w:left w:w="28" w:type="dxa"/>
            <w:bottom w:w="0" w:type="dxa"/>
            <w:right w:w="28" w:type="dxa"/>
          </w:tblCellMar>
        </w:tblPrEx>
        <w:tc>
          <w:tcPr>
            <w:tcW w:w="2472" w:type="dxa"/>
            <w:gridSpan w:val="3"/>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合计</w:t>
            </w:r>
          </w:p>
        </w:tc>
        <w:tc>
          <w:tcPr>
            <w:tcW w:w="8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97,145</w:t>
            </w:r>
          </w:p>
        </w:tc>
        <w:tc>
          <w:tcPr>
            <w:tcW w:w="80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80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80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74,565</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8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318.44</w:t>
            </w:r>
          </w:p>
        </w:tc>
        <w:tc>
          <w:tcPr>
            <w:tcW w:w="80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253.8</w:t>
            </w:r>
          </w:p>
        </w:tc>
        <w:tc>
          <w:tcPr>
            <w:tcW w:w="59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r>
      <w:tr>
        <w:tblPrEx>
          <w:tblLayout w:type="fixed"/>
          <w:tblCellMar>
            <w:top w:w="0" w:type="dxa"/>
            <w:left w:w="28" w:type="dxa"/>
            <w:bottom w:w="0" w:type="dxa"/>
            <w:right w:w="28" w:type="dxa"/>
          </w:tblCellMar>
        </w:tblPrEx>
        <w:tc>
          <w:tcPr>
            <w:tcW w:w="2472" w:type="dxa"/>
            <w:gridSpan w:val="3"/>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委托理财资金来源</w:t>
            </w:r>
          </w:p>
        </w:tc>
        <w:tc>
          <w:tcPr>
            <w:tcW w:w="7097" w:type="dxa"/>
            <w:gridSpan w:val="9"/>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自有资金</w:t>
            </w:r>
          </w:p>
        </w:tc>
      </w:tr>
      <w:tr>
        <w:tblPrEx>
          <w:tblLayout w:type="fixed"/>
          <w:tblCellMar>
            <w:top w:w="0" w:type="dxa"/>
            <w:left w:w="28" w:type="dxa"/>
            <w:bottom w:w="0" w:type="dxa"/>
            <w:right w:w="28" w:type="dxa"/>
          </w:tblCellMar>
        </w:tblPrEx>
        <w:tc>
          <w:tcPr>
            <w:tcW w:w="2472" w:type="dxa"/>
            <w:gridSpan w:val="3"/>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逾期未收回的本金和收益累计金额</w:t>
            </w:r>
          </w:p>
        </w:tc>
        <w:tc>
          <w:tcPr>
            <w:tcW w:w="7097" w:type="dxa"/>
            <w:gridSpan w:val="9"/>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r>
      <w:tr>
        <w:tblPrEx>
          <w:tblLayout w:type="fixed"/>
          <w:tblCellMar>
            <w:top w:w="0" w:type="dxa"/>
            <w:left w:w="28" w:type="dxa"/>
            <w:bottom w:w="0" w:type="dxa"/>
            <w:right w:w="28" w:type="dxa"/>
          </w:tblCellMar>
        </w:tblPrEx>
        <w:tc>
          <w:tcPr>
            <w:tcW w:w="2472" w:type="dxa"/>
            <w:gridSpan w:val="3"/>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涉诉情况（如适用）</w:t>
            </w:r>
          </w:p>
        </w:tc>
        <w:tc>
          <w:tcPr>
            <w:tcW w:w="7097" w:type="dxa"/>
            <w:gridSpan w:val="9"/>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不适用</w:t>
            </w:r>
          </w:p>
        </w:tc>
      </w:tr>
      <w:tr>
        <w:tblPrEx>
          <w:tblLayout w:type="fixed"/>
          <w:tblCellMar>
            <w:top w:w="0" w:type="dxa"/>
            <w:left w:w="28" w:type="dxa"/>
            <w:bottom w:w="0" w:type="dxa"/>
            <w:right w:w="28" w:type="dxa"/>
          </w:tblCellMar>
        </w:tblPrEx>
        <w:tc>
          <w:tcPr>
            <w:tcW w:w="2472" w:type="dxa"/>
            <w:gridSpan w:val="3"/>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委托理财审批董事会公告披露日期（如有</w:t>
            </w:r>
            <w:r>
              <w:rPr>
                <w:szCs w:val="24"/>
              </w:rPr>
              <w:t>)</w:t>
            </w:r>
          </w:p>
        </w:tc>
        <w:tc>
          <w:tcPr>
            <w:tcW w:w="7097" w:type="dxa"/>
            <w:gridSpan w:val="9"/>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03</w:t>
            </w:r>
            <w:r>
              <w:rPr>
                <w:rFonts w:hint="eastAsia"/>
                <w:szCs w:val="24"/>
              </w:rPr>
              <w:t>月</w:t>
            </w:r>
            <w:r>
              <w:rPr>
                <w:szCs w:val="24"/>
              </w:rPr>
              <w:t>31</w:t>
            </w:r>
            <w:r>
              <w:rPr>
                <w:rFonts w:hint="eastAsia"/>
                <w:szCs w:val="24"/>
              </w:rPr>
              <w:t>日</w:t>
            </w:r>
          </w:p>
        </w:tc>
      </w:tr>
      <w:tr>
        <w:tblPrEx>
          <w:tblLayout w:type="fixed"/>
          <w:tblCellMar>
            <w:top w:w="0" w:type="dxa"/>
            <w:left w:w="28" w:type="dxa"/>
            <w:bottom w:w="0" w:type="dxa"/>
            <w:right w:w="28" w:type="dxa"/>
          </w:tblCellMar>
        </w:tblPrEx>
        <w:tc>
          <w:tcPr>
            <w:tcW w:w="2472" w:type="dxa"/>
            <w:gridSpan w:val="3"/>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委托理财审批股东会公告披露日期（如有</w:t>
            </w:r>
            <w:r>
              <w:rPr>
                <w:szCs w:val="24"/>
              </w:rPr>
              <w:t>)</w:t>
            </w:r>
          </w:p>
        </w:tc>
        <w:tc>
          <w:tcPr>
            <w:tcW w:w="7097" w:type="dxa"/>
            <w:gridSpan w:val="9"/>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r>
      <w:tr>
        <w:tblPrEx>
          <w:tblLayout w:type="fixed"/>
          <w:tblCellMar>
            <w:top w:w="0" w:type="dxa"/>
            <w:left w:w="28" w:type="dxa"/>
            <w:bottom w:w="0" w:type="dxa"/>
            <w:right w:w="28" w:type="dxa"/>
          </w:tblCellMar>
        </w:tblPrEx>
        <w:tc>
          <w:tcPr>
            <w:tcW w:w="2472" w:type="dxa"/>
            <w:gridSpan w:val="3"/>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未来是否还有委托理财计划</w:t>
            </w:r>
          </w:p>
        </w:tc>
        <w:tc>
          <w:tcPr>
            <w:tcW w:w="7097" w:type="dxa"/>
            <w:gridSpan w:val="9"/>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公司将在确保不影响公司正常运营及募集资金项目建设和募集资金使用的情况下，对闲置自有资金和募集资金进行现金管理，投资于安全性高、流动性好的投资产品。</w:t>
            </w:r>
          </w:p>
        </w:tc>
      </w:tr>
    </w:tbl>
    <w:p>
      <w:pPr>
        <w:pStyle w:val="11"/>
        <w:outlineLvl w:val="3"/>
        <w:rPr>
          <w:bCs w:val="0"/>
          <w:szCs w:val="24"/>
        </w:rPr>
      </w:pPr>
      <w:r>
        <w:rPr>
          <w:rFonts w:hint="eastAsia"/>
          <w:bCs w:val="0"/>
          <w:szCs w:val="24"/>
        </w:rPr>
        <w:t>（</w:t>
      </w:r>
      <w:r>
        <w:rPr>
          <w:bCs w:val="0"/>
          <w:szCs w:val="24"/>
        </w:rPr>
        <w:t>2</w:t>
      </w:r>
      <w:r>
        <w:rPr>
          <w:rFonts w:hint="eastAsia"/>
          <w:bCs w:val="0"/>
          <w:szCs w:val="24"/>
        </w:rPr>
        <w:t>）委托贷款情况</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jc w:val="left"/>
        <w:rPr>
          <w:szCs w:val="24"/>
        </w:rPr>
      </w:pPr>
      <w:r>
        <w:rPr>
          <w:rFonts w:hint="eastAsia"/>
          <w:szCs w:val="24"/>
        </w:rPr>
        <w:t>公司报告期不存在委托贷款。</w:t>
      </w:r>
    </w:p>
    <w:p>
      <w:pPr>
        <w:pStyle w:val="11"/>
        <w:outlineLvl w:val="2"/>
        <w:rPr>
          <w:bCs w:val="0"/>
          <w:szCs w:val="24"/>
        </w:rPr>
      </w:pPr>
      <w:r>
        <w:rPr>
          <w:bCs w:val="0"/>
          <w:szCs w:val="24"/>
        </w:rPr>
        <w:t>4</w:t>
      </w:r>
      <w:r>
        <w:rPr>
          <w:rFonts w:hint="eastAsia"/>
          <w:bCs w:val="0"/>
          <w:szCs w:val="24"/>
        </w:rPr>
        <w:t>、其他重大合同</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jc w:val="left"/>
        <w:rPr>
          <w:szCs w:val="24"/>
        </w:rPr>
      </w:pPr>
      <w:r>
        <w:rPr>
          <w:rFonts w:hint="eastAsia"/>
          <w:szCs w:val="24"/>
        </w:rPr>
        <w:t>公司报告期不存在其他重大合同。</w:t>
      </w:r>
    </w:p>
    <w:p>
      <w:pPr>
        <w:pStyle w:val="10"/>
        <w:outlineLvl w:val="1"/>
        <w:rPr>
          <w:bCs w:val="0"/>
        </w:rPr>
      </w:pPr>
      <w:r>
        <w:rPr>
          <w:rFonts w:hint="eastAsia"/>
          <w:bCs w:val="0"/>
        </w:rPr>
        <w:t>十七、社会责任情况</w:t>
      </w:r>
    </w:p>
    <w:p>
      <w:pPr>
        <w:pStyle w:val="11"/>
        <w:outlineLvl w:val="2"/>
        <w:rPr>
          <w:bCs w:val="0"/>
          <w:szCs w:val="24"/>
        </w:rPr>
      </w:pPr>
      <w:r>
        <w:rPr>
          <w:bCs w:val="0"/>
          <w:szCs w:val="24"/>
        </w:rPr>
        <w:t>1</w:t>
      </w:r>
      <w:r>
        <w:rPr>
          <w:rFonts w:hint="eastAsia"/>
          <w:bCs w:val="0"/>
          <w:szCs w:val="24"/>
        </w:rPr>
        <w:t>、履行精准扶贫社会责任情况</w:t>
      </w:r>
    </w:p>
    <w:p>
      <w:pPr>
        <w:pStyle w:val="11"/>
        <w:outlineLvl w:val="3"/>
        <w:rPr>
          <w:bCs w:val="0"/>
          <w:szCs w:val="24"/>
        </w:rPr>
      </w:pPr>
      <w:r>
        <w:rPr>
          <w:rFonts w:hint="eastAsia"/>
          <w:bCs w:val="0"/>
          <w:szCs w:val="24"/>
        </w:rPr>
        <w:t>（</w:t>
      </w:r>
      <w:r>
        <w:rPr>
          <w:bCs w:val="0"/>
          <w:szCs w:val="24"/>
        </w:rPr>
        <w:t>1</w:t>
      </w:r>
      <w:r>
        <w:rPr>
          <w:rFonts w:hint="eastAsia"/>
          <w:bCs w:val="0"/>
          <w:szCs w:val="24"/>
        </w:rPr>
        <w:t>）年度精准扶贫概要</w:t>
      </w:r>
    </w:p>
    <w:p>
      <w:pPr>
        <w:autoSpaceDE w:val="0"/>
        <w:autoSpaceDN w:val="0"/>
        <w:adjustRightInd w:val="0"/>
        <w:spacing w:before="0" w:after="0"/>
        <w:rPr>
          <w:rFonts w:eastAsia="Times New Roman"/>
          <w:kern w:val="0"/>
          <w:sz w:val="24"/>
          <w:szCs w:val="24"/>
          <w:lang w:val="zh-CN"/>
        </w:rPr>
      </w:pPr>
      <w:r>
        <w:rPr>
          <w:rFonts w:hint="eastAsia" w:ascii="宋体" w:hAnsi="宋体" w:cs="宋体"/>
          <w:kern w:val="0"/>
          <w:sz w:val="24"/>
          <w:szCs w:val="24"/>
          <w:lang w:val="zh-CN"/>
        </w:rPr>
        <w:t>公司报告年度暂未开展精准扶贫工作，也暂无后续精准扶贫计划。</w:t>
      </w:r>
    </w:p>
    <w:p>
      <w:pPr>
        <w:pStyle w:val="11"/>
        <w:outlineLvl w:val="3"/>
        <w:rPr>
          <w:bCs w:val="0"/>
          <w:szCs w:val="24"/>
        </w:rPr>
      </w:pPr>
      <w:r>
        <w:rPr>
          <w:rFonts w:hint="eastAsia"/>
          <w:bCs w:val="0"/>
          <w:szCs w:val="24"/>
        </w:rPr>
        <w:t>（</w:t>
      </w:r>
      <w:r>
        <w:rPr>
          <w:bCs w:val="0"/>
          <w:szCs w:val="24"/>
        </w:rPr>
        <w:t>2</w:t>
      </w:r>
      <w:r>
        <w:rPr>
          <w:rFonts w:hint="eastAsia"/>
          <w:bCs w:val="0"/>
          <w:szCs w:val="24"/>
        </w:rPr>
        <w:t>）上市公司年度精准扶贫工作情况</w:t>
      </w:r>
    </w:p>
    <w:tbl>
      <w:tblPr>
        <w:tblStyle w:val="8"/>
        <w:tblW w:w="9568" w:type="dxa"/>
        <w:tblInd w:w="28" w:type="dxa"/>
        <w:tblLayout w:type="fixed"/>
        <w:tblCellMar>
          <w:top w:w="0" w:type="dxa"/>
          <w:left w:w="28" w:type="dxa"/>
          <w:bottom w:w="0" w:type="dxa"/>
          <w:right w:w="28" w:type="dxa"/>
        </w:tblCellMar>
      </w:tblPr>
      <w:tblGrid>
        <w:gridCol w:w="3624"/>
        <w:gridCol w:w="1553"/>
        <w:gridCol w:w="4391"/>
      </w:tblGrid>
      <w:tr>
        <w:tblPrEx>
          <w:tblLayout w:type="fixed"/>
        </w:tblPrEx>
        <w:tc>
          <w:tcPr>
            <w:tcW w:w="362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指标</w:t>
            </w:r>
          </w:p>
        </w:tc>
        <w:tc>
          <w:tcPr>
            <w:tcW w:w="155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计量单位</w:t>
            </w:r>
          </w:p>
        </w:tc>
        <w:tc>
          <w:tcPr>
            <w:tcW w:w="439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数量</w:t>
            </w:r>
            <w:r>
              <w:rPr>
                <w:szCs w:val="24"/>
              </w:rPr>
              <w:t>/</w:t>
            </w:r>
            <w:r>
              <w:rPr>
                <w:rFonts w:hint="eastAsia"/>
                <w:szCs w:val="24"/>
              </w:rPr>
              <w:t>开展情况</w:t>
            </w:r>
          </w:p>
        </w:tc>
      </w:tr>
      <w:tr>
        <w:tblPrEx>
          <w:tblLayout w:type="fixed"/>
          <w:tblCellMar>
            <w:top w:w="0" w:type="dxa"/>
            <w:left w:w="28" w:type="dxa"/>
            <w:bottom w:w="0" w:type="dxa"/>
            <w:right w:w="28" w:type="dxa"/>
          </w:tblCellMar>
        </w:tblPrEx>
        <w:tc>
          <w:tcPr>
            <w:tcW w:w="362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一、总体情况</w:t>
            </w:r>
          </w:p>
        </w:tc>
        <w:tc>
          <w:tcPr>
            <w:tcW w:w="155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439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r>
      <w:tr>
        <w:tblPrEx>
          <w:tblLayout w:type="fixed"/>
          <w:tblCellMar>
            <w:top w:w="0" w:type="dxa"/>
            <w:left w:w="28" w:type="dxa"/>
            <w:bottom w:w="0" w:type="dxa"/>
            <w:right w:w="28" w:type="dxa"/>
          </w:tblCellMar>
        </w:tblPrEx>
        <w:tc>
          <w:tcPr>
            <w:tcW w:w="362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二、分项投入</w:t>
            </w:r>
          </w:p>
        </w:tc>
        <w:tc>
          <w:tcPr>
            <w:tcW w:w="155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439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r>
      <w:tr>
        <w:tblPrEx>
          <w:tblLayout w:type="fixed"/>
          <w:tblCellMar>
            <w:top w:w="0" w:type="dxa"/>
            <w:left w:w="28" w:type="dxa"/>
            <w:bottom w:w="0" w:type="dxa"/>
            <w:right w:w="28" w:type="dxa"/>
          </w:tblCellMar>
        </w:tblPrEx>
        <w:tc>
          <w:tcPr>
            <w:tcW w:w="362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　</w:t>
            </w:r>
            <w:r>
              <w:rPr>
                <w:szCs w:val="24"/>
              </w:rPr>
              <w:t>1.</w:t>
            </w:r>
            <w:r>
              <w:rPr>
                <w:rFonts w:hint="eastAsia"/>
                <w:szCs w:val="24"/>
              </w:rPr>
              <w:t>产业发展脱贫</w:t>
            </w:r>
          </w:p>
        </w:tc>
        <w:tc>
          <w:tcPr>
            <w:tcW w:w="155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439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r>
      <w:tr>
        <w:tblPrEx>
          <w:tblLayout w:type="fixed"/>
          <w:tblCellMar>
            <w:top w:w="0" w:type="dxa"/>
            <w:left w:w="28" w:type="dxa"/>
            <w:bottom w:w="0" w:type="dxa"/>
            <w:right w:w="28" w:type="dxa"/>
          </w:tblCellMar>
        </w:tblPrEx>
        <w:tc>
          <w:tcPr>
            <w:tcW w:w="362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　</w:t>
            </w:r>
            <w:r>
              <w:rPr>
                <w:szCs w:val="24"/>
              </w:rPr>
              <w:t>2.</w:t>
            </w:r>
            <w:r>
              <w:rPr>
                <w:rFonts w:hint="eastAsia"/>
                <w:szCs w:val="24"/>
              </w:rPr>
              <w:t>转移就业脱贫</w:t>
            </w:r>
          </w:p>
        </w:tc>
        <w:tc>
          <w:tcPr>
            <w:tcW w:w="155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439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r>
      <w:tr>
        <w:tblPrEx>
          <w:tblLayout w:type="fixed"/>
          <w:tblCellMar>
            <w:top w:w="0" w:type="dxa"/>
            <w:left w:w="28" w:type="dxa"/>
            <w:bottom w:w="0" w:type="dxa"/>
            <w:right w:w="28" w:type="dxa"/>
          </w:tblCellMar>
        </w:tblPrEx>
        <w:tc>
          <w:tcPr>
            <w:tcW w:w="362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　</w:t>
            </w:r>
            <w:r>
              <w:rPr>
                <w:szCs w:val="24"/>
              </w:rPr>
              <w:t>3.</w:t>
            </w:r>
            <w:r>
              <w:rPr>
                <w:rFonts w:hint="eastAsia"/>
                <w:szCs w:val="24"/>
              </w:rPr>
              <w:t>易地搬迁脱贫</w:t>
            </w:r>
          </w:p>
        </w:tc>
        <w:tc>
          <w:tcPr>
            <w:tcW w:w="155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439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r>
      <w:tr>
        <w:tblPrEx>
          <w:tblLayout w:type="fixed"/>
          <w:tblCellMar>
            <w:top w:w="0" w:type="dxa"/>
            <w:left w:w="28" w:type="dxa"/>
            <w:bottom w:w="0" w:type="dxa"/>
            <w:right w:w="28" w:type="dxa"/>
          </w:tblCellMar>
        </w:tblPrEx>
        <w:tc>
          <w:tcPr>
            <w:tcW w:w="362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　</w:t>
            </w:r>
            <w:r>
              <w:rPr>
                <w:szCs w:val="24"/>
              </w:rPr>
              <w:t>4.</w:t>
            </w:r>
            <w:r>
              <w:rPr>
                <w:rFonts w:hint="eastAsia"/>
                <w:szCs w:val="24"/>
              </w:rPr>
              <w:t>教育脱贫</w:t>
            </w:r>
          </w:p>
        </w:tc>
        <w:tc>
          <w:tcPr>
            <w:tcW w:w="155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439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r>
      <w:tr>
        <w:tblPrEx>
          <w:tblLayout w:type="fixed"/>
          <w:tblCellMar>
            <w:top w:w="0" w:type="dxa"/>
            <w:left w:w="28" w:type="dxa"/>
            <w:bottom w:w="0" w:type="dxa"/>
            <w:right w:w="28" w:type="dxa"/>
          </w:tblCellMar>
        </w:tblPrEx>
        <w:tc>
          <w:tcPr>
            <w:tcW w:w="362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　</w:t>
            </w:r>
            <w:r>
              <w:rPr>
                <w:szCs w:val="24"/>
              </w:rPr>
              <w:t>5.</w:t>
            </w:r>
            <w:r>
              <w:rPr>
                <w:rFonts w:hint="eastAsia"/>
                <w:szCs w:val="24"/>
              </w:rPr>
              <w:t>健康扶贫</w:t>
            </w:r>
          </w:p>
        </w:tc>
        <w:tc>
          <w:tcPr>
            <w:tcW w:w="155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439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r>
      <w:tr>
        <w:tblPrEx>
          <w:tblLayout w:type="fixed"/>
          <w:tblCellMar>
            <w:top w:w="0" w:type="dxa"/>
            <w:left w:w="28" w:type="dxa"/>
            <w:bottom w:w="0" w:type="dxa"/>
            <w:right w:w="28" w:type="dxa"/>
          </w:tblCellMar>
        </w:tblPrEx>
        <w:tc>
          <w:tcPr>
            <w:tcW w:w="362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　</w:t>
            </w:r>
            <w:r>
              <w:rPr>
                <w:szCs w:val="24"/>
              </w:rPr>
              <w:t>6.</w:t>
            </w:r>
            <w:r>
              <w:rPr>
                <w:rFonts w:hint="eastAsia"/>
                <w:szCs w:val="24"/>
              </w:rPr>
              <w:t>生态保护扶贫</w:t>
            </w:r>
          </w:p>
        </w:tc>
        <w:tc>
          <w:tcPr>
            <w:tcW w:w="155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439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r>
      <w:tr>
        <w:tblPrEx>
          <w:tblLayout w:type="fixed"/>
          <w:tblCellMar>
            <w:top w:w="0" w:type="dxa"/>
            <w:left w:w="28" w:type="dxa"/>
            <w:bottom w:w="0" w:type="dxa"/>
            <w:right w:w="28" w:type="dxa"/>
          </w:tblCellMar>
        </w:tblPrEx>
        <w:tc>
          <w:tcPr>
            <w:tcW w:w="362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　</w:t>
            </w:r>
            <w:r>
              <w:rPr>
                <w:szCs w:val="24"/>
              </w:rPr>
              <w:t>7.</w:t>
            </w:r>
            <w:r>
              <w:rPr>
                <w:rFonts w:hint="eastAsia"/>
                <w:szCs w:val="24"/>
              </w:rPr>
              <w:t>兜底保障</w:t>
            </w:r>
          </w:p>
        </w:tc>
        <w:tc>
          <w:tcPr>
            <w:tcW w:w="155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439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r>
      <w:tr>
        <w:tblPrEx>
          <w:tblLayout w:type="fixed"/>
          <w:tblCellMar>
            <w:top w:w="0" w:type="dxa"/>
            <w:left w:w="28" w:type="dxa"/>
            <w:bottom w:w="0" w:type="dxa"/>
            <w:right w:w="28" w:type="dxa"/>
          </w:tblCellMar>
        </w:tblPrEx>
        <w:tc>
          <w:tcPr>
            <w:tcW w:w="362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　</w:t>
            </w:r>
            <w:r>
              <w:rPr>
                <w:szCs w:val="24"/>
              </w:rPr>
              <w:t>8.</w:t>
            </w:r>
            <w:r>
              <w:rPr>
                <w:rFonts w:hint="eastAsia"/>
                <w:szCs w:val="24"/>
              </w:rPr>
              <w:t>社会扶贫</w:t>
            </w:r>
          </w:p>
        </w:tc>
        <w:tc>
          <w:tcPr>
            <w:tcW w:w="155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439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r>
      <w:tr>
        <w:tblPrEx>
          <w:tblLayout w:type="fixed"/>
          <w:tblCellMar>
            <w:top w:w="0" w:type="dxa"/>
            <w:left w:w="28" w:type="dxa"/>
            <w:bottom w:w="0" w:type="dxa"/>
            <w:right w:w="28" w:type="dxa"/>
          </w:tblCellMar>
        </w:tblPrEx>
        <w:tc>
          <w:tcPr>
            <w:tcW w:w="362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　</w:t>
            </w:r>
            <w:r>
              <w:rPr>
                <w:szCs w:val="24"/>
              </w:rPr>
              <w:t>9.</w:t>
            </w:r>
            <w:r>
              <w:rPr>
                <w:rFonts w:hint="eastAsia"/>
                <w:szCs w:val="24"/>
              </w:rPr>
              <w:t>其他项目</w:t>
            </w:r>
          </w:p>
        </w:tc>
        <w:tc>
          <w:tcPr>
            <w:tcW w:w="155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439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r>
      <w:tr>
        <w:tblPrEx>
          <w:tblLayout w:type="fixed"/>
          <w:tblCellMar>
            <w:top w:w="0" w:type="dxa"/>
            <w:left w:w="28" w:type="dxa"/>
            <w:bottom w:w="0" w:type="dxa"/>
            <w:right w:w="28" w:type="dxa"/>
          </w:tblCellMar>
        </w:tblPrEx>
        <w:tc>
          <w:tcPr>
            <w:tcW w:w="362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三、所获奖项（内容、级别）</w:t>
            </w:r>
          </w:p>
        </w:tc>
        <w:tc>
          <w:tcPr>
            <w:tcW w:w="155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439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r>
    </w:tbl>
    <w:p>
      <w:pPr>
        <w:pStyle w:val="11"/>
        <w:outlineLvl w:val="3"/>
        <w:rPr>
          <w:bCs w:val="0"/>
          <w:szCs w:val="24"/>
        </w:rPr>
      </w:pPr>
      <w:r>
        <w:rPr>
          <w:rFonts w:hint="eastAsia"/>
          <w:bCs w:val="0"/>
          <w:szCs w:val="24"/>
        </w:rPr>
        <w:t>（</w:t>
      </w:r>
      <w:r>
        <w:rPr>
          <w:bCs w:val="0"/>
          <w:szCs w:val="24"/>
        </w:rPr>
        <w:t>3</w:t>
      </w:r>
      <w:r>
        <w:rPr>
          <w:rFonts w:hint="eastAsia"/>
          <w:bCs w:val="0"/>
          <w:szCs w:val="24"/>
        </w:rPr>
        <w:t>）后续精准扶贫计划</w:t>
      </w:r>
    </w:p>
    <w:p>
      <w:pPr>
        <w:pStyle w:val="11"/>
        <w:outlineLvl w:val="2"/>
        <w:rPr>
          <w:bCs w:val="0"/>
          <w:szCs w:val="24"/>
        </w:rPr>
      </w:pPr>
      <w:r>
        <w:rPr>
          <w:bCs w:val="0"/>
          <w:szCs w:val="24"/>
        </w:rPr>
        <w:t>2</w:t>
      </w:r>
      <w:r>
        <w:rPr>
          <w:rFonts w:hint="eastAsia"/>
          <w:bCs w:val="0"/>
          <w:szCs w:val="24"/>
        </w:rPr>
        <w:t>、履行其他社会责任的情况</w:t>
      </w:r>
    </w:p>
    <w:p>
      <w:pPr>
        <w:autoSpaceDE w:val="0"/>
        <w:autoSpaceDN w:val="0"/>
        <w:adjustRightInd w:val="0"/>
        <w:rPr>
          <w:rFonts w:eastAsia="Times New Roman"/>
          <w:kern w:val="0"/>
          <w:sz w:val="24"/>
          <w:szCs w:val="24"/>
          <w:lang w:val="zh-CN"/>
        </w:rPr>
      </w:pPr>
      <w:r>
        <w:rPr>
          <w:rFonts w:hint="eastAsia" w:ascii="宋体" w:hAnsi="宋体" w:cs="宋体"/>
          <w:kern w:val="0"/>
          <w:sz w:val="24"/>
          <w:szCs w:val="24"/>
          <w:lang w:val="zh-CN"/>
        </w:rPr>
        <w:t>公司积极履行应尽的社会义务，承担社会责任。公司一直坚持</w:t>
      </w:r>
      <w:r>
        <w:rPr>
          <w:rFonts w:eastAsia="Times New Roman"/>
          <w:kern w:val="0"/>
          <w:sz w:val="24"/>
          <w:szCs w:val="24"/>
          <w:lang w:val="zh-CN"/>
        </w:rPr>
        <w:t>“</w:t>
      </w:r>
      <w:r>
        <w:rPr>
          <w:rFonts w:hint="eastAsia" w:ascii="宋体" w:hAnsi="宋体" w:cs="宋体"/>
          <w:kern w:val="0"/>
          <w:sz w:val="24"/>
          <w:szCs w:val="24"/>
          <w:lang w:val="zh-CN"/>
        </w:rPr>
        <w:t>客户至上，奋斗为本</w:t>
      </w:r>
      <w:r>
        <w:rPr>
          <w:rFonts w:eastAsia="Times New Roman"/>
          <w:kern w:val="0"/>
          <w:sz w:val="24"/>
          <w:szCs w:val="24"/>
          <w:lang w:val="zh-CN"/>
        </w:rPr>
        <w:t>”</w:t>
      </w:r>
      <w:r>
        <w:rPr>
          <w:rFonts w:hint="eastAsia" w:ascii="宋体" w:hAnsi="宋体" w:cs="宋体"/>
          <w:kern w:val="0"/>
          <w:sz w:val="24"/>
          <w:szCs w:val="24"/>
          <w:lang w:val="zh-CN"/>
        </w:rPr>
        <w:t>的核心价值观，以</w:t>
      </w:r>
      <w:r>
        <w:rPr>
          <w:rFonts w:eastAsia="Times New Roman"/>
          <w:kern w:val="0"/>
          <w:sz w:val="24"/>
          <w:szCs w:val="24"/>
          <w:lang w:val="zh-CN"/>
        </w:rPr>
        <w:t>“</w:t>
      </w:r>
      <w:r>
        <w:rPr>
          <w:rFonts w:hint="eastAsia" w:ascii="宋体" w:hAnsi="宋体" w:cs="宋体"/>
          <w:kern w:val="0"/>
          <w:sz w:val="24"/>
          <w:szCs w:val="24"/>
          <w:lang w:val="zh-CN"/>
        </w:rPr>
        <w:t>贡献海洋，献身国防</w:t>
      </w:r>
      <w:r>
        <w:rPr>
          <w:rFonts w:eastAsia="Times New Roman"/>
          <w:kern w:val="0"/>
          <w:sz w:val="24"/>
          <w:szCs w:val="24"/>
          <w:lang w:val="zh-CN"/>
        </w:rPr>
        <w:t>”</w:t>
      </w:r>
      <w:r>
        <w:rPr>
          <w:rFonts w:hint="eastAsia" w:ascii="宋体" w:hAnsi="宋体" w:cs="宋体"/>
          <w:kern w:val="0"/>
          <w:sz w:val="24"/>
          <w:szCs w:val="24"/>
          <w:lang w:val="zh-CN"/>
        </w:rPr>
        <w:t>为使命，秉承</w:t>
      </w:r>
      <w:r>
        <w:rPr>
          <w:rFonts w:eastAsia="Times New Roman"/>
          <w:kern w:val="0"/>
          <w:sz w:val="24"/>
          <w:szCs w:val="24"/>
          <w:lang w:val="zh-CN"/>
        </w:rPr>
        <w:t>“</w:t>
      </w:r>
      <w:r>
        <w:rPr>
          <w:rFonts w:hint="eastAsia" w:ascii="宋体" w:hAnsi="宋体" w:cs="宋体"/>
          <w:kern w:val="0"/>
          <w:sz w:val="24"/>
          <w:szCs w:val="24"/>
          <w:lang w:val="zh-CN"/>
        </w:rPr>
        <w:t>成为全球智能航海的引领者，中国智慧海洋的建设者</w:t>
      </w:r>
      <w:r>
        <w:rPr>
          <w:rFonts w:eastAsia="Times New Roman"/>
          <w:kern w:val="0"/>
          <w:sz w:val="24"/>
          <w:szCs w:val="24"/>
          <w:lang w:val="zh-CN"/>
        </w:rPr>
        <w:t>”</w:t>
      </w:r>
      <w:r>
        <w:rPr>
          <w:rFonts w:hint="eastAsia" w:ascii="宋体" w:hAnsi="宋体" w:cs="宋体"/>
          <w:kern w:val="0"/>
          <w:sz w:val="24"/>
          <w:szCs w:val="24"/>
          <w:lang w:val="zh-CN"/>
        </w:rPr>
        <w:t>的公司愿景。公司恪守国家和地区的各项法律法规，依法经营，诚实纳税，为地区经济发展贡献力量。海兰信倡导环保理念，承诺在研发、生产、销售等各业务环节重视生态效益，实现绿色生产，为环境的改善作出努力。公司在不断为股东创造价值的同时，也积极承担员工、客户、社区及其他利益相关者的责任。</w:t>
      </w:r>
    </w:p>
    <w:p>
      <w:pPr>
        <w:jc w:val="left"/>
        <w:rPr>
          <w:szCs w:val="24"/>
        </w:rPr>
      </w:pPr>
      <w:r>
        <w:rPr>
          <w:rFonts w:hint="eastAsia"/>
          <w:szCs w:val="24"/>
        </w:rPr>
        <w:t>上市公司及其子公司是否属于环境保护部门公布的重点排污单位</w:t>
      </w:r>
    </w:p>
    <w:p>
      <w:pPr>
        <w:jc w:val="left"/>
        <w:rPr>
          <w:szCs w:val="24"/>
        </w:rPr>
      </w:pPr>
      <w:r>
        <w:rPr>
          <w:rFonts w:hint="eastAsia"/>
          <w:szCs w:val="24"/>
        </w:rPr>
        <w:t>否</w:t>
      </w:r>
    </w:p>
    <w:p>
      <w:pPr>
        <w:jc w:val="left"/>
        <w:rPr>
          <w:szCs w:val="24"/>
        </w:rPr>
      </w:pPr>
      <w:r>
        <w:rPr>
          <w:rFonts w:hint="eastAsia"/>
          <w:szCs w:val="24"/>
        </w:rPr>
        <w:t>是否发布社会责任报告</w:t>
      </w:r>
    </w:p>
    <w:p>
      <w:pPr>
        <w:jc w:val="left"/>
        <w:rPr>
          <w:szCs w:val="24"/>
        </w:rPr>
      </w:pPr>
      <w:r>
        <w:rPr>
          <w:szCs w:val="24"/>
        </w:rPr>
        <w:t xml:space="preserve">□ </w:t>
      </w:r>
      <w:r>
        <w:rPr>
          <w:rFonts w:hint="eastAsia"/>
          <w:szCs w:val="24"/>
        </w:rPr>
        <w:t>是</w:t>
      </w:r>
      <w:r>
        <w:rPr>
          <w:szCs w:val="24"/>
        </w:rPr>
        <w:t xml:space="preserve"> √ </w:t>
      </w:r>
      <w:r>
        <w:rPr>
          <w:rFonts w:hint="eastAsia"/>
          <w:szCs w:val="24"/>
        </w:rPr>
        <w:t>否</w:t>
      </w:r>
      <w:r>
        <w:rPr>
          <w:szCs w:val="24"/>
        </w:rPr>
        <w:t xml:space="preserve"> </w:t>
      </w:r>
    </w:p>
    <w:p>
      <w:pPr>
        <w:pStyle w:val="10"/>
        <w:outlineLvl w:val="1"/>
        <w:rPr>
          <w:bCs w:val="0"/>
        </w:rPr>
      </w:pPr>
      <w:r>
        <w:rPr>
          <w:rFonts w:hint="eastAsia"/>
          <w:bCs w:val="0"/>
        </w:rPr>
        <w:t>十八、其他重大事项的说明</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jc w:val="left"/>
        <w:rPr>
          <w:szCs w:val="24"/>
        </w:rPr>
      </w:pPr>
      <w:r>
        <w:rPr>
          <w:rFonts w:hint="eastAsia"/>
          <w:szCs w:val="24"/>
        </w:rPr>
        <w:t>公司报告期不存在需要说明的其他重大事项。</w:t>
      </w:r>
    </w:p>
    <w:p>
      <w:pPr>
        <w:pStyle w:val="10"/>
        <w:outlineLvl w:val="1"/>
        <w:rPr>
          <w:bCs w:val="0"/>
        </w:rPr>
      </w:pPr>
      <w:r>
        <w:rPr>
          <w:rFonts w:hint="eastAsia"/>
          <w:bCs w:val="0"/>
        </w:rPr>
        <w:t>十九、公司子公司重大事项</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jc w:val="left"/>
        <w:rPr>
          <w:szCs w:val="24"/>
        </w:rPr>
      </w:pPr>
      <w:r>
        <w:rPr>
          <w:rFonts w:hint="eastAsia"/>
          <w:szCs w:val="24"/>
        </w:rPr>
        <w:t>2016年海兰劳雷以控股65%的方式完成对广东蓝图的并购，为海兰信海洋业务布局再添一抹亮色。广东蓝图核心业务海域动态管理和海岛动态监视监测，在国内拥有较高的市场占有率和用户知名度，且正积极参与国家及部分省市的智慧海洋规划与建设。</w:t>
      </w:r>
    </w:p>
    <w:p>
      <w:pPr>
        <w:pStyle w:val="5"/>
        <w:outlineLvl w:val="0"/>
        <w:rPr>
          <w:bCs w:val="0"/>
          <w:szCs w:val="24"/>
        </w:rPr>
      </w:pPr>
      <w:bookmarkStart w:id="5" w:name="_Toc300000089"/>
      <w:r>
        <w:rPr>
          <w:rFonts w:hint="eastAsia"/>
          <w:bCs w:val="0"/>
          <w:szCs w:val="24"/>
        </w:rPr>
        <w:t>第六节</w:t>
      </w:r>
      <w:r>
        <w:rPr>
          <w:bCs w:val="0"/>
          <w:szCs w:val="24"/>
        </w:rPr>
        <w:t xml:space="preserve"> </w:t>
      </w:r>
      <w:r>
        <w:rPr>
          <w:rFonts w:hint="eastAsia"/>
          <w:bCs w:val="0"/>
          <w:szCs w:val="24"/>
        </w:rPr>
        <w:t>股份变动及股东情况</w:t>
      </w:r>
      <w:bookmarkEnd w:id="5"/>
    </w:p>
    <w:p>
      <w:pPr>
        <w:pStyle w:val="10"/>
        <w:outlineLvl w:val="1"/>
        <w:rPr>
          <w:bCs w:val="0"/>
        </w:rPr>
      </w:pPr>
      <w:r>
        <w:rPr>
          <w:rFonts w:hint="eastAsia"/>
          <w:bCs w:val="0"/>
        </w:rPr>
        <w:t>一、股份变动情况</w:t>
      </w:r>
    </w:p>
    <w:p>
      <w:pPr>
        <w:pStyle w:val="11"/>
        <w:outlineLvl w:val="2"/>
        <w:rPr>
          <w:bCs w:val="0"/>
          <w:szCs w:val="24"/>
        </w:rPr>
      </w:pPr>
      <w:r>
        <w:rPr>
          <w:bCs w:val="0"/>
          <w:szCs w:val="24"/>
        </w:rPr>
        <w:t>1</w:t>
      </w:r>
      <w:r>
        <w:rPr>
          <w:rFonts w:hint="eastAsia"/>
          <w:bCs w:val="0"/>
          <w:szCs w:val="24"/>
        </w:rPr>
        <w:t>、股份变动情况</w:t>
      </w:r>
    </w:p>
    <w:p>
      <w:pPr>
        <w:jc w:val="right"/>
        <w:rPr>
          <w:szCs w:val="24"/>
        </w:rPr>
      </w:pPr>
      <w:r>
        <w:rPr>
          <w:rFonts w:hint="eastAsia"/>
          <w:szCs w:val="24"/>
        </w:rPr>
        <w:t>单位：股</w:t>
      </w:r>
    </w:p>
    <w:tbl>
      <w:tblPr>
        <w:tblStyle w:val="8"/>
        <w:tblW w:w="9515" w:type="dxa"/>
        <w:tblInd w:w="28" w:type="dxa"/>
        <w:tblLayout w:type="fixed"/>
        <w:tblCellMar>
          <w:top w:w="0" w:type="dxa"/>
          <w:left w:w="28" w:type="dxa"/>
          <w:bottom w:w="0" w:type="dxa"/>
          <w:right w:w="28" w:type="dxa"/>
        </w:tblCellMar>
      </w:tblPr>
      <w:tblGrid>
        <w:gridCol w:w="2032"/>
        <w:gridCol w:w="1047"/>
        <w:gridCol w:w="768"/>
        <w:gridCol w:w="948"/>
        <w:gridCol w:w="455"/>
        <w:gridCol w:w="1047"/>
        <w:gridCol w:w="455"/>
        <w:gridCol w:w="948"/>
        <w:gridCol w:w="1047"/>
        <w:gridCol w:w="768"/>
      </w:tblGrid>
      <w:tr>
        <w:tblPrEx>
          <w:tblLayout w:type="fixed"/>
          <w:tblCellMar>
            <w:top w:w="0" w:type="dxa"/>
            <w:left w:w="28" w:type="dxa"/>
            <w:bottom w:w="0" w:type="dxa"/>
            <w:right w:w="28" w:type="dxa"/>
          </w:tblCellMar>
        </w:tblPrEx>
        <w:trPr>
          <w:trHeight w:val="391" w:hRule="atLeast"/>
        </w:trPr>
        <w:tc>
          <w:tcPr>
            <w:tcW w:w="2032"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p>
        </w:tc>
        <w:tc>
          <w:tcPr>
            <w:tcW w:w="1815"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本次变动前</w:t>
            </w:r>
          </w:p>
        </w:tc>
        <w:tc>
          <w:tcPr>
            <w:tcW w:w="3853" w:type="dxa"/>
            <w:gridSpan w:val="5"/>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本次变动增减（＋，－）</w:t>
            </w:r>
          </w:p>
        </w:tc>
        <w:tc>
          <w:tcPr>
            <w:tcW w:w="1815"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本次变动后</w:t>
            </w:r>
          </w:p>
        </w:tc>
      </w:tr>
      <w:tr>
        <w:tblPrEx>
          <w:tblLayout w:type="fixed"/>
          <w:tblCellMar>
            <w:top w:w="0" w:type="dxa"/>
            <w:left w:w="28" w:type="dxa"/>
            <w:bottom w:w="0" w:type="dxa"/>
            <w:right w:w="28" w:type="dxa"/>
          </w:tblCellMar>
        </w:tblPrEx>
        <w:trPr>
          <w:trHeight w:val="402" w:hRule="atLeast"/>
        </w:trPr>
        <w:tc>
          <w:tcPr>
            <w:tcW w:w="2032" w:type="dxa"/>
            <w:vMerge w:val="continue"/>
            <w:tcBorders>
              <w:top w:val="single" w:color="auto" w:sz="4" w:space="0"/>
              <w:left w:val="single" w:color="auto" w:sz="4" w:space="0"/>
              <w:bottom w:val="single" w:color="auto" w:sz="4" w:space="0"/>
              <w:right w:val="single" w:color="auto" w:sz="4" w:space="0"/>
            </w:tcBorders>
            <w:vAlign w:val="center"/>
          </w:tcPr>
          <w:p>
            <w:pPr>
              <w:jc w:val="center"/>
              <w:rPr>
                <w:szCs w:val="24"/>
              </w:rPr>
            </w:pPr>
          </w:p>
        </w:tc>
        <w:tc>
          <w:tcPr>
            <w:tcW w:w="104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数量</w:t>
            </w:r>
          </w:p>
        </w:tc>
        <w:tc>
          <w:tcPr>
            <w:tcW w:w="768"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比例</w:t>
            </w:r>
          </w:p>
        </w:tc>
        <w:tc>
          <w:tcPr>
            <w:tcW w:w="948"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发行新股</w:t>
            </w:r>
          </w:p>
        </w:tc>
        <w:tc>
          <w:tcPr>
            <w:tcW w:w="45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送股</w:t>
            </w:r>
          </w:p>
        </w:tc>
        <w:tc>
          <w:tcPr>
            <w:tcW w:w="104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公积金转股</w:t>
            </w:r>
          </w:p>
        </w:tc>
        <w:tc>
          <w:tcPr>
            <w:tcW w:w="45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其他</w:t>
            </w:r>
          </w:p>
        </w:tc>
        <w:tc>
          <w:tcPr>
            <w:tcW w:w="948"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小计</w:t>
            </w:r>
          </w:p>
        </w:tc>
        <w:tc>
          <w:tcPr>
            <w:tcW w:w="104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数量</w:t>
            </w:r>
          </w:p>
        </w:tc>
        <w:tc>
          <w:tcPr>
            <w:tcW w:w="768"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比例</w:t>
            </w:r>
          </w:p>
        </w:tc>
      </w:tr>
      <w:tr>
        <w:tblPrEx>
          <w:tblLayout w:type="fixed"/>
          <w:tblCellMar>
            <w:top w:w="0" w:type="dxa"/>
            <w:left w:w="28" w:type="dxa"/>
            <w:bottom w:w="0" w:type="dxa"/>
            <w:right w:w="28" w:type="dxa"/>
          </w:tblCellMar>
        </w:tblPrEx>
        <w:trPr>
          <w:trHeight w:val="391" w:hRule="atLeast"/>
        </w:trPr>
        <w:tc>
          <w:tcPr>
            <w:tcW w:w="203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一、有限售条件股份</w:t>
            </w:r>
          </w:p>
        </w:tc>
        <w:tc>
          <w:tcPr>
            <w:tcW w:w="10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30,632,128</w:t>
            </w:r>
          </w:p>
        </w:tc>
        <w:tc>
          <w:tcPr>
            <w:tcW w:w="7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23.61%</w:t>
            </w:r>
          </w:p>
        </w:tc>
        <w:tc>
          <w:tcPr>
            <w:tcW w:w="94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31,054,708</w:t>
            </w:r>
          </w:p>
        </w:tc>
        <w:tc>
          <w:tcPr>
            <w:tcW w:w="45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10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45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94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31,054,708</w:t>
            </w:r>
          </w:p>
        </w:tc>
        <w:tc>
          <w:tcPr>
            <w:tcW w:w="10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61,686,836</w:t>
            </w:r>
          </w:p>
        </w:tc>
        <w:tc>
          <w:tcPr>
            <w:tcW w:w="7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25.54%</w:t>
            </w:r>
          </w:p>
        </w:tc>
      </w:tr>
      <w:tr>
        <w:tblPrEx>
          <w:tblLayout w:type="fixed"/>
          <w:tblCellMar>
            <w:top w:w="0" w:type="dxa"/>
            <w:left w:w="28" w:type="dxa"/>
            <w:bottom w:w="0" w:type="dxa"/>
            <w:right w:w="28" w:type="dxa"/>
          </w:tblCellMar>
        </w:tblPrEx>
        <w:trPr>
          <w:trHeight w:val="380" w:hRule="atLeast"/>
        </w:trPr>
        <w:tc>
          <w:tcPr>
            <w:tcW w:w="203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szCs w:val="24"/>
              </w:rPr>
              <w:t>1</w:t>
            </w:r>
            <w:r>
              <w:rPr>
                <w:rFonts w:hint="eastAsia"/>
                <w:szCs w:val="24"/>
              </w:rPr>
              <w:t>、国家持股</w:t>
            </w:r>
          </w:p>
        </w:tc>
        <w:tc>
          <w:tcPr>
            <w:tcW w:w="10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0.00%</w:t>
            </w:r>
          </w:p>
        </w:tc>
        <w:tc>
          <w:tcPr>
            <w:tcW w:w="94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45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10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45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94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10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0.00%</w:t>
            </w:r>
          </w:p>
        </w:tc>
      </w:tr>
      <w:tr>
        <w:tblPrEx>
          <w:tblLayout w:type="fixed"/>
          <w:tblCellMar>
            <w:top w:w="0" w:type="dxa"/>
            <w:left w:w="28" w:type="dxa"/>
            <w:bottom w:w="0" w:type="dxa"/>
            <w:right w:w="28" w:type="dxa"/>
          </w:tblCellMar>
        </w:tblPrEx>
        <w:trPr>
          <w:trHeight w:val="391" w:hRule="atLeast"/>
        </w:trPr>
        <w:tc>
          <w:tcPr>
            <w:tcW w:w="203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szCs w:val="24"/>
              </w:rPr>
              <w:t>2</w:t>
            </w:r>
            <w:r>
              <w:rPr>
                <w:rFonts w:hint="eastAsia"/>
                <w:szCs w:val="24"/>
              </w:rPr>
              <w:t>、国有法人持股</w:t>
            </w:r>
          </w:p>
        </w:tc>
        <w:tc>
          <w:tcPr>
            <w:tcW w:w="10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0.00%</w:t>
            </w:r>
          </w:p>
        </w:tc>
        <w:tc>
          <w:tcPr>
            <w:tcW w:w="94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45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10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45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94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10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0.00%</w:t>
            </w:r>
          </w:p>
        </w:tc>
      </w:tr>
      <w:tr>
        <w:tblPrEx>
          <w:tblLayout w:type="fixed"/>
          <w:tblCellMar>
            <w:top w:w="0" w:type="dxa"/>
            <w:left w:w="28" w:type="dxa"/>
            <w:bottom w:w="0" w:type="dxa"/>
            <w:right w:w="28" w:type="dxa"/>
          </w:tblCellMar>
        </w:tblPrEx>
        <w:trPr>
          <w:trHeight w:val="391" w:hRule="atLeast"/>
        </w:trPr>
        <w:tc>
          <w:tcPr>
            <w:tcW w:w="203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szCs w:val="24"/>
              </w:rPr>
              <w:t>3</w:t>
            </w:r>
            <w:r>
              <w:rPr>
                <w:rFonts w:hint="eastAsia"/>
                <w:szCs w:val="24"/>
              </w:rPr>
              <w:t>、其他内资持股</w:t>
            </w:r>
          </w:p>
        </w:tc>
        <w:tc>
          <w:tcPr>
            <w:tcW w:w="10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30,632,128</w:t>
            </w:r>
          </w:p>
        </w:tc>
        <w:tc>
          <w:tcPr>
            <w:tcW w:w="7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23.61%</w:t>
            </w:r>
          </w:p>
        </w:tc>
        <w:tc>
          <w:tcPr>
            <w:tcW w:w="94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31,054,708</w:t>
            </w:r>
          </w:p>
        </w:tc>
        <w:tc>
          <w:tcPr>
            <w:tcW w:w="45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10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45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94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31,054,708</w:t>
            </w:r>
          </w:p>
        </w:tc>
        <w:tc>
          <w:tcPr>
            <w:tcW w:w="10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61,686,836</w:t>
            </w:r>
          </w:p>
        </w:tc>
        <w:tc>
          <w:tcPr>
            <w:tcW w:w="7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25.54%</w:t>
            </w:r>
          </w:p>
        </w:tc>
      </w:tr>
      <w:tr>
        <w:tblPrEx>
          <w:tblLayout w:type="fixed"/>
          <w:tblCellMar>
            <w:top w:w="0" w:type="dxa"/>
            <w:left w:w="28" w:type="dxa"/>
            <w:bottom w:w="0" w:type="dxa"/>
            <w:right w:w="28" w:type="dxa"/>
          </w:tblCellMar>
        </w:tblPrEx>
        <w:trPr>
          <w:trHeight w:val="391" w:hRule="atLeast"/>
        </w:trPr>
        <w:tc>
          <w:tcPr>
            <w:tcW w:w="203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其中：境内法人持股</w:t>
            </w:r>
          </w:p>
        </w:tc>
        <w:tc>
          <w:tcPr>
            <w:tcW w:w="10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0.00%</w:t>
            </w:r>
          </w:p>
        </w:tc>
        <w:tc>
          <w:tcPr>
            <w:tcW w:w="94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19,762,087</w:t>
            </w:r>
          </w:p>
        </w:tc>
        <w:tc>
          <w:tcPr>
            <w:tcW w:w="45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10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45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94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19,762,087</w:t>
            </w:r>
          </w:p>
        </w:tc>
        <w:tc>
          <w:tcPr>
            <w:tcW w:w="10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19,762,087</w:t>
            </w:r>
          </w:p>
        </w:tc>
        <w:tc>
          <w:tcPr>
            <w:tcW w:w="7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8.18%</w:t>
            </w:r>
          </w:p>
        </w:tc>
      </w:tr>
      <w:tr>
        <w:tblPrEx>
          <w:tblLayout w:type="fixed"/>
          <w:tblCellMar>
            <w:top w:w="0" w:type="dxa"/>
            <w:left w:w="28" w:type="dxa"/>
            <w:bottom w:w="0" w:type="dxa"/>
            <w:right w:w="28" w:type="dxa"/>
          </w:tblCellMar>
        </w:tblPrEx>
        <w:trPr>
          <w:trHeight w:val="391" w:hRule="atLeast"/>
        </w:trPr>
        <w:tc>
          <w:tcPr>
            <w:tcW w:w="203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　　　境内自然人持股</w:t>
            </w:r>
          </w:p>
        </w:tc>
        <w:tc>
          <w:tcPr>
            <w:tcW w:w="10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30,632,128</w:t>
            </w:r>
          </w:p>
        </w:tc>
        <w:tc>
          <w:tcPr>
            <w:tcW w:w="7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23.61%</w:t>
            </w:r>
          </w:p>
        </w:tc>
        <w:tc>
          <w:tcPr>
            <w:tcW w:w="94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11,292,621</w:t>
            </w:r>
          </w:p>
        </w:tc>
        <w:tc>
          <w:tcPr>
            <w:tcW w:w="45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10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45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94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11,292,621</w:t>
            </w:r>
          </w:p>
        </w:tc>
        <w:tc>
          <w:tcPr>
            <w:tcW w:w="10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41,924,749</w:t>
            </w:r>
          </w:p>
        </w:tc>
        <w:tc>
          <w:tcPr>
            <w:tcW w:w="7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17.36%</w:t>
            </w:r>
          </w:p>
        </w:tc>
      </w:tr>
      <w:tr>
        <w:tblPrEx>
          <w:tblLayout w:type="fixed"/>
          <w:tblCellMar>
            <w:top w:w="0" w:type="dxa"/>
            <w:left w:w="28" w:type="dxa"/>
            <w:bottom w:w="0" w:type="dxa"/>
            <w:right w:w="28" w:type="dxa"/>
          </w:tblCellMar>
        </w:tblPrEx>
        <w:trPr>
          <w:trHeight w:val="391" w:hRule="atLeast"/>
        </w:trPr>
        <w:tc>
          <w:tcPr>
            <w:tcW w:w="203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szCs w:val="24"/>
              </w:rPr>
              <w:t>4</w:t>
            </w:r>
            <w:r>
              <w:rPr>
                <w:rFonts w:hint="eastAsia"/>
                <w:szCs w:val="24"/>
              </w:rPr>
              <w:t>、外资持股</w:t>
            </w:r>
          </w:p>
        </w:tc>
        <w:tc>
          <w:tcPr>
            <w:tcW w:w="10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0.00%</w:t>
            </w:r>
          </w:p>
        </w:tc>
        <w:tc>
          <w:tcPr>
            <w:tcW w:w="94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45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10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45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94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10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0.00%</w:t>
            </w:r>
          </w:p>
        </w:tc>
      </w:tr>
      <w:tr>
        <w:tblPrEx>
          <w:tblLayout w:type="fixed"/>
          <w:tblCellMar>
            <w:top w:w="0" w:type="dxa"/>
            <w:left w:w="28" w:type="dxa"/>
            <w:bottom w:w="0" w:type="dxa"/>
            <w:right w:w="28" w:type="dxa"/>
          </w:tblCellMar>
        </w:tblPrEx>
        <w:trPr>
          <w:trHeight w:val="380" w:hRule="atLeast"/>
        </w:trPr>
        <w:tc>
          <w:tcPr>
            <w:tcW w:w="203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其中：境外法人持股</w:t>
            </w:r>
          </w:p>
        </w:tc>
        <w:tc>
          <w:tcPr>
            <w:tcW w:w="10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0.00%</w:t>
            </w:r>
          </w:p>
        </w:tc>
        <w:tc>
          <w:tcPr>
            <w:tcW w:w="94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45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10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45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94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10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0.00%</w:t>
            </w:r>
          </w:p>
        </w:tc>
      </w:tr>
      <w:tr>
        <w:tblPrEx>
          <w:tblLayout w:type="fixed"/>
          <w:tblCellMar>
            <w:top w:w="0" w:type="dxa"/>
            <w:left w:w="28" w:type="dxa"/>
            <w:bottom w:w="0" w:type="dxa"/>
            <w:right w:w="28" w:type="dxa"/>
          </w:tblCellMar>
        </w:tblPrEx>
        <w:trPr>
          <w:trHeight w:val="391" w:hRule="atLeast"/>
        </w:trPr>
        <w:tc>
          <w:tcPr>
            <w:tcW w:w="203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　　　境外自然人持股</w:t>
            </w:r>
          </w:p>
        </w:tc>
        <w:tc>
          <w:tcPr>
            <w:tcW w:w="10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0.00%</w:t>
            </w:r>
          </w:p>
        </w:tc>
        <w:tc>
          <w:tcPr>
            <w:tcW w:w="94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45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10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45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94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10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0.00%</w:t>
            </w:r>
          </w:p>
        </w:tc>
      </w:tr>
      <w:tr>
        <w:tblPrEx>
          <w:tblLayout w:type="fixed"/>
          <w:tblCellMar>
            <w:top w:w="0" w:type="dxa"/>
            <w:left w:w="28" w:type="dxa"/>
            <w:bottom w:w="0" w:type="dxa"/>
            <w:right w:w="28" w:type="dxa"/>
          </w:tblCellMar>
        </w:tblPrEx>
        <w:trPr>
          <w:trHeight w:val="391" w:hRule="atLeast"/>
        </w:trPr>
        <w:tc>
          <w:tcPr>
            <w:tcW w:w="203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二、无限售条件股份</w:t>
            </w:r>
          </w:p>
        </w:tc>
        <w:tc>
          <w:tcPr>
            <w:tcW w:w="10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179,873,812</w:t>
            </w:r>
          </w:p>
        </w:tc>
        <w:tc>
          <w:tcPr>
            <w:tcW w:w="7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76.39%</w:t>
            </w:r>
          </w:p>
        </w:tc>
        <w:tc>
          <w:tcPr>
            <w:tcW w:w="94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45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10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45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94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10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179,873,812</w:t>
            </w:r>
          </w:p>
        </w:tc>
        <w:tc>
          <w:tcPr>
            <w:tcW w:w="7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74.46%</w:t>
            </w:r>
          </w:p>
        </w:tc>
      </w:tr>
      <w:tr>
        <w:tblPrEx>
          <w:tblLayout w:type="fixed"/>
          <w:tblCellMar>
            <w:top w:w="0" w:type="dxa"/>
            <w:left w:w="28" w:type="dxa"/>
            <w:bottom w:w="0" w:type="dxa"/>
            <w:right w:w="28" w:type="dxa"/>
          </w:tblCellMar>
        </w:tblPrEx>
        <w:trPr>
          <w:trHeight w:val="391" w:hRule="atLeast"/>
        </w:trPr>
        <w:tc>
          <w:tcPr>
            <w:tcW w:w="203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szCs w:val="24"/>
              </w:rPr>
              <w:t>1</w:t>
            </w:r>
            <w:r>
              <w:rPr>
                <w:rFonts w:hint="eastAsia"/>
                <w:szCs w:val="24"/>
              </w:rPr>
              <w:t>、人民币普通股</w:t>
            </w:r>
          </w:p>
        </w:tc>
        <w:tc>
          <w:tcPr>
            <w:tcW w:w="10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179,873,812</w:t>
            </w:r>
          </w:p>
        </w:tc>
        <w:tc>
          <w:tcPr>
            <w:tcW w:w="7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76.39%</w:t>
            </w:r>
          </w:p>
        </w:tc>
        <w:tc>
          <w:tcPr>
            <w:tcW w:w="94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45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10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45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94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10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179,873,812</w:t>
            </w:r>
          </w:p>
        </w:tc>
        <w:tc>
          <w:tcPr>
            <w:tcW w:w="7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74.46%</w:t>
            </w:r>
          </w:p>
        </w:tc>
      </w:tr>
      <w:tr>
        <w:tblPrEx>
          <w:tblLayout w:type="fixed"/>
          <w:tblCellMar>
            <w:top w:w="0" w:type="dxa"/>
            <w:left w:w="28" w:type="dxa"/>
            <w:bottom w:w="0" w:type="dxa"/>
            <w:right w:w="28" w:type="dxa"/>
          </w:tblCellMar>
        </w:tblPrEx>
        <w:trPr>
          <w:trHeight w:val="391" w:hRule="atLeast"/>
        </w:trPr>
        <w:tc>
          <w:tcPr>
            <w:tcW w:w="203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szCs w:val="24"/>
              </w:rPr>
              <w:t>2</w:t>
            </w:r>
            <w:r>
              <w:rPr>
                <w:rFonts w:hint="eastAsia"/>
                <w:szCs w:val="24"/>
              </w:rPr>
              <w:t>、境内上市的外资股</w:t>
            </w:r>
          </w:p>
        </w:tc>
        <w:tc>
          <w:tcPr>
            <w:tcW w:w="10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0.00%</w:t>
            </w:r>
          </w:p>
        </w:tc>
        <w:tc>
          <w:tcPr>
            <w:tcW w:w="94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45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10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45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94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10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0.00%</w:t>
            </w:r>
          </w:p>
        </w:tc>
      </w:tr>
      <w:tr>
        <w:tblPrEx>
          <w:tblLayout w:type="fixed"/>
          <w:tblCellMar>
            <w:top w:w="0" w:type="dxa"/>
            <w:left w:w="28" w:type="dxa"/>
            <w:bottom w:w="0" w:type="dxa"/>
            <w:right w:w="28" w:type="dxa"/>
          </w:tblCellMar>
        </w:tblPrEx>
        <w:trPr>
          <w:trHeight w:val="391" w:hRule="atLeast"/>
        </w:trPr>
        <w:tc>
          <w:tcPr>
            <w:tcW w:w="203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szCs w:val="24"/>
              </w:rPr>
              <w:t>3</w:t>
            </w:r>
            <w:r>
              <w:rPr>
                <w:rFonts w:hint="eastAsia"/>
                <w:szCs w:val="24"/>
              </w:rPr>
              <w:t>、境外上市的外资股</w:t>
            </w:r>
          </w:p>
        </w:tc>
        <w:tc>
          <w:tcPr>
            <w:tcW w:w="10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0.00%</w:t>
            </w:r>
          </w:p>
        </w:tc>
        <w:tc>
          <w:tcPr>
            <w:tcW w:w="94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45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10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45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94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10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0.00%</w:t>
            </w:r>
          </w:p>
        </w:tc>
      </w:tr>
      <w:tr>
        <w:tblPrEx>
          <w:tblLayout w:type="fixed"/>
          <w:tblCellMar>
            <w:top w:w="0" w:type="dxa"/>
            <w:left w:w="28" w:type="dxa"/>
            <w:bottom w:w="0" w:type="dxa"/>
            <w:right w:w="28" w:type="dxa"/>
          </w:tblCellMar>
        </w:tblPrEx>
        <w:trPr>
          <w:trHeight w:val="391" w:hRule="atLeast"/>
        </w:trPr>
        <w:tc>
          <w:tcPr>
            <w:tcW w:w="203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szCs w:val="24"/>
              </w:rPr>
              <w:t>4</w:t>
            </w:r>
            <w:r>
              <w:rPr>
                <w:rFonts w:hint="eastAsia"/>
                <w:szCs w:val="24"/>
              </w:rPr>
              <w:t>、其他</w:t>
            </w:r>
          </w:p>
        </w:tc>
        <w:tc>
          <w:tcPr>
            <w:tcW w:w="10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0.00%</w:t>
            </w:r>
          </w:p>
        </w:tc>
        <w:tc>
          <w:tcPr>
            <w:tcW w:w="94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45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10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45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94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10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0.00%</w:t>
            </w:r>
          </w:p>
        </w:tc>
      </w:tr>
      <w:tr>
        <w:tblPrEx>
          <w:tblLayout w:type="fixed"/>
          <w:tblCellMar>
            <w:top w:w="0" w:type="dxa"/>
            <w:left w:w="28" w:type="dxa"/>
            <w:bottom w:w="0" w:type="dxa"/>
            <w:right w:w="28" w:type="dxa"/>
          </w:tblCellMar>
        </w:tblPrEx>
        <w:trPr>
          <w:trHeight w:val="391" w:hRule="atLeast"/>
        </w:trPr>
        <w:tc>
          <w:tcPr>
            <w:tcW w:w="203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三、股份总数</w:t>
            </w:r>
          </w:p>
        </w:tc>
        <w:tc>
          <w:tcPr>
            <w:tcW w:w="10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210,505,940</w:t>
            </w:r>
          </w:p>
        </w:tc>
        <w:tc>
          <w:tcPr>
            <w:tcW w:w="7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100.00%</w:t>
            </w:r>
          </w:p>
        </w:tc>
        <w:tc>
          <w:tcPr>
            <w:tcW w:w="94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31,054,708</w:t>
            </w:r>
          </w:p>
        </w:tc>
        <w:tc>
          <w:tcPr>
            <w:tcW w:w="45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10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45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94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31,054,708</w:t>
            </w:r>
          </w:p>
        </w:tc>
        <w:tc>
          <w:tcPr>
            <w:tcW w:w="10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241,560,648</w:t>
            </w:r>
          </w:p>
        </w:tc>
        <w:tc>
          <w:tcPr>
            <w:tcW w:w="7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100.00%</w:t>
            </w:r>
          </w:p>
        </w:tc>
      </w:tr>
    </w:tbl>
    <w:p>
      <w:pPr>
        <w:jc w:val="left"/>
        <w:rPr>
          <w:szCs w:val="24"/>
        </w:rPr>
      </w:pPr>
      <w:r>
        <w:rPr>
          <w:rFonts w:hint="eastAsia"/>
          <w:szCs w:val="24"/>
        </w:rPr>
        <w:t>股份变动的原因</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autoSpaceDE w:val="0"/>
        <w:autoSpaceDN w:val="0"/>
        <w:adjustRightInd w:val="0"/>
        <w:spacing w:before="0" w:after="0"/>
        <w:ind w:firstLine="420"/>
        <w:jc w:val="left"/>
        <w:rPr>
          <w:rFonts w:eastAsia="Times New Roman"/>
          <w:kern w:val="0"/>
          <w:sz w:val="21"/>
          <w:szCs w:val="24"/>
          <w:lang w:val="zh-CN"/>
        </w:rPr>
      </w:pPr>
      <w:r>
        <w:rPr>
          <w:rFonts w:eastAsia="Times New Roman"/>
          <w:kern w:val="0"/>
          <w:sz w:val="21"/>
          <w:szCs w:val="24"/>
          <w:lang w:val="zh-CN"/>
        </w:rPr>
        <w:t>2015</w:t>
      </w:r>
      <w:r>
        <w:rPr>
          <w:rFonts w:hint="eastAsia" w:ascii="宋体" w:hAnsi="宋体" w:cs="宋体"/>
          <w:kern w:val="0"/>
          <w:sz w:val="21"/>
          <w:szCs w:val="24"/>
          <w:lang w:val="zh-CN"/>
        </w:rPr>
        <w:t>年</w:t>
      </w:r>
      <w:r>
        <w:rPr>
          <w:rFonts w:eastAsia="Times New Roman"/>
          <w:kern w:val="0"/>
          <w:sz w:val="21"/>
          <w:szCs w:val="24"/>
          <w:lang w:val="zh-CN"/>
        </w:rPr>
        <w:t>12</w:t>
      </w:r>
      <w:r>
        <w:rPr>
          <w:rFonts w:hint="eastAsia" w:ascii="宋体" w:hAnsi="宋体" w:cs="宋体"/>
          <w:kern w:val="0"/>
          <w:sz w:val="21"/>
          <w:szCs w:val="24"/>
          <w:lang w:val="zh-CN"/>
        </w:rPr>
        <w:t>月</w:t>
      </w:r>
      <w:r>
        <w:rPr>
          <w:rFonts w:eastAsia="Times New Roman"/>
          <w:kern w:val="0"/>
          <w:sz w:val="21"/>
          <w:szCs w:val="24"/>
          <w:lang w:val="zh-CN"/>
        </w:rPr>
        <w:t>25</w:t>
      </w:r>
      <w:r>
        <w:rPr>
          <w:rFonts w:hint="eastAsia" w:ascii="宋体" w:hAnsi="宋体" w:cs="宋体"/>
          <w:kern w:val="0"/>
          <w:sz w:val="21"/>
          <w:szCs w:val="24"/>
          <w:lang w:val="zh-CN"/>
        </w:rPr>
        <w:t>日，本公司取得了中国证监会《关于核准北京海兰信数据科技股份有限公司向申万秋等发行股份购买资产的批复》（证监许可【</w:t>
      </w:r>
      <w:r>
        <w:rPr>
          <w:rFonts w:eastAsia="Times New Roman"/>
          <w:kern w:val="0"/>
          <w:sz w:val="21"/>
          <w:szCs w:val="24"/>
          <w:lang w:val="zh-CN"/>
        </w:rPr>
        <w:t>2015</w:t>
      </w:r>
      <w:r>
        <w:rPr>
          <w:rFonts w:hint="eastAsia" w:ascii="宋体" w:hAnsi="宋体" w:cs="宋体"/>
          <w:kern w:val="0"/>
          <w:sz w:val="21"/>
          <w:szCs w:val="24"/>
          <w:lang w:val="zh-CN"/>
        </w:rPr>
        <w:t>】</w:t>
      </w:r>
      <w:r>
        <w:rPr>
          <w:rFonts w:eastAsia="Times New Roman"/>
          <w:kern w:val="0"/>
          <w:sz w:val="21"/>
          <w:szCs w:val="24"/>
          <w:lang w:val="zh-CN"/>
        </w:rPr>
        <w:t>3008</w:t>
      </w:r>
      <w:r>
        <w:rPr>
          <w:rFonts w:hint="eastAsia" w:ascii="宋体" w:hAnsi="宋体" w:cs="宋体"/>
          <w:kern w:val="0"/>
          <w:sz w:val="21"/>
          <w:szCs w:val="24"/>
          <w:lang w:val="zh-CN"/>
        </w:rPr>
        <w:t>号），核准公司分别向申万秋、上海言盛投资合伙企业（有限合伙）发行</w:t>
      </w:r>
      <w:r>
        <w:rPr>
          <w:rFonts w:eastAsia="Times New Roman"/>
          <w:kern w:val="0"/>
          <w:sz w:val="21"/>
          <w:szCs w:val="24"/>
          <w:lang w:val="zh-CN"/>
        </w:rPr>
        <w:t>11,292,621</w:t>
      </w:r>
      <w:r>
        <w:rPr>
          <w:rFonts w:hint="eastAsia" w:ascii="宋体" w:hAnsi="宋体" w:cs="宋体"/>
          <w:kern w:val="0"/>
          <w:sz w:val="21"/>
          <w:szCs w:val="24"/>
          <w:lang w:val="zh-CN"/>
        </w:rPr>
        <w:t>股、</w:t>
      </w:r>
      <w:r>
        <w:rPr>
          <w:rFonts w:eastAsia="Times New Roman"/>
          <w:kern w:val="0"/>
          <w:sz w:val="21"/>
          <w:szCs w:val="24"/>
          <w:lang w:val="zh-CN"/>
        </w:rPr>
        <w:t>19,762,087</w:t>
      </w:r>
      <w:r>
        <w:rPr>
          <w:rFonts w:hint="eastAsia" w:ascii="宋体" w:hAnsi="宋体" w:cs="宋体"/>
          <w:kern w:val="0"/>
          <w:sz w:val="21"/>
          <w:szCs w:val="24"/>
          <w:lang w:val="zh-CN"/>
        </w:rPr>
        <w:t>股股份购买上海海兰劳雷海洋科技有限公司</w:t>
      </w:r>
      <w:r>
        <w:rPr>
          <w:rFonts w:eastAsia="Times New Roman"/>
          <w:kern w:val="0"/>
          <w:sz w:val="21"/>
          <w:szCs w:val="24"/>
          <w:lang w:val="zh-CN"/>
        </w:rPr>
        <w:t>100%</w:t>
      </w:r>
      <w:r>
        <w:rPr>
          <w:rFonts w:hint="eastAsia" w:ascii="宋体" w:hAnsi="宋体" w:cs="宋体"/>
          <w:kern w:val="0"/>
          <w:sz w:val="21"/>
          <w:szCs w:val="24"/>
          <w:lang w:val="zh-CN"/>
        </w:rPr>
        <w:t>股权。中国证券登记结算有限责任公司深圳分公司于</w:t>
      </w:r>
      <w:r>
        <w:rPr>
          <w:rFonts w:eastAsia="Times New Roman"/>
          <w:kern w:val="0"/>
          <w:sz w:val="21"/>
          <w:szCs w:val="24"/>
          <w:lang w:val="zh-CN"/>
        </w:rPr>
        <w:t xml:space="preserve"> 2015 </w:t>
      </w:r>
      <w:r>
        <w:rPr>
          <w:rFonts w:hint="eastAsia" w:ascii="宋体" w:hAnsi="宋体" w:cs="宋体"/>
          <w:kern w:val="0"/>
          <w:sz w:val="21"/>
          <w:szCs w:val="24"/>
          <w:lang w:val="zh-CN"/>
        </w:rPr>
        <w:t>年</w:t>
      </w:r>
      <w:r>
        <w:rPr>
          <w:rFonts w:eastAsia="Times New Roman"/>
          <w:kern w:val="0"/>
          <w:sz w:val="21"/>
          <w:szCs w:val="24"/>
          <w:lang w:val="zh-CN"/>
        </w:rPr>
        <w:t>12</w:t>
      </w:r>
      <w:r>
        <w:rPr>
          <w:rFonts w:hint="eastAsia" w:ascii="宋体" w:hAnsi="宋体" w:cs="宋体"/>
          <w:kern w:val="0"/>
          <w:sz w:val="21"/>
          <w:szCs w:val="24"/>
          <w:lang w:val="zh-CN"/>
        </w:rPr>
        <w:t>月</w:t>
      </w:r>
      <w:r>
        <w:rPr>
          <w:rFonts w:eastAsia="Times New Roman"/>
          <w:kern w:val="0"/>
          <w:sz w:val="21"/>
          <w:szCs w:val="24"/>
          <w:lang w:val="zh-CN"/>
        </w:rPr>
        <w:t>29</w:t>
      </w:r>
      <w:r>
        <w:rPr>
          <w:rFonts w:hint="eastAsia" w:ascii="宋体" w:hAnsi="宋体" w:cs="宋体"/>
          <w:kern w:val="0"/>
          <w:sz w:val="21"/>
          <w:szCs w:val="24"/>
          <w:lang w:val="zh-CN"/>
        </w:rPr>
        <w:t>日出具《股份登记申请受理确认书》及《证券持有人名册》，对海兰信向申万秋、上海言盛合计发行的</w:t>
      </w:r>
      <w:r>
        <w:rPr>
          <w:rFonts w:eastAsia="Times New Roman"/>
          <w:kern w:val="0"/>
          <w:sz w:val="21"/>
          <w:szCs w:val="24"/>
          <w:lang w:val="zh-CN"/>
        </w:rPr>
        <w:t>31,054,708</w:t>
      </w:r>
      <w:r>
        <w:rPr>
          <w:rFonts w:hint="eastAsia" w:ascii="宋体" w:hAnsi="宋体" w:cs="宋体"/>
          <w:kern w:val="0"/>
          <w:sz w:val="21"/>
          <w:szCs w:val="24"/>
          <w:lang w:val="zh-CN"/>
        </w:rPr>
        <w:t>股普通</w:t>
      </w:r>
      <w:r>
        <w:rPr>
          <w:rFonts w:eastAsia="Times New Roman"/>
          <w:kern w:val="0"/>
          <w:sz w:val="21"/>
          <w:szCs w:val="24"/>
          <w:lang w:val="zh-CN"/>
        </w:rPr>
        <w:t>A</w:t>
      </w:r>
      <w:r>
        <w:rPr>
          <w:rFonts w:hint="eastAsia" w:ascii="宋体" w:hAnsi="宋体" w:cs="宋体"/>
          <w:kern w:val="0"/>
          <w:sz w:val="21"/>
          <w:szCs w:val="24"/>
          <w:lang w:val="zh-CN"/>
        </w:rPr>
        <w:t>股股票进行发行登记，相关股份登记到账后将正式列入海兰信股东的名册。</w:t>
      </w:r>
      <w:r>
        <w:rPr>
          <w:rFonts w:eastAsia="Times New Roman"/>
          <w:kern w:val="0"/>
          <w:sz w:val="21"/>
          <w:szCs w:val="24"/>
          <w:lang w:val="zh-CN"/>
        </w:rPr>
        <w:t>2016</w:t>
      </w:r>
      <w:r>
        <w:rPr>
          <w:rFonts w:hint="eastAsia" w:ascii="宋体" w:hAnsi="宋体" w:cs="宋体"/>
          <w:kern w:val="0"/>
          <w:sz w:val="21"/>
          <w:szCs w:val="24"/>
          <w:lang w:val="zh-CN"/>
        </w:rPr>
        <w:t>年</w:t>
      </w:r>
      <w:r>
        <w:rPr>
          <w:rFonts w:eastAsia="Times New Roman"/>
          <w:kern w:val="0"/>
          <w:sz w:val="21"/>
          <w:szCs w:val="24"/>
          <w:lang w:val="zh-CN"/>
        </w:rPr>
        <w:t>1</w:t>
      </w:r>
      <w:r>
        <w:rPr>
          <w:rFonts w:hint="eastAsia" w:ascii="宋体" w:hAnsi="宋体" w:cs="宋体"/>
          <w:kern w:val="0"/>
          <w:sz w:val="21"/>
          <w:szCs w:val="24"/>
          <w:lang w:val="zh-CN"/>
        </w:rPr>
        <w:t>月</w:t>
      </w:r>
      <w:r>
        <w:rPr>
          <w:rFonts w:eastAsia="Times New Roman"/>
          <w:kern w:val="0"/>
          <w:sz w:val="21"/>
          <w:szCs w:val="24"/>
          <w:lang w:val="zh-CN"/>
        </w:rPr>
        <w:t>5</w:t>
      </w:r>
      <w:r>
        <w:rPr>
          <w:rFonts w:hint="eastAsia" w:ascii="宋体" w:hAnsi="宋体" w:cs="宋体"/>
          <w:kern w:val="0"/>
          <w:sz w:val="21"/>
          <w:szCs w:val="24"/>
          <w:lang w:val="zh-CN"/>
        </w:rPr>
        <w:t>日公司公告了《发行股份购买资产暨关联交易实施情况暨新增股份上市报告书》，本次新增股份于</w:t>
      </w:r>
      <w:r>
        <w:rPr>
          <w:rFonts w:eastAsia="Times New Roman"/>
          <w:kern w:val="0"/>
          <w:sz w:val="21"/>
          <w:szCs w:val="24"/>
          <w:lang w:val="zh-CN"/>
        </w:rPr>
        <w:t>2016</w:t>
      </w:r>
      <w:r>
        <w:rPr>
          <w:rFonts w:hint="eastAsia" w:ascii="宋体" w:hAnsi="宋体" w:cs="宋体"/>
          <w:kern w:val="0"/>
          <w:sz w:val="21"/>
          <w:szCs w:val="24"/>
          <w:lang w:val="zh-CN"/>
        </w:rPr>
        <w:t>年</w:t>
      </w:r>
      <w:r>
        <w:rPr>
          <w:rFonts w:eastAsia="Times New Roman"/>
          <w:kern w:val="0"/>
          <w:sz w:val="21"/>
          <w:szCs w:val="24"/>
          <w:lang w:val="zh-CN"/>
        </w:rPr>
        <w:t>1</w:t>
      </w:r>
      <w:r>
        <w:rPr>
          <w:rFonts w:hint="eastAsia" w:ascii="宋体" w:hAnsi="宋体" w:cs="宋体"/>
          <w:kern w:val="0"/>
          <w:sz w:val="21"/>
          <w:szCs w:val="24"/>
          <w:lang w:val="zh-CN"/>
        </w:rPr>
        <w:t>月</w:t>
      </w:r>
      <w:r>
        <w:rPr>
          <w:rFonts w:eastAsia="Times New Roman"/>
          <w:kern w:val="0"/>
          <w:sz w:val="21"/>
          <w:szCs w:val="24"/>
          <w:lang w:val="zh-CN"/>
        </w:rPr>
        <w:t>8</w:t>
      </w:r>
      <w:r>
        <w:rPr>
          <w:rFonts w:hint="eastAsia" w:ascii="宋体" w:hAnsi="宋体" w:cs="宋体"/>
          <w:kern w:val="0"/>
          <w:sz w:val="21"/>
          <w:szCs w:val="24"/>
          <w:lang w:val="zh-CN"/>
        </w:rPr>
        <w:t>日正式上市，锁定期三年。</w:t>
      </w:r>
    </w:p>
    <w:p>
      <w:pPr>
        <w:jc w:val="left"/>
        <w:rPr>
          <w:szCs w:val="24"/>
        </w:rPr>
      </w:pPr>
      <w:r>
        <w:rPr>
          <w:rFonts w:hint="eastAsia"/>
          <w:szCs w:val="24"/>
        </w:rPr>
        <w:t>股份变动的批准情况</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autoSpaceDE w:val="0"/>
        <w:autoSpaceDN w:val="0"/>
        <w:adjustRightInd w:val="0"/>
        <w:spacing w:before="0" w:after="0"/>
        <w:jc w:val="left"/>
        <w:rPr>
          <w:rFonts w:eastAsia="Times New Roman"/>
          <w:kern w:val="0"/>
          <w:sz w:val="21"/>
          <w:szCs w:val="24"/>
          <w:lang w:val="zh-CN"/>
        </w:rPr>
      </w:pPr>
      <w:r>
        <w:rPr>
          <w:rFonts w:hint="eastAsia" w:ascii="宋体" w:hAnsi="宋体" w:cs="宋体"/>
          <w:kern w:val="0"/>
          <w:sz w:val="21"/>
          <w:szCs w:val="24"/>
          <w:lang w:val="zh-CN"/>
        </w:rPr>
        <w:t>参见前述内容。</w:t>
      </w:r>
    </w:p>
    <w:p>
      <w:pPr>
        <w:autoSpaceDE w:val="0"/>
        <w:autoSpaceDN w:val="0"/>
        <w:adjustRightInd w:val="0"/>
        <w:spacing w:before="0" w:after="0"/>
        <w:jc w:val="left"/>
        <w:rPr>
          <w:rFonts w:eastAsia="Times New Roman"/>
          <w:kern w:val="0"/>
          <w:szCs w:val="24"/>
          <w:lang w:val="zh-CN"/>
        </w:rPr>
      </w:pPr>
    </w:p>
    <w:p>
      <w:pPr>
        <w:jc w:val="left"/>
        <w:rPr>
          <w:szCs w:val="24"/>
        </w:rPr>
      </w:pPr>
      <w:r>
        <w:rPr>
          <w:rFonts w:hint="eastAsia"/>
          <w:szCs w:val="24"/>
        </w:rPr>
        <w:t>股份变动的过户情况</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autoSpaceDE w:val="0"/>
        <w:autoSpaceDN w:val="0"/>
        <w:adjustRightInd w:val="0"/>
        <w:spacing w:before="0" w:after="0"/>
        <w:jc w:val="left"/>
        <w:rPr>
          <w:rFonts w:eastAsia="Times New Roman"/>
          <w:kern w:val="0"/>
          <w:sz w:val="21"/>
          <w:szCs w:val="24"/>
          <w:lang w:val="zh-CN"/>
        </w:rPr>
      </w:pPr>
      <w:r>
        <w:rPr>
          <w:rFonts w:hint="eastAsia" w:ascii="宋体" w:hAnsi="宋体" w:cs="宋体"/>
          <w:kern w:val="0"/>
          <w:sz w:val="21"/>
          <w:szCs w:val="24"/>
          <w:lang w:val="zh-CN"/>
        </w:rPr>
        <w:t>参见前述内容。</w:t>
      </w:r>
    </w:p>
    <w:p>
      <w:pPr>
        <w:autoSpaceDE w:val="0"/>
        <w:autoSpaceDN w:val="0"/>
        <w:adjustRightInd w:val="0"/>
        <w:spacing w:before="0" w:after="0"/>
        <w:jc w:val="left"/>
        <w:rPr>
          <w:rFonts w:eastAsia="Times New Roman"/>
          <w:kern w:val="0"/>
          <w:szCs w:val="24"/>
          <w:lang w:val="zh-CN"/>
        </w:rPr>
      </w:pPr>
    </w:p>
    <w:p>
      <w:pPr>
        <w:jc w:val="left"/>
        <w:rPr>
          <w:szCs w:val="24"/>
        </w:rPr>
      </w:pPr>
      <w:r>
        <w:rPr>
          <w:rFonts w:hint="eastAsia"/>
          <w:szCs w:val="24"/>
        </w:rPr>
        <w:t>股份变动对最近一年和最近一期基本每股收益和稀释每股收益、归属于公司普通股股东的每股净资产等财务指标的影响</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jc w:val="left"/>
        <w:rPr>
          <w:szCs w:val="24"/>
        </w:rPr>
      </w:pPr>
      <w:r>
        <w:rPr>
          <w:rFonts w:hint="eastAsia"/>
          <w:szCs w:val="24"/>
        </w:rPr>
        <w:t>公司认为必要或证券监管机构要求披露的其他内容</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pStyle w:val="11"/>
        <w:outlineLvl w:val="2"/>
        <w:rPr>
          <w:bCs w:val="0"/>
          <w:szCs w:val="24"/>
        </w:rPr>
      </w:pPr>
      <w:r>
        <w:rPr>
          <w:bCs w:val="0"/>
          <w:szCs w:val="24"/>
        </w:rPr>
        <w:t>2</w:t>
      </w:r>
      <w:r>
        <w:rPr>
          <w:rFonts w:hint="eastAsia"/>
          <w:bCs w:val="0"/>
          <w:szCs w:val="24"/>
        </w:rPr>
        <w:t>、限售股份变动情况</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jc w:val="right"/>
        <w:rPr>
          <w:szCs w:val="24"/>
        </w:rPr>
      </w:pPr>
      <w:r>
        <w:rPr>
          <w:rFonts w:hint="eastAsia"/>
          <w:szCs w:val="24"/>
        </w:rPr>
        <w:t>单位：股</w:t>
      </w:r>
    </w:p>
    <w:tbl>
      <w:tblPr>
        <w:tblStyle w:val="8"/>
        <w:tblW w:w="9569" w:type="dxa"/>
        <w:tblInd w:w="28" w:type="dxa"/>
        <w:tblLayout w:type="fixed"/>
        <w:tblCellMar>
          <w:top w:w="0" w:type="dxa"/>
          <w:left w:w="28" w:type="dxa"/>
          <w:bottom w:w="0" w:type="dxa"/>
          <w:right w:w="28" w:type="dxa"/>
        </w:tblCellMar>
      </w:tblPr>
      <w:tblGrid>
        <w:gridCol w:w="1362"/>
        <w:gridCol w:w="1369"/>
        <w:gridCol w:w="1369"/>
        <w:gridCol w:w="1369"/>
        <w:gridCol w:w="1369"/>
        <w:gridCol w:w="1369"/>
        <w:gridCol w:w="1362"/>
      </w:tblGrid>
      <w:tr>
        <w:tblPrEx>
          <w:tblLayout w:type="fixed"/>
          <w:tblCellMar>
            <w:top w:w="0" w:type="dxa"/>
            <w:left w:w="28" w:type="dxa"/>
            <w:bottom w:w="0" w:type="dxa"/>
            <w:right w:w="28" w:type="dxa"/>
          </w:tblCellMar>
        </w:tblPrEx>
        <w:tc>
          <w:tcPr>
            <w:tcW w:w="136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股东名称</w:t>
            </w:r>
          </w:p>
        </w:tc>
        <w:tc>
          <w:tcPr>
            <w:tcW w:w="136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期初限售股数</w:t>
            </w:r>
          </w:p>
        </w:tc>
        <w:tc>
          <w:tcPr>
            <w:tcW w:w="136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本期解除限售股数</w:t>
            </w:r>
          </w:p>
        </w:tc>
        <w:tc>
          <w:tcPr>
            <w:tcW w:w="136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本期增加限售股数</w:t>
            </w:r>
          </w:p>
        </w:tc>
        <w:tc>
          <w:tcPr>
            <w:tcW w:w="136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期末限售股数</w:t>
            </w:r>
          </w:p>
        </w:tc>
        <w:tc>
          <w:tcPr>
            <w:tcW w:w="136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限售原因</w:t>
            </w:r>
          </w:p>
        </w:tc>
        <w:tc>
          <w:tcPr>
            <w:tcW w:w="136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拟解除限售日期</w:t>
            </w:r>
          </w:p>
        </w:tc>
      </w:tr>
      <w:tr>
        <w:tblPrEx>
          <w:tblLayout w:type="fixed"/>
          <w:tblCellMar>
            <w:top w:w="0" w:type="dxa"/>
            <w:left w:w="28" w:type="dxa"/>
            <w:bottom w:w="0" w:type="dxa"/>
            <w:right w:w="28" w:type="dxa"/>
          </w:tblCellMar>
        </w:tblPrEx>
        <w:tc>
          <w:tcPr>
            <w:tcW w:w="136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申万秋</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30,632,128</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30,632,128</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高管锁定股</w:t>
            </w:r>
          </w:p>
        </w:tc>
        <w:tc>
          <w:tcPr>
            <w:tcW w:w="136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每年按照上年末持有股份</w:t>
            </w:r>
            <w:r>
              <w:rPr>
                <w:szCs w:val="24"/>
              </w:rPr>
              <w:t>25%</w:t>
            </w:r>
            <w:r>
              <w:rPr>
                <w:rFonts w:hint="eastAsia"/>
                <w:szCs w:val="24"/>
              </w:rPr>
              <w:t>解除限售</w:t>
            </w:r>
          </w:p>
        </w:tc>
      </w:tr>
      <w:tr>
        <w:tblPrEx>
          <w:tblLayout w:type="fixed"/>
          <w:tblCellMar>
            <w:top w:w="0" w:type="dxa"/>
            <w:left w:w="28" w:type="dxa"/>
            <w:bottom w:w="0" w:type="dxa"/>
            <w:right w:w="28" w:type="dxa"/>
          </w:tblCellMar>
        </w:tblPrEx>
        <w:tc>
          <w:tcPr>
            <w:tcW w:w="136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申万秋</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11,292,621</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11,292,621</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发股收购资产锁定</w:t>
            </w:r>
          </w:p>
        </w:tc>
        <w:tc>
          <w:tcPr>
            <w:tcW w:w="136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2019</w:t>
            </w:r>
            <w:r>
              <w:rPr>
                <w:rFonts w:hint="eastAsia"/>
                <w:szCs w:val="24"/>
              </w:rPr>
              <w:t>年</w:t>
            </w:r>
            <w:r>
              <w:rPr>
                <w:szCs w:val="24"/>
              </w:rPr>
              <w:t>1</w:t>
            </w:r>
            <w:r>
              <w:rPr>
                <w:rFonts w:hint="eastAsia"/>
                <w:szCs w:val="24"/>
              </w:rPr>
              <w:t>月</w:t>
            </w:r>
            <w:r>
              <w:rPr>
                <w:szCs w:val="24"/>
              </w:rPr>
              <w:t>8</w:t>
            </w:r>
            <w:r>
              <w:rPr>
                <w:rFonts w:hint="eastAsia"/>
                <w:szCs w:val="24"/>
              </w:rPr>
              <w:t>日</w:t>
            </w:r>
          </w:p>
        </w:tc>
      </w:tr>
      <w:tr>
        <w:tblPrEx>
          <w:tblLayout w:type="fixed"/>
          <w:tblCellMar>
            <w:top w:w="0" w:type="dxa"/>
            <w:left w:w="28" w:type="dxa"/>
            <w:bottom w:w="0" w:type="dxa"/>
            <w:right w:w="28" w:type="dxa"/>
          </w:tblCellMar>
        </w:tblPrEx>
        <w:tc>
          <w:tcPr>
            <w:tcW w:w="136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上海言盛投资合伙企业（有限合伙）</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19,762,087</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19,762,087</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发股收购资产锁定</w:t>
            </w:r>
          </w:p>
        </w:tc>
        <w:tc>
          <w:tcPr>
            <w:tcW w:w="136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2019</w:t>
            </w:r>
            <w:r>
              <w:rPr>
                <w:rFonts w:hint="eastAsia"/>
                <w:szCs w:val="24"/>
              </w:rPr>
              <w:t>年</w:t>
            </w:r>
            <w:r>
              <w:rPr>
                <w:szCs w:val="24"/>
              </w:rPr>
              <w:t>1</w:t>
            </w:r>
            <w:r>
              <w:rPr>
                <w:rFonts w:hint="eastAsia"/>
                <w:szCs w:val="24"/>
              </w:rPr>
              <w:t>月</w:t>
            </w:r>
            <w:r>
              <w:rPr>
                <w:szCs w:val="24"/>
              </w:rPr>
              <w:t>8</w:t>
            </w:r>
            <w:r>
              <w:rPr>
                <w:rFonts w:hint="eastAsia"/>
                <w:szCs w:val="24"/>
              </w:rPr>
              <w:t>日</w:t>
            </w:r>
          </w:p>
        </w:tc>
      </w:tr>
      <w:tr>
        <w:tblPrEx>
          <w:tblLayout w:type="fixed"/>
          <w:tblCellMar>
            <w:top w:w="0" w:type="dxa"/>
            <w:left w:w="28" w:type="dxa"/>
            <w:bottom w:w="0" w:type="dxa"/>
            <w:right w:w="28" w:type="dxa"/>
          </w:tblCellMar>
        </w:tblPrEx>
        <w:tc>
          <w:tcPr>
            <w:tcW w:w="136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合计</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30,632,128</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31,054,708</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61,686,836</w:t>
            </w:r>
          </w:p>
        </w:tc>
        <w:tc>
          <w:tcPr>
            <w:tcW w:w="136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136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r>
    </w:tbl>
    <w:p>
      <w:pPr>
        <w:pStyle w:val="10"/>
        <w:outlineLvl w:val="1"/>
        <w:rPr>
          <w:bCs w:val="0"/>
        </w:rPr>
      </w:pPr>
      <w:r>
        <w:rPr>
          <w:rFonts w:hint="eastAsia"/>
          <w:bCs w:val="0"/>
        </w:rPr>
        <w:t>二、证券发行与上市情况</w:t>
      </w:r>
    </w:p>
    <w:p>
      <w:pPr>
        <w:pStyle w:val="11"/>
        <w:outlineLvl w:val="2"/>
        <w:rPr>
          <w:bCs w:val="0"/>
          <w:szCs w:val="24"/>
        </w:rPr>
      </w:pPr>
      <w:r>
        <w:rPr>
          <w:bCs w:val="0"/>
          <w:szCs w:val="24"/>
        </w:rPr>
        <w:t>1</w:t>
      </w:r>
      <w:r>
        <w:rPr>
          <w:rFonts w:hint="eastAsia"/>
          <w:bCs w:val="0"/>
          <w:szCs w:val="24"/>
        </w:rPr>
        <w:t>、报告期内证券发行（不含优先股）情况</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pStyle w:val="11"/>
        <w:outlineLvl w:val="2"/>
        <w:rPr>
          <w:bCs w:val="0"/>
          <w:szCs w:val="24"/>
        </w:rPr>
      </w:pPr>
      <w:r>
        <w:rPr>
          <w:bCs w:val="0"/>
          <w:szCs w:val="24"/>
        </w:rPr>
        <w:t>2</w:t>
      </w:r>
      <w:r>
        <w:rPr>
          <w:rFonts w:hint="eastAsia"/>
          <w:bCs w:val="0"/>
          <w:szCs w:val="24"/>
        </w:rPr>
        <w:t>、公司股份总数及股东结构的变动、公司资产和负债结构的变动情况说明</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autoSpaceDE w:val="0"/>
        <w:autoSpaceDN w:val="0"/>
        <w:adjustRightInd w:val="0"/>
        <w:spacing w:before="0" w:after="0"/>
        <w:ind w:firstLine="420"/>
        <w:jc w:val="left"/>
        <w:rPr>
          <w:rFonts w:eastAsia="Times New Roman"/>
          <w:kern w:val="0"/>
          <w:sz w:val="21"/>
          <w:szCs w:val="24"/>
          <w:lang w:val="zh-CN"/>
        </w:rPr>
      </w:pPr>
      <w:r>
        <w:rPr>
          <w:rFonts w:eastAsia="Times New Roman"/>
          <w:kern w:val="0"/>
          <w:sz w:val="21"/>
          <w:szCs w:val="24"/>
          <w:lang w:val="zh-CN"/>
        </w:rPr>
        <w:t>2015</w:t>
      </w:r>
      <w:r>
        <w:rPr>
          <w:rFonts w:hint="eastAsia" w:ascii="宋体" w:hAnsi="宋体" w:cs="宋体"/>
          <w:kern w:val="0"/>
          <w:sz w:val="21"/>
          <w:szCs w:val="24"/>
          <w:lang w:val="zh-CN"/>
        </w:rPr>
        <w:t>年</w:t>
      </w:r>
      <w:r>
        <w:rPr>
          <w:rFonts w:eastAsia="Times New Roman"/>
          <w:kern w:val="0"/>
          <w:sz w:val="21"/>
          <w:szCs w:val="24"/>
          <w:lang w:val="zh-CN"/>
        </w:rPr>
        <w:t>12</w:t>
      </w:r>
      <w:r>
        <w:rPr>
          <w:rFonts w:hint="eastAsia" w:ascii="宋体" w:hAnsi="宋体" w:cs="宋体"/>
          <w:kern w:val="0"/>
          <w:sz w:val="21"/>
          <w:szCs w:val="24"/>
          <w:lang w:val="zh-CN"/>
        </w:rPr>
        <w:t>月</w:t>
      </w:r>
      <w:r>
        <w:rPr>
          <w:rFonts w:eastAsia="Times New Roman"/>
          <w:kern w:val="0"/>
          <w:sz w:val="21"/>
          <w:szCs w:val="24"/>
          <w:lang w:val="zh-CN"/>
        </w:rPr>
        <w:t>25</w:t>
      </w:r>
      <w:r>
        <w:rPr>
          <w:rFonts w:hint="eastAsia" w:ascii="宋体" w:hAnsi="宋体" w:cs="宋体"/>
          <w:kern w:val="0"/>
          <w:sz w:val="21"/>
          <w:szCs w:val="24"/>
          <w:lang w:val="zh-CN"/>
        </w:rPr>
        <w:t>日，本公司取得了中国证监会《关于核准北京海兰信数据科技股份有限公司向申万秋等发行股份购买资产的批复》（证监许可【</w:t>
      </w:r>
      <w:r>
        <w:rPr>
          <w:rFonts w:eastAsia="Times New Roman"/>
          <w:kern w:val="0"/>
          <w:sz w:val="21"/>
          <w:szCs w:val="24"/>
          <w:lang w:val="zh-CN"/>
        </w:rPr>
        <w:t>2015</w:t>
      </w:r>
      <w:r>
        <w:rPr>
          <w:rFonts w:hint="eastAsia" w:ascii="宋体" w:hAnsi="宋体" w:cs="宋体"/>
          <w:kern w:val="0"/>
          <w:sz w:val="21"/>
          <w:szCs w:val="24"/>
          <w:lang w:val="zh-CN"/>
        </w:rPr>
        <w:t>】</w:t>
      </w:r>
      <w:r>
        <w:rPr>
          <w:rFonts w:eastAsia="Times New Roman"/>
          <w:kern w:val="0"/>
          <w:sz w:val="21"/>
          <w:szCs w:val="24"/>
          <w:lang w:val="zh-CN"/>
        </w:rPr>
        <w:t>3008</w:t>
      </w:r>
      <w:r>
        <w:rPr>
          <w:rFonts w:hint="eastAsia" w:ascii="宋体" w:hAnsi="宋体" w:cs="宋体"/>
          <w:kern w:val="0"/>
          <w:sz w:val="21"/>
          <w:szCs w:val="24"/>
          <w:lang w:val="zh-CN"/>
        </w:rPr>
        <w:t>号），核准公司分别向申万秋、上海言盛投资合伙企业（有限合伙）发行</w:t>
      </w:r>
      <w:r>
        <w:rPr>
          <w:rFonts w:eastAsia="Times New Roman"/>
          <w:kern w:val="0"/>
          <w:sz w:val="21"/>
          <w:szCs w:val="24"/>
          <w:lang w:val="zh-CN"/>
        </w:rPr>
        <w:t>11,292,621</w:t>
      </w:r>
      <w:r>
        <w:rPr>
          <w:rFonts w:hint="eastAsia" w:ascii="宋体" w:hAnsi="宋体" w:cs="宋体"/>
          <w:kern w:val="0"/>
          <w:sz w:val="21"/>
          <w:szCs w:val="24"/>
          <w:lang w:val="zh-CN"/>
        </w:rPr>
        <w:t>股、</w:t>
      </w:r>
      <w:r>
        <w:rPr>
          <w:rFonts w:eastAsia="Times New Roman"/>
          <w:kern w:val="0"/>
          <w:sz w:val="21"/>
          <w:szCs w:val="24"/>
          <w:lang w:val="zh-CN"/>
        </w:rPr>
        <w:t>19,762,087</w:t>
      </w:r>
      <w:r>
        <w:rPr>
          <w:rFonts w:hint="eastAsia" w:ascii="宋体" w:hAnsi="宋体" w:cs="宋体"/>
          <w:kern w:val="0"/>
          <w:sz w:val="21"/>
          <w:szCs w:val="24"/>
          <w:lang w:val="zh-CN"/>
        </w:rPr>
        <w:t>股股份购买上海海兰劳雷海洋科技有限公司</w:t>
      </w:r>
      <w:r>
        <w:rPr>
          <w:rFonts w:eastAsia="Times New Roman"/>
          <w:kern w:val="0"/>
          <w:sz w:val="21"/>
          <w:szCs w:val="24"/>
          <w:lang w:val="zh-CN"/>
        </w:rPr>
        <w:t>100%</w:t>
      </w:r>
      <w:r>
        <w:rPr>
          <w:rFonts w:hint="eastAsia" w:ascii="宋体" w:hAnsi="宋体" w:cs="宋体"/>
          <w:kern w:val="0"/>
          <w:sz w:val="21"/>
          <w:szCs w:val="24"/>
          <w:lang w:val="zh-CN"/>
        </w:rPr>
        <w:t>股权。中国证券登记结算有限责任公司深圳分公司于</w:t>
      </w:r>
      <w:r>
        <w:rPr>
          <w:rFonts w:eastAsia="Times New Roman"/>
          <w:kern w:val="0"/>
          <w:sz w:val="21"/>
          <w:szCs w:val="24"/>
          <w:lang w:val="zh-CN"/>
        </w:rPr>
        <w:t xml:space="preserve"> 2015 </w:t>
      </w:r>
      <w:r>
        <w:rPr>
          <w:rFonts w:hint="eastAsia" w:ascii="宋体" w:hAnsi="宋体" w:cs="宋体"/>
          <w:kern w:val="0"/>
          <w:sz w:val="21"/>
          <w:szCs w:val="24"/>
          <w:lang w:val="zh-CN"/>
        </w:rPr>
        <w:t>年</w:t>
      </w:r>
      <w:r>
        <w:rPr>
          <w:rFonts w:eastAsia="Times New Roman"/>
          <w:kern w:val="0"/>
          <w:sz w:val="21"/>
          <w:szCs w:val="24"/>
          <w:lang w:val="zh-CN"/>
        </w:rPr>
        <w:t>12</w:t>
      </w:r>
      <w:r>
        <w:rPr>
          <w:rFonts w:hint="eastAsia" w:ascii="宋体" w:hAnsi="宋体" w:cs="宋体"/>
          <w:kern w:val="0"/>
          <w:sz w:val="21"/>
          <w:szCs w:val="24"/>
          <w:lang w:val="zh-CN"/>
        </w:rPr>
        <w:t>月</w:t>
      </w:r>
      <w:r>
        <w:rPr>
          <w:rFonts w:eastAsia="Times New Roman"/>
          <w:kern w:val="0"/>
          <w:sz w:val="21"/>
          <w:szCs w:val="24"/>
          <w:lang w:val="zh-CN"/>
        </w:rPr>
        <w:t>29</w:t>
      </w:r>
      <w:r>
        <w:rPr>
          <w:rFonts w:hint="eastAsia" w:ascii="宋体" w:hAnsi="宋体" w:cs="宋体"/>
          <w:kern w:val="0"/>
          <w:sz w:val="21"/>
          <w:szCs w:val="24"/>
          <w:lang w:val="zh-CN"/>
        </w:rPr>
        <w:t>日出具《股份登记申请受理确认书》及《证券持有人名册》，中国证券登记结算有限责任公司深圳分公司对海兰信向申万秋、上海言盛合计发行的</w:t>
      </w:r>
      <w:r>
        <w:rPr>
          <w:rFonts w:eastAsia="Times New Roman"/>
          <w:kern w:val="0"/>
          <w:sz w:val="21"/>
          <w:szCs w:val="24"/>
          <w:lang w:val="zh-CN"/>
        </w:rPr>
        <w:t>31,054,708</w:t>
      </w:r>
      <w:r>
        <w:rPr>
          <w:rFonts w:hint="eastAsia" w:ascii="宋体" w:hAnsi="宋体" w:cs="宋体"/>
          <w:kern w:val="0"/>
          <w:sz w:val="21"/>
          <w:szCs w:val="24"/>
          <w:lang w:val="zh-CN"/>
        </w:rPr>
        <w:t>股普通</w:t>
      </w:r>
      <w:r>
        <w:rPr>
          <w:rFonts w:eastAsia="Times New Roman"/>
          <w:kern w:val="0"/>
          <w:sz w:val="21"/>
          <w:szCs w:val="24"/>
          <w:lang w:val="zh-CN"/>
        </w:rPr>
        <w:t>A</w:t>
      </w:r>
      <w:r>
        <w:rPr>
          <w:rFonts w:hint="eastAsia" w:ascii="宋体" w:hAnsi="宋体" w:cs="宋体"/>
          <w:kern w:val="0"/>
          <w:sz w:val="21"/>
          <w:szCs w:val="24"/>
          <w:lang w:val="zh-CN"/>
        </w:rPr>
        <w:t>股股票进行发行登记，相关股份登记到账后将正式列入海兰信股东的名册。</w:t>
      </w:r>
      <w:r>
        <w:rPr>
          <w:rFonts w:eastAsia="Times New Roman"/>
          <w:kern w:val="0"/>
          <w:sz w:val="21"/>
          <w:szCs w:val="24"/>
          <w:lang w:val="zh-CN"/>
        </w:rPr>
        <w:t>2016</w:t>
      </w:r>
      <w:r>
        <w:rPr>
          <w:rFonts w:hint="eastAsia" w:ascii="宋体" w:hAnsi="宋体" w:cs="宋体"/>
          <w:kern w:val="0"/>
          <w:sz w:val="21"/>
          <w:szCs w:val="24"/>
          <w:lang w:val="zh-CN"/>
        </w:rPr>
        <w:t>年</w:t>
      </w:r>
      <w:r>
        <w:rPr>
          <w:rFonts w:eastAsia="Times New Roman"/>
          <w:kern w:val="0"/>
          <w:sz w:val="21"/>
          <w:szCs w:val="24"/>
          <w:lang w:val="zh-CN"/>
        </w:rPr>
        <w:t>1</w:t>
      </w:r>
      <w:r>
        <w:rPr>
          <w:rFonts w:hint="eastAsia" w:ascii="宋体" w:hAnsi="宋体" w:cs="宋体"/>
          <w:kern w:val="0"/>
          <w:sz w:val="21"/>
          <w:szCs w:val="24"/>
          <w:lang w:val="zh-CN"/>
        </w:rPr>
        <w:t>月</w:t>
      </w:r>
      <w:r>
        <w:rPr>
          <w:rFonts w:eastAsia="Times New Roman"/>
          <w:kern w:val="0"/>
          <w:sz w:val="21"/>
          <w:szCs w:val="24"/>
          <w:lang w:val="zh-CN"/>
        </w:rPr>
        <w:t>5</w:t>
      </w:r>
      <w:r>
        <w:rPr>
          <w:rFonts w:hint="eastAsia" w:ascii="宋体" w:hAnsi="宋体" w:cs="宋体"/>
          <w:kern w:val="0"/>
          <w:sz w:val="21"/>
          <w:szCs w:val="24"/>
          <w:lang w:val="zh-CN"/>
        </w:rPr>
        <w:t>日公司公告了《发行股份购买资产暨关联交易实施情况暨新增股份上市报告书》，本次新增股份于</w:t>
      </w:r>
      <w:r>
        <w:rPr>
          <w:rFonts w:eastAsia="Times New Roman"/>
          <w:kern w:val="0"/>
          <w:sz w:val="21"/>
          <w:szCs w:val="24"/>
          <w:lang w:val="zh-CN"/>
        </w:rPr>
        <w:t>2016</w:t>
      </w:r>
      <w:r>
        <w:rPr>
          <w:rFonts w:hint="eastAsia" w:ascii="宋体" w:hAnsi="宋体" w:cs="宋体"/>
          <w:kern w:val="0"/>
          <w:sz w:val="21"/>
          <w:szCs w:val="24"/>
          <w:lang w:val="zh-CN"/>
        </w:rPr>
        <w:t>年</w:t>
      </w:r>
      <w:r>
        <w:rPr>
          <w:rFonts w:eastAsia="Times New Roman"/>
          <w:kern w:val="0"/>
          <w:sz w:val="21"/>
          <w:szCs w:val="24"/>
          <w:lang w:val="zh-CN"/>
        </w:rPr>
        <w:t>1</w:t>
      </w:r>
      <w:r>
        <w:rPr>
          <w:rFonts w:hint="eastAsia" w:ascii="宋体" w:hAnsi="宋体" w:cs="宋体"/>
          <w:kern w:val="0"/>
          <w:sz w:val="21"/>
          <w:szCs w:val="24"/>
          <w:lang w:val="zh-CN"/>
        </w:rPr>
        <w:t>月</w:t>
      </w:r>
      <w:r>
        <w:rPr>
          <w:rFonts w:eastAsia="Times New Roman"/>
          <w:kern w:val="0"/>
          <w:sz w:val="21"/>
          <w:szCs w:val="24"/>
          <w:lang w:val="zh-CN"/>
        </w:rPr>
        <w:t>8</w:t>
      </w:r>
      <w:r>
        <w:rPr>
          <w:rFonts w:hint="eastAsia" w:ascii="宋体" w:hAnsi="宋体" w:cs="宋体"/>
          <w:kern w:val="0"/>
          <w:sz w:val="21"/>
          <w:szCs w:val="24"/>
          <w:lang w:val="zh-CN"/>
        </w:rPr>
        <w:t>日正式上市，锁定期三年。</w:t>
      </w:r>
    </w:p>
    <w:p>
      <w:pPr>
        <w:pStyle w:val="11"/>
        <w:outlineLvl w:val="2"/>
        <w:rPr>
          <w:bCs w:val="0"/>
          <w:szCs w:val="24"/>
        </w:rPr>
      </w:pPr>
      <w:r>
        <w:rPr>
          <w:bCs w:val="0"/>
          <w:szCs w:val="24"/>
        </w:rPr>
        <w:t>3</w:t>
      </w:r>
      <w:r>
        <w:rPr>
          <w:rFonts w:hint="eastAsia"/>
          <w:bCs w:val="0"/>
          <w:szCs w:val="24"/>
        </w:rPr>
        <w:t>、现存的内部职工股情况</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pStyle w:val="10"/>
        <w:outlineLvl w:val="1"/>
        <w:rPr>
          <w:bCs w:val="0"/>
        </w:rPr>
      </w:pPr>
      <w:r>
        <w:rPr>
          <w:rFonts w:hint="eastAsia"/>
          <w:bCs w:val="0"/>
        </w:rPr>
        <w:t>三、股东和实际控制人情况</w:t>
      </w:r>
    </w:p>
    <w:p>
      <w:pPr>
        <w:pStyle w:val="11"/>
        <w:outlineLvl w:val="2"/>
        <w:rPr>
          <w:bCs w:val="0"/>
          <w:szCs w:val="24"/>
        </w:rPr>
      </w:pPr>
      <w:r>
        <w:rPr>
          <w:bCs w:val="0"/>
          <w:szCs w:val="24"/>
        </w:rPr>
        <w:t>1</w:t>
      </w:r>
      <w:r>
        <w:rPr>
          <w:rFonts w:hint="eastAsia"/>
          <w:bCs w:val="0"/>
          <w:szCs w:val="24"/>
        </w:rPr>
        <w:t>、公司股东数量及持股情况</w:t>
      </w:r>
    </w:p>
    <w:p>
      <w:pPr>
        <w:jc w:val="right"/>
        <w:rPr>
          <w:szCs w:val="24"/>
        </w:rPr>
      </w:pPr>
      <w:r>
        <w:rPr>
          <w:rFonts w:hint="eastAsia"/>
          <w:szCs w:val="24"/>
        </w:rPr>
        <w:t>单位：股</w:t>
      </w:r>
    </w:p>
    <w:tbl>
      <w:tblPr>
        <w:tblStyle w:val="8"/>
        <w:tblW w:w="9567" w:type="dxa"/>
        <w:tblInd w:w="28" w:type="dxa"/>
        <w:tblLayout w:type="fixed"/>
        <w:tblCellMar>
          <w:top w:w="0" w:type="dxa"/>
          <w:left w:w="28" w:type="dxa"/>
          <w:bottom w:w="0" w:type="dxa"/>
          <w:right w:w="28" w:type="dxa"/>
        </w:tblCellMar>
      </w:tblPr>
      <w:tblGrid>
        <w:gridCol w:w="1334"/>
        <w:gridCol w:w="135"/>
        <w:gridCol w:w="661"/>
        <w:gridCol w:w="750"/>
        <w:gridCol w:w="712"/>
        <w:gridCol w:w="76"/>
        <w:gridCol w:w="786"/>
        <w:gridCol w:w="333"/>
        <w:gridCol w:w="456"/>
        <w:gridCol w:w="786"/>
        <w:gridCol w:w="87"/>
        <w:gridCol w:w="753"/>
        <w:gridCol w:w="310"/>
        <w:gridCol w:w="1039"/>
        <w:gridCol w:w="290"/>
        <w:gridCol w:w="1059"/>
      </w:tblGrid>
      <w:tr>
        <w:tblPrEx>
          <w:tblLayout w:type="fixed"/>
          <w:tblCellMar>
            <w:top w:w="0" w:type="dxa"/>
            <w:left w:w="28" w:type="dxa"/>
            <w:bottom w:w="0" w:type="dxa"/>
            <w:right w:w="28" w:type="dxa"/>
          </w:tblCellMar>
        </w:tblPrEx>
        <w:tc>
          <w:tcPr>
            <w:tcW w:w="133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报告期末普通股股东总数</w:t>
            </w:r>
          </w:p>
        </w:tc>
        <w:tc>
          <w:tcPr>
            <w:tcW w:w="796"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13,518</w:t>
            </w:r>
          </w:p>
        </w:tc>
        <w:tc>
          <w:tcPr>
            <w:tcW w:w="1462"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年度报告披露日前上一月末普通股股东总数</w:t>
            </w:r>
          </w:p>
        </w:tc>
        <w:tc>
          <w:tcPr>
            <w:tcW w:w="1195" w:type="dxa"/>
            <w:gridSpan w:val="3"/>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13,504</w:t>
            </w:r>
          </w:p>
        </w:tc>
        <w:tc>
          <w:tcPr>
            <w:tcW w:w="1329" w:type="dxa"/>
            <w:gridSpan w:val="3"/>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报告期末表决权恢复的优先股股东总数（如有）（参见注</w:t>
            </w:r>
            <w:r>
              <w:rPr>
                <w:szCs w:val="24"/>
              </w:rPr>
              <w:t>9</w:t>
            </w:r>
            <w:r>
              <w:rPr>
                <w:rFonts w:hint="eastAsia"/>
                <w:szCs w:val="24"/>
              </w:rPr>
              <w:t>）</w:t>
            </w:r>
          </w:p>
        </w:tc>
        <w:tc>
          <w:tcPr>
            <w:tcW w:w="1063"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1329"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年度报告披露日前上一月末表决权恢复的优先股股东总数（如有）（参见注</w:t>
            </w:r>
            <w:r>
              <w:rPr>
                <w:szCs w:val="24"/>
              </w:rPr>
              <w:t>9</w:t>
            </w:r>
            <w:r>
              <w:rPr>
                <w:rFonts w:hint="eastAsia"/>
                <w:szCs w:val="24"/>
              </w:rPr>
              <w:t>）</w:t>
            </w:r>
          </w:p>
        </w:tc>
        <w:tc>
          <w:tcPr>
            <w:tcW w:w="105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r>
      <w:tr>
        <w:tblPrEx>
          <w:tblLayout w:type="fixed"/>
          <w:tblCellMar>
            <w:top w:w="0" w:type="dxa"/>
            <w:left w:w="28" w:type="dxa"/>
            <w:bottom w:w="0" w:type="dxa"/>
            <w:right w:w="28" w:type="dxa"/>
          </w:tblCellMar>
        </w:tblPrEx>
        <w:tc>
          <w:tcPr>
            <w:tcW w:w="9567" w:type="dxa"/>
            <w:gridSpan w:val="16"/>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持股</w:t>
            </w:r>
            <w:r>
              <w:rPr>
                <w:szCs w:val="24"/>
              </w:rPr>
              <w:t>5%</w:t>
            </w:r>
            <w:r>
              <w:rPr>
                <w:rFonts w:hint="eastAsia"/>
                <w:szCs w:val="24"/>
              </w:rPr>
              <w:t>以上的股东或前</w:t>
            </w:r>
            <w:r>
              <w:rPr>
                <w:szCs w:val="24"/>
              </w:rPr>
              <w:t>10</w:t>
            </w:r>
            <w:r>
              <w:rPr>
                <w:rFonts w:hint="eastAsia"/>
                <w:szCs w:val="24"/>
              </w:rPr>
              <w:t>名股东持股情况</w:t>
            </w:r>
          </w:p>
        </w:tc>
      </w:tr>
      <w:tr>
        <w:tblPrEx>
          <w:tblLayout w:type="fixed"/>
          <w:tblCellMar>
            <w:top w:w="0" w:type="dxa"/>
            <w:left w:w="28" w:type="dxa"/>
            <w:bottom w:w="0" w:type="dxa"/>
            <w:right w:w="28" w:type="dxa"/>
          </w:tblCellMar>
        </w:tblPrEx>
        <w:tc>
          <w:tcPr>
            <w:tcW w:w="1469" w:type="dxa"/>
            <w:gridSpan w:val="2"/>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股东名称</w:t>
            </w:r>
          </w:p>
        </w:tc>
        <w:tc>
          <w:tcPr>
            <w:tcW w:w="1411" w:type="dxa"/>
            <w:gridSpan w:val="2"/>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股东性质</w:t>
            </w:r>
          </w:p>
        </w:tc>
        <w:tc>
          <w:tcPr>
            <w:tcW w:w="788" w:type="dxa"/>
            <w:gridSpan w:val="2"/>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持股比例</w:t>
            </w:r>
          </w:p>
        </w:tc>
        <w:tc>
          <w:tcPr>
            <w:tcW w:w="786"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报告期末持股数量</w:t>
            </w:r>
          </w:p>
        </w:tc>
        <w:tc>
          <w:tcPr>
            <w:tcW w:w="789" w:type="dxa"/>
            <w:gridSpan w:val="2"/>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报告期内增减变动情况</w:t>
            </w:r>
          </w:p>
        </w:tc>
        <w:tc>
          <w:tcPr>
            <w:tcW w:w="786"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持有有限售条件的股份数量</w:t>
            </w:r>
          </w:p>
        </w:tc>
        <w:tc>
          <w:tcPr>
            <w:tcW w:w="840" w:type="dxa"/>
            <w:gridSpan w:val="2"/>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持有无限售条件的股份数量</w:t>
            </w:r>
          </w:p>
        </w:tc>
        <w:tc>
          <w:tcPr>
            <w:tcW w:w="2698" w:type="dxa"/>
            <w:gridSpan w:val="4"/>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质押或冻结情况</w:t>
            </w:r>
          </w:p>
        </w:tc>
      </w:tr>
      <w:tr>
        <w:tblPrEx>
          <w:tblLayout w:type="fixed"/>
          <w:tblCellMar>
            <w:top w:w="0" w:type="dxa"/>
            <w:left w:w="28" w:type="dxa"/>
            <w:bottom w:w="0" w:type="dxa"/>
            <w:right w:w="28" w:type="dxa"/>
          </w:tblCellMar>
        </w:tblPrEx>
        <w:tc>
          <w:tcPr>
            <w:tcW w:w="1469" w:type="dxa"/>
            <w:gridSpan w:val="2"/>
            <w:vMerge w:val="continue"/>
            <w:tcBorders>
              <w:top w:val="single" w:color="auto" w:sz="4" w:space="0"/>
              <w:left w:val="single" w:color="auto" w:sz="4" w:space="0"/>
              <w:bottom w:val="single" w:color="auto" w:sz="4" w:space="0"/>
              <w:right w:val="single" w:color="auto" w:sz="4" w:space="0"/>
            </w:tcBorders>
            <w:vAlign w:val="center"/>
          </w:tcPr>
          <w:p>
            <w:pPr>
              <w:jc w:val="center"/>
              <w:rPr>
                <w:szCs w:val="24"/>
              </w:rPr>
            </w:pPr>
          </w:p>
        </w:tc>
        <w:tc>
          <w:tcPr>
            <w:tcW w:w="1411" w:type="dxa"/>
            <w:gridSpan w:val="2"/>
            <w:vMerge w:val="continue"/>
            <w:tcBorders>
              <w:top w:val="single" w:color="auto" w:sz="4" w:space="0"/>
              <w:left w:val="single" w:color="auto" w:sz="4" w:space="0"/>
              <w:bottom w:val="single" w:color="auto" w:sz="4" w:space="0"/>
              <w:right w:val="single" w:color="auto" w:sz="4" w:space="0"/>
            </w:tcBorders>
            <w:vAlign w:val="center"/>
          </w:tcPr>
          <w:p>
            <w:pPr>
              <w:jc w:val="center"/>
              <w:rPr>
                <w:szCs w:val="24"/>
              </w:rPr>
            </w:pPr>
          </w:p>
        </w:tc>
        <w:tc>
          <w:tcPr>
            <w:tcW w:w="788" w:type="dxa"/>
            <w:gridSpan w:val="2"/>
            <w:vMerge w:val="continue"/>
            <w:tcBorders>
              <w:top w:val="single" w:color="auto" w:sz="4" w:space="0"/>
              <w:left w:val="single" w:color="auto" w:sz="4" w:space="0"/>
              <w:bottom w:val="single" w:color="auto" w:sz="4" w:space="0"/>
              <w:right w:val="single" w:color="auto" w:sz="4" w:space="0"/>
            </w:tcBorders>
            <w:vAlign w:val="center"/>
          </w:tcPr>
          <w:p>
            <w:pPr>
              <w:jc w:val="center"/>
              <w:rPr>
                <w:szCs w:val="24"/>
              </w:rPr>
            </w:pPr>
          </w:p>
        </w:tc>
        <w:tc>
          <w:tcPr>
            <w:tcW w:w="786" w:type="dxa"/>
            <w:vMerge w:val="continue"/>
            <w:tcBorders>
              <w:top w:val="single" w:color="auto" w:sz="4" w:space="0"/>
              <w:left w:val="single" w:color="auto" w:sz="4" w:space="0"/>
              <w:bottom w:val="single" w:color="auto" w:sz="4" w:space="0"/>
              <w:right w:val="single" w:color="auto" w:sz="4" w:space="0"/>
            </w:tcBorders>
            <w:vAlign w:val="center"/>
          </w:tcPr>
          <w:p>
            <w:pPr>
              <w:jc w:val="center"/>
              <w:rPr>
                <w:szCs w:val="24"/>
              </w:rPr>
            </w:pPr>
          </w:p>
        </w:tc>
        <w:tc>
          <w:tcPr>
            <w:tcW w:w="789" w:type="dxa"/>
            <w:gridSpan w:val="2"/>
            <w:vMerge w:val="continue"/>
            <w:tcBorders>
              <w:top w:val="single" w:color="auto" w:sz="4" w:space="0"/>
              <w:left w:val="single" w:color="auto" w:sz="4" w:space="0"/>
              <w:bottom w:val="single" w:color="auto" w:sz="4" w:space="0"/>
              <w:right w:val="single" w:color="auto" w:sz="4" w:space="0"/>
            </w:tcBorders>
            <w:vAlign w:val="center"/>
          </w:tcPr>
          <w:p>
            <w:pPr>
              <w:jc w:val="center"/>
              <w:rPr>
                <w:szCs w:val="24"/>
              </w:rPr>
            </w:pPr>
          </w:p>
        </w:tc>
        <w:tc>
          <w:tcPr>
            <w:tcW w:w="786" w:type="dxa"/>
            <w:vMerge w:val="continue"/>
            <w:tcBorders>
              <w:top w:val="single" w:color="auto" w:sz="4" w:space="0"/>
              <w:left w:val="single" w:color="auto" w:sz="4" w:space="0"/>
              <w:bottom w:val="single" w:color="auto" w:sz="4" w:space="0"/>
              <w:right w:val="single" w:color="auto" w:sz="4" w:space="0"/>
            </w:tcBorders>
            <w:vAlign w:val="center"/>
          </w:tcPr>
          <w:p>
            <w:pPr>
              <w:jc w:val="center"/>
              <w:rPr>
                <w:szCs w:val="24"/>
              </w:rPr>
            </w:pPr>
          </w:p>
        </w:tc>
        <w:tc>
          <w:tcPr>
            <w:tcW w:w="840" w:type="dxa"/>
            <w:gridSpan w:val="2"/>
            <w:vMerge w:val="continue"/>
            <w:tcBorders>
              <w:top w:val="single" w:color="auto" w:sz="4" w:space="0"/>
              <w:left w:val="single" w:color="auto" w:sz="4" w:space="0"/>
              <w:bottom w:val="single" w:color="auto" w:sz="4" w:space="0"/>
              <w:right w:val="single" w:color="auto" w:sz="4" w:space="0"/>
            </w:tcBorders>
            <w:vAlign w:val="center"/>
          </w:tcPr>
          <w:p>
            <w:pPr>
              <w:jc w:val="center"/>
              <w:rPr>
                <w:szCs w:val="24"/>
              </w:rPr>
            </w:pPr>
          </w:p>
        </w:tc>
        <w:tc>
          <w:tcPr>
            <w:tcW w:w="1349"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股份状态</w:t>
            </w:r>
          </w:p>
        </w:tc>
        <w:tc>
          <w:tcPr>
            <w:tcW w:w="1349"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数量</w:t>
            </w:r>
          </w:p>
        </w:tc>
      </w:tr>
      <w:tr>
        <w:tblPrEx>
          <w:tblLayout w:type="fixed"/>
          <w:tblCellMar>
            <w:top w:w="0" w:type="dxa"/>
            <w:left w:w="28" w:type="dxa"/>
            <w:bottom w:w="0" w:type="dxa"/>
            <w:right w:w="28" w:type="dxa"/>
          </w:tblCellMar>
        </w:tblPrEx>
        <w:tc>
          <w:tcPr>
            <w:tcW w:w="1469" w:type="dxa"/>
            <w:gridSpan w:val="2"/>
            <w:vMerge w:val="restart"/>
            <w:tcBorders>
              <w:top w:val="single" w:color="auto" w:sz="4" w:space="0"/>
              <w:left w:val="single" w:color="auto" w:sz="4" w:space="0"/>
              <w:bottom w:val="single" w:color="auto" w:sz="4" w:space="0"/>
              <w:right w:val="single" w:color="auto" w:sz="4" w:space="0"/>
            </w:tcBorders>
            <w:vAlign w:val="center"/>
          </w:tcPr>
          <w:p>
            <w:pPr>
              <w:jc w:val="left"/>
              <w:rPr>
                <w:szCs w:val="24"/>
              </w:rPr>
            </w:pPr>
            <w:r>
              <w:rPr>
                <w:rFonts w:hint="eastAsia"/>
                <w:szCs w:val="24"/>
              </w:rPr>
              <w:t>申万秋</w:t>
            </w:r>
          </w:p>
        </w:tc>
        <w:tc>
          <w:tcPr>
            <w:tcW w:w="1411" w:type="dxa"/>
            <w:gridSpan w:val="2"/>
            <w:vMerge w:val="restart"/>
            <w:tcBorders>
              <w:top w:val="single" w:color="auto" w:sz="4" w:space="0"/>
              <w:left w:val="single" w:color="auto" w:sz="4" w:space="0"/>
              <w:bottom w:val="single" w:color="auto" w:sz="4" w:space="0"/>
              <w:right w:val="single" w:color="auto" w:sz="4" w:space="0"/>
            </w:tcBorders>
            <w:vAlign w:val="center"/>
          </w:tcPr>
          <w:p>
            <w:pPr>
              <w:jc w:val="left"/>
              <w:rPr>
                <w:szCs w:val="24"/>
              </w:rPr>
            </w:pPr>
            <w:r>
              <w:rPr>
                <w:rFonts w:hint="eastAsia"/>
                <w:szCs w:val="24"/>
              </w:rPr>
              <w:t>境内自然人</w:t>
            </w:r>
          </w:p>
        </w:tc>
        <w:tc>
          <w:tcPr>
            <w:tcW w:w="788" w:type="dxa"/>
            <w:gridSpan w:val="2"/>
            <w:vMerge w:val="restart"/>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21.58%</w:t>
            </w:r>
          </w:p>
        </w:tc>
        <w:tc>
          <w:tcPr>
            <w:tcW w:w="786" w:type="dxa"/>
            <w:vMerge w:val="restart"/>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52,135,460</w:t>
            </w:r>
          </w:p>
        </w:tc>
        <w:tc>
          <w:tcPr>
            <w:tcW w:w="789" w:type="dxa"/>
            <w:gridSpan w:val="2"/>
            <w:vMerge w:val="restart"/>
            <w:tcBorders>
              <w:top w:val="single" w:color="auto" w:sz="4" w:space="0"/>
              <w:left w:val="single" w:color="auto" w:sz="4" w:space="0"/>
              <w:bottom w:val="single" w:color="auto" w:sz="4" w:space="0"/>
              <w:right w:val="single" w:color="auto" w:sz="4" w:space="0"/>
            </w:tcBorders>
            <w:vAlign w:val="center"/>
          </w:tcPr>
          <w:p>
            <w:pPr>
              <w:jc w:val="left"/>
              <w:rPr>
                <w:szCs w:val="24"/>
              </w:rPr>
            </w:pPr>
            <w:r>
              <w:rPr>
                <w:szCs w:val="24"/>
              </w:rPr>
              <w:t>11,292,621</w:t>
            </w:r>
          </w:p>
        </w:tc>
        <w:tc>
          <w:tcPr>
            <w:tcW w:w="786" w:type="dxa"/>
            <w:vMerge w:val="restart"/>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41,924,749</w:t>
            </w:r>
          </w:p>
        </w:tc>
        <w:tc>
          <w:tcPr>
            <w:tcW w:w="840" w:type="dxa"/>
            <w:gridSpan w:val="2"/>
            <w:vMerge w:val="restart"/>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41,924,749</w:t>
            </w:r>
          </w:p>
        </w:tc>
        <w:tc>
          <w:tcPr>
            <w:tcW w:w="1349"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质押</w:t>
            </w:r>
          </w:p>
        </w:tc>
        <w:tc>
          <w:tcPr>
            <w:tcW w:w="1349"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33,790,000</w:t>
            </w:r>
          </w:p>
        </w:tc>
      </w:tr>
      <w:tr>
        <w:tblPrEx>
          <w:tblLayout w:type="fixed"/>
          <w:tblCellMar>
            <w:top w:w="0" w:type="dxa"/>
            <w:left w:w="28" w:type="dxa"/>
            <w:bottom w:w="0" w:type="dxa"/>
            <w:right w:w="28" w:type="dxa"/>
          </w:tblCellMar>
        </w:tblPrEx>
        <w:tc>
          <w:tcPr>
            <w:tcW w:w="1469" w:type="dxa"/>
            <w:gridSpan w:val="2"/>
            <w:vMerge w:val="restart"/>
            <w:tcBorders>
              <w:top w:val="single" w:color="auto" w:sz="4" w:space="0"/>
              <w:left w:val="single" w:color="auto" w:sz="4" w:space="0"/>
              <w:bottom w:val="single" w:color="auto" w:sz="4" w:space="0"/>
              <w:right w:val="single" w:color="auto" w:sz="4" w:space="0"/>
            </w:tcBorders>
            <w:vAlign w:val="center"/>
          </w:tcPr>
          <w:p>
            <w:pPr>
              <w:jc w:val="left"/>
              <w:rPr>
                <w:szCs w:val="24"/>
              </w:rPr>
            </w:pPr>
            <w:r>
              <w:rPr>
                <w:rFonts w:hint="eastAsia"/>
                <w:szCs w:val="24"/>
              </w:rPr>
              <w:t>魏法军</w:t>
            </w:r>
          </w:p>
        </w:tc>
        <w:tc>
          <w:tcPr>
            <w:tcW w:w="1411" w:type="dxa"/>
            <w:gridSpan w:val="2"/>
            <w:vMerge w:val="restart"/>
            <w:tcBorders>
              <w:top w:val="single" w:color="auto" w:sz="4" w:space="0"/>
              <w:left w:val="single" w:color="auto" w:sz="4" w:space="0"/>
              <w:bottom w:val="single" w:color="auto" w:sz="4" w:space="0"/>
              <w:right w:val="single" w:color="auto" w:sz="4" w:space="0"/>
            </w:tcBorders>
            <w:vAlign w:val="center"/>
          </w:tcPr>
          <w:p>
            <w:pPr>
              <w:jc w:val="left"/>
              <w:rPr>
                <w:szCs w:val="24"/>
              </w:rPr>
            </w:pPr>
            <w:r>
              <w:rPr>
                <w:rFonts w:hint="eastAsia"/>
                <w:szCs w:val="24"/>
              </w:rPr>
              <w:t>境内自然人</w:t>
            </w:r>
          </w:p>
        </w:tc>
        <w:tc>
          <w:tcPr>
            <w:tcW w:w="788" w:type="dxa"/>
            <w:gridSpan w:val="2"/>
            <w:vMerge w:val="restart"/>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8.51%</w:t>
            </w:r>
          </w:p>
        </w:tc>
        <w:tc>
          <w:tcPr>
            <w:tcW w:w="786" w:type="dxa"/>
            <w:vMerge w:val="restart"/>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20,549,924</w:t>
            </w:r>
          </w:p>
        </w:tc>
        <w:tc>
          <w:tcPr>
            <w:tcW w:w="789" w:type="dxa"/>
            <w:gridSpan w:val="2"/>
            <w:vMerge w:val="restart"/>
            <w:tcBorders>
              <w:top w:val="single" w:color="auto" w:sz="4" w:space="0"/>
              <w:left w:val="single" w:color="auto" w:sz="4" w:space="0"/>
              <w:bottom w:val="single" w:color="auto" w:sz="4" w:space="0"/>
              <w:right w:val="single" w:color="auto" w:sz="4" w:space="0"/>
            </w:tcBorders>
            <w:vAlign w:val="center"/>
          </w:tcPr>
          <w:p>
            <w:pPr>
              <w:jc w:val="left"/>
              <w:rPr>
                <w:szCs w:val="24"/>
              </w:rPr>
            </w:pPr>
            <w:r>
              <w:rPr>
                <w:szCs w:val="24"/>
              </w:rPr>
              <w:t>0</w:t>
            </w:r>
          </w:p>
        </w:tc>
        <w:tc>
          <w:tcPr>
            <w:tcW w:w="786" w:type="dxa"/>
            <w:vMerge w:val="restart"/>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0</w:t>
            </w:r>
          </w:p>
        </w:tc>
        <w:tc>
          <w:tcPr>
            <w:tcW w:w="840" w:type="dxa"/>
            <w:gridSpan w:val="2"/>
            <w:vMerge w:val="restart"/>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20,549,924</w:t>
            </w:r>
          </w:p>
        </w:tc>
        <w:tc>
          <w:tcPr>
            <w:tcW w:w="1349"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质押</w:t>
            </w:r>
          </w:p>
        </w:tc>
        <w:tc>
          <w:tcPr>
            <w:tcW w:w="1349"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7,700,000</w:t>
            </w:r>
          </w:p>
        </w:tc>
      </w:tr>
      <w:tr>
        <w:tblPrEx>
          <w:tblLayout w:type="fixed"/>
          <w:tblCellMar>
            <w:top w:w="0" w:type="dxa"/>
            <w:left w:w="28" w:type="dxa"/>
            <w:bottom w:w="0" w:type="dxa"/>
            <w:right w:w="28" w:type="dxa"/>
          </w:tblCellMar>
        </w:tblPrEx>
        <w:tc>
          <w:tcPr>
            <w:tcW w:w="1469" w:type="dxa"/>
            <w:gridSpan w:val="2"/>
            <w:vMerge w:val="restart"/>
            <w:tcBorders>
              <w:top w:val="single" w:color="auto" w:sz="4" w:space="0"/>
              <w:left w:val="single" w:color="auto" w:sz="4" w:space="0"/>
              <w:bottom w:val="single" w:color="auto" w:sz="4" w:space="0"/>
              <w:right w:val="single" w:color="auto" w:sz="4" w:space="0"/>
            </w:tcBorders>
            <w:vAlign w:val="center"/>
          </w:tcPr>
          <w:p>
            <w:pPr>
              <w:jc w:val="left"/>
              <w:rPr>
                <w:szCs w:val="24"/>
              </w:rPr>
            </w:pPr>
            <w:r>
              <w:rPr>
                <w:rFonts w:hint="eastAsia"/>
                <w:szCs w:val="24"/>
              </w:rPr>
              <w:t>上海言盛投资合伙企业（有限合伙）</w:t>
            </w:r>
          </w:p>
        </w:tc>
        <w:tc>
          <w:tcPr>
            <w:tcW w:w="1411" w:type="dxa"/>
            <w:gridSpan w:val="2"/>
            <w:vMerge w:val="restart"/>
            <w:tcBorders>
              <w:top w:val="single" w:color="auto" w:sz="4" w:space="0"/>
              <w:left w:val="single" w:color="auto" w:sz="4" w:space="0"/>
              <w:bottom w:val="single" w:color="auto" w:sz="4" w:space="0"/>
              <w:right w:val="single" w:color="auto" w:sz="4" w:space="0"/>
            </w:tcBorders>
            <w:vAlign w:val="center"/>
          </w:tcPr>
          <w:p>
            <w:pPr>
              <w:jc w:val="left"/>
              <w:rPr>
                <w:szCs w:val="24"/>
              </w:rPr>
            </w:pPr>
            <w:r>
              <w:rPr>
                <w:rFonts w:hint="eastAsia"/>
                <w:szCs w:val="24"/>
              </w:rPr>
              <w:t>境内非国有法人</w:t>
            </w:r>
          </w:p>
        </w:tc>
        <w:tc>
          <w:tcPr>
            <w:tcW w:w="788" w:type="dxa"/>
            <w:gridSpan w:val="2"/>
            <w:vMerge w:val="restart"/>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8.18%</w:t>
            </w:r>
          </w:p>
        </w:tc>
        <w:tc>
          <w:tcPr>
            <w:tcW w:w="786" w:type="dxa"/>
            <w:vMerge w:val="restart"/>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19,762,087</w:t>
            </w:r>
          </w:p>
        </w:tc>
        <w:tc>
          <w:tcPr>
            <w:tcW w:w="789" w:type="dxa"/>
            <w:gridSpan w:val="2"/>
            <w:vMerge w:val="restart"/>
            <w:tcBorders>
              <w:top w:val="single" w:color="auto" w:sz="4" w:space="0"/>
              <w:left w:val="single" w:color="auto" w:sz="4" w:space="0"/>
              <w:bottom w:val="single" w:color="auto" w:sz="4" w:space="0"/>
              <w:right w:val="single" w:color="auto" w:sz="4" w:space="0"/>
            </w:tcBorders>
            <w:vAlign w:val="center"/>
          </w:tcPr>
          <w:p>
            <w:pPr>
              <w:jc w:val="left"/>
              <w:rPr>
                <w:szCs w:val="24"/>
              </w:rPr>
            </w:pPr>
            <w:r>
              <w:rPr>
                <w:szCs w:val="24"/>
              </w:rPr>
              <w:t>19,762,087</w:t>
            </w:r>
          </w:p>
        </w:tc>
        <w:tc>
          <w:tcPr>
            <w:tcW w:w="786" w:type="dxa"/>
            <w:vMerge w:val="restart"/>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19,762,087</w:t>
            </w:r>
          </w:p>
        </w:tc>
        <w:tc>
          <w:tcPr>
            <w:tcW w:w="840" w:type="dxa"/>
            <w:gridSpan w:val="2"/>
            <w:vMerge w:val="restart"/>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0</w:t>
            </w:r>
          </w:p>
        </w:tc>
        <w:tc>
          <w:tcPr>
            <w:tcW w:w="1349"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1349"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r>
      <w:tr>
        <w:tblPrEx>
          <w:tblLayout w:type="fixed"/>
          <w:tblCellMar>
            <w:top w:w="0" w:type="dxa"/>
            <w:left w:w="28" w:type="dxa"/>
            <w:bottom w:w="0" w:type="dxa"/>
            <w:right w:w="28" w:type="dxa"/>
          </w:tblCellMar>
        </w:tblPrEx>
        <w:tc>
          <w:tcPr>
            <w:tcW w:w="1469" w:type="dxa"/>
            <w:gridSpan w:val="2"/>
            <w:vMerge w:val="restart"/>
            <w:tcBorders>
              <w:top w:val="single" w:color="auto" w:sz="4" w:space="0"/>
              <w:left w:val="single" w:color="auto" w:sz="4" w:space="0"/>
              <w:bottom w:val="single" w:color="auto" w:sz="4" w:space="0"/>
              <w:right w:val="single" w:color="auto" w:sz="4" w:space="0"/>
            </w:tcBorders>
            <w:vAlign w:val="center"/>
          </w:tcPr>
          <w:p>
            <w:pPr>
              <w:jc w:val="left"/>
              <w:rPr>
                <w:szCs w:val="24"/>
              </w:rPr>
            </w:pPr>
            <w:r>
              <w:rPr>
                <w:rFonts w:hint="eastAsia"/>
                <w:szCs w:val="24"/>
              </w:rPr>
              <w:t>交通银行股份有限公司－博时新兴成长混合型证券投资基金</w:t>
            </w:r>
          </w:p>
        </w:tc>
        <w:tc>
          <w:tcPr>
            <w:tcW w:w="1411" w:type="dxa"/>
            <w:gridSpan w:val="2"/>
            <w:vMerge w:val="restart"/>
            <w:tcBorders>
              <w:top w:val="single" w:color="auto" w:sz="4" w:space="0"/>
              <w:left w:val="single" w:color="auto" w:sz="4" w:space="0"/>
              <w:bottom w:val="single" w:color="auto" w:sz="4" w:space="0"/>
              <w:right w:val="single" w:color="auto" w:sz="4" w:space="0"/>
            </w:tcBorders>
            <w:vAlign w:val="center"/>
          </w:tcPr>
          <w:p>
            <w:pPr>
              <w:jc w:val="left"/>
              <w:rPr>
                <w:szCs w:val="24"/>
              </w:rPr>
            </w:pPr>
            <w:r>
              <w:rPr>
                <w:rFonts w:hint="eastAsia"/>
                <w:szCs w:val="24"/>
              </w:rPr>
              <w:t>其他</w:t>
            </w:r>
          </w:p>
        </w:tc>
        <w:tc>
          <w:tcPr>
            <w:tcW w:w="788" w:type="dxa"/>
            <w:gridSpan w:val="2"/>
            <w:vMerge w:val="restart"/>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3.01%</w:t>
            </w:r>
          </w:p>
        </w:tc>
        <w:tc>
          <w:tcPr>
            <w:tcW w:w="786" w:type="dxa"/>
            <w:vMerge w:val="restart"/>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7,259,738</w:t>
            </w:r>
          </w:p>
        </w:tc>
        <w:tc>
          <w:tcPr>
            <w:tcW w:w="789" w:type="dxa"/>
            <w:gridSpan w:val="2"/>
            <w:vMerge w:val="restart"/>
            <w:tcBorders>
              <w:top w:val="single" w:color="auto" w:sz="4" w:space="0"/>
              <w:left w:val="single" w:color="auto" w:sz="4" w:space="0"/>
              <w:bottom w:val="single" w:color="auto" w:sz="4" w:space="0"/>
              <w:right w:val="single" w:color="auto" w:sz="4" w:space="0"/>
            </w:tcBorders>
            <w:vAlign w:val="center"/>
          </w:tcPr>
          <w:p>
            <w:pPr>
              <w:jc w:val="left"/>
              <w:rPr>
                <w:szCs w:val="24"/>
              </w:rPr>
            </w:pPr>
            <w:r>
              <w:rPr>
                <w:szCs w:val="24"/>
              </w:rPr>
              <w:t>7,259,738</w:t>
            </w:r>
          </w:p>
        </w:tc>
        <w:tc>
          <w:tcPr>
            <w:tcW w:w="786" w:type="dxa"/>
            <w:vMerge w:val="restart"/>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0</w:t>
            </w:r>
          </w:p>
        </w:tc>
        <w:tc>
          <w:tcPr>
            <w:tcW w:w="840" w:type="dxa"/>
            <w:gridSpan w:val="2"/>
            <w:vMerge w:val="restart"/>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7,259,738</w:t>
            </w:r>
          </w:p>
        </w:tc>
        <w:tc>
          <w:tcPr>
            <w:tcW w:w="1349"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1349"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r>
      <w:tr>
        <w:tblPrEx>
          <w:tblLayout w:type="fixed"/>
          <w:tblCellMar>
            <w:top w:w="0" w:type="dxa"/>
            <w:left w:w="28" w:type="dxa"/>
            <w:bottom w:w="0" w:type="dxa"/>
            <w:right w:w="28" w:type="dxa"/>
          </w:tblCellMar>
        </w:tblPrEx>
        <w:tc>
          <w:tcPr>
            <w:tcW w:w="1469" w:type="dxa"/>
            <w:gridSpan w:val="2"/>
            <w:vMerge w:val="restart"/>
            <w:tcBorders>
              <w:top w:val="single" w:color="auto" w:sz="4" w:space="0"/>
              <w:left w:val="single" w:color="auto" w:sz="4" w:space="0"/>
              <w:bottom w:val="single" w:color="auto" w:sz="4" w:space="0"/>
              <w:right w:val="single" w:color="auto" w:sz="4" w:space="0"/>
            </w:tcBorders>
            <w:vAlign w:val="center"/>
          </w:tcPr>
          <w:p>
            <w:pPr>
              <w:jc w:val="left"/>
              <w:rPr>
                <w:szCs w:val="24"/>
              </w:rPr>
            </w:pPr>
            <w:r>
              <w:rPr>
                <w:rFonts w:hint="eastAsia"/>
                <w:szCs w:val="24"/>
              </w:rPr>
              <w:t>中国工商银行－上投摩根内需动力股票型证券投资基金</w:t>
            </w:r>
          </w:p>
        </w:tc>
        <w:tc>
          <w:tcPr>
            <w:tcW w:w="1411" w:type="dxa"/>
            <w:gridSpan w:val="2"/>
            <w:vMerge w:val="restart"/>
            <w:tcBorders>
              <w:top w:val="single" w:color="auto" w:sz="4" w:space="0"/>
              <w:left w:val="single" w:color="auto" w:sz="4" w:space="0"/>
              <w:bottom w:val="single" w:color="auto" w:sz="4" w:space="0"/>
              <w:right w:val="single" w:color="auto" w:sz="4" w:space="0"/>
            </w:tcBorders>
            <w:vAlign w:val="center"/>
          </w:tcPr>
          <w:p>
            <w:pPr>
              <w:jc w:val="left"/>
              <w:rPr>
                <w:szCs w:val="24"/>
              </w:rPr>
            </w:pPr>
            <w:r>
              <w:rPr>
                <w:rFonts w:hint="eastAsia"/>
                <w:szCs w:val="24"/>
              </w:rPr>
              <w:t>其他</w:t>
            </w:r>
          </w:p>
        </w:tc>
        <w:tc>
          <w:tcPr>
            <w:tcW w:w="788" w:type="dxa"/>
            <w:gridSpan w:val="2"/>
            <w:vMerge w:val="restart"/>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2.42%</w:t>
            </w:r>
          </w:p>
        </w:tc>
        <w:tc>
          <w:tcPr>
            <w:tcW w:w="786" w:type="dxa"/>
            <w:vMerge w:val="restart"/>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5,837,597</w:t>
            </w:r>
          </w:p>
        </w:tc>
        <w:tc>
          <w:tcPr>
            <w:tcW w:w="789" w:type="dxa"/>
            <w:gridSpan w:val="2"/>
            <w:vMerge w:val="restart"/>
            <w:tcBorders>
              <w:top w:val="single" w:color="auto" w:sz="4" w:space="0"/>
              <w:left w:val="single" w:color="auto" w:sz="4" w:space="0"/>
              <w:bottom w:val="single" w:color="auto" w:sz="4" w:space="0"/>
              <w:right w:val="single" w:color="auto" w:sz="4" w:space="0"/>
            </w:tcBorders>
            <w:vAlign w:val="center"/>
          </w:tcPr>
          <w:p>
            <w:pPr>
              <w:jc w:val="left"/>
              <w:rPr>
                <w:szCs w:val="24"/>
              </w:rPr>
            </w:pPr>
            <w:r>
              <w:rPr>
                <w:szCs w:val="24"/>
              </w:rPr>
              <w:t>5,837,597</w:t>
            </w:r>
          </w:p>
        </w:tc>
        <w:tc>
          <w:tcPr>
            <w:tcW w:w="786" w:type="dxa"/>
            <w:vMerge w:val="restart"/>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0</w:t>
            </w:r>
          </w:p>
        </w:tc>
        <w:tc>
          <w:tcPr>
            <w:tcW w:w="840" w:type="dxa"/>
            <w:gridSpan w:val="2"/>
            <w:vMerge w:val="restart"/>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5,837,597</w:t>
            </w:r>
          </w:p>
        </w:tc>
        <w:tc>
          <w:tcPr>
            <w:tcW w:w="1349"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1349"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r>
      <w:tr>
        <w:tblPrEx>
          <w:tblLayout w:type="fixed"/>
          <w:tblCellMar>
            <w:top w:w="0" w:type="dxa"/>
            <w:left w:w="28" w:type="dxa"/>
            <w:bottom w:w="0" w:type="dxa"/>
            <w:right w:w="28" w:type="dxa"/>
          </w:tblCellMar>
        </w:tblPrEx>
        <w:tc>
          <w:tcPr>
            <w:tcW w:w="1469" w:type="dxa"/>
            <w:gridSpan w:val="2"/>
            <w:vMerge w:val="restart"/>
            <w:tcBorders>
              <w:top w:val="single" w:color="auto" w:sz="4" w:space="0"/>
              <w:left w:val="single" w:color="auto" w:sz="4" w:space="0"/>
              <w:bottom w:val="single" w:color="auto" w:sz="4" w:space="0"/>
              <w:right w:val="single" w:color="auto" w:sz="4" w:space="0"/>
            </w:tcBorders>
            <w:vAlign w:val="center"/>
          </w:tcPr>
          <w:p>
            <w:pPr>
              <w:jc w:val="left"/>
              <w:rPr>
                <w:szCs w:val="24"/>
              </w:rPr>
            </w:pPr>
            <w:r>
              <w:rPr>
                <w:rFonts w:hint="eastAsia"/>
                <w:szCs w:val="24"/>
              </w:rPr>
              <w:t>中国建设银行股份有限公司－富国中证军工指数分级证券投资基金</w:t>
            </w:r>
          </w:p>
        </w:tc>
        <w:tc>
          <w:tcPr>
            <w:tcW w:w="1411" w:type="dxa"/>
            <w:gridSpan w:val="2"/>
            <w:vMerge w:val="restart"/>
            <w:tcBorders>
              <w:top w:val="single" w:color="auto" w:sz="4" w:space="0"/>
              <w:left w:val="single" w:color="auto" w:sz="4" w:space="0"/>
              <w:bottom w:val="single" w:color="auto" w:sz="4" w:space="0"/>
              <w:right w:val="single" w:color="auto" w:sz="4" w:space="0"/>
            </w:tcBorders>
            <w:vAlign w:val="center"/>
          </w:tcPr>
          <w:p>
            <w:pPr>
              <w:jc w:val="left"/>
              <w:rPr>
                <w:szCs w:val="24"/>
              </w:rPr>
            </w:pPr>
            <w:r>
              <w:rPr>
                <w:rFonts w:hint="eastAsia"/>
                <w:szCs w:val="24"/>
              </w:rPr>
              <w:t>其他</w:t>
            </w:r>
          </w:p>
        </w:tc>
        <w:tc>
          <w:tcPr>
            <w:tcW w:w="788" w:type="dxa"/>
            <w:gridSpan w:val="2"/>
            <w:vMerge w:val="restart"/>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2.08%</w:t>
            </w:r>
          </w:p>
        </w:tc>
        <w:tc>
          <w:tcPr>
            <w:tcW w:w="786" w:type="dxa"/>
            <w:vMerge w:val="restart"/>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5,031,488</w:t>
            </w:r>
          </w:p>
        </w:tc>
        <w:tc>
          <w:tcPr>
            <w:tcW w:w="789" w:type="dxa"/>
            <w:gridSpan w:val="2"/>
            <w:vMerge w:val="restart"/>
            <w:tcBorders>
              <w:top w:val="single" w:color="auto" w:sz="4" w:space="0"/>
              <w:left w:val="single" w:color="auto" w:sz="4" w:space="0"/>
              <w:bottom w:val="single" w:color="auto" w:sz="4" w:space="0"/>
              <w:right w:val="single" w:color="auto" w:sz="4" w:space="0"/>
            </w:tcBorders>
            <w:vAlign w:val="center"/>
          </w:tcPr>
          <w:p>
            <w:pPr>
              <w:jc w:val="left"/>
              <w:rPr>
                <w:szCs w:val="24"/>
              </w:rPr>
            </w:pPr>
            <w:r>
              <w:rPr>
                <w:szCs w:val="24"/>
              </w:rPr>
              <w:t>-518,201</w:t>
            </w:r>
          </w:p>
        </w:tc>
        <w:tc>
          <w:tcPr>
            <w:tcW w:w="786" w:type="dxa"/>
            <w:vMerge w:val="restart"/>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0</w:t>
            </w:r>
          </w:p>
        </w:tc>
        <w:tc>
          <w:tcPr>
            <w:tcW w:w="840" w:type="dxa"/>
            <w:gridSpan w:val="2"/>
            <w:vMerge w:val="restart"/>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5,031,488</w:t>
            </w:r>
          </w:p>
        </w:tc>
        <w:tc>
          <w:tcPr>
            <w:tcW w:w="1349"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1349"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r>
      <w:tr>
        <w:tblPrEx>
          <w:tblLayout w:type="fixed"/>
          <w:tblCellMar>
            <w:top w:w="0" w:type="dxa"/>
            <w:left w:w="28" w:type="dxa"/>
            <w:bottom w:w="0" w:type="dxa"/>
            <w:right w:w="28" w:type="dxa"/>
          </w:tblCellMar>
        </w:tblPrEx>
        <w:tc>
          <w:tcPr>
            <w:tcW w:w="1469" w:type="dxa"/>
            <w:gridSpan w:val="2"/>
            <w:tcBorders>
              <w:top w:val="single" w:color="auto" w:sz="4" w:space="0"/>
              <w:left w:val="single" w:color="auto" w:sz="4" w:space="0"/>
              <w:bottom w:val="single" w:color="auto" w:sz="4" w:space="0"/>
              <w:right w:val="single" w:color="auto" w:sz="4" w:space="0"/>
            </w:tcBorders>
            <w:vAlign w:val="center"/>
          </w:tcPr>
          <w:p>
            <w:pPr>
              <w:jc w:val="left"/>
              <w:rPr>
                <w:szCs w:val="24"/>
              </w:rPr>
            </w:pPr>
            <w:r>
              <w:rPr>
                <w:rFonts w:hint="eastAsia"/>
                <w:szCs w:val="24"/>
              </w:rPr>
              <w:t>中国建设银行股份有限公司－上投摩根民生需求股票型证券投资基金</w:t>
            </w:r>
          </w:p>
        </w:tc>
        <w:tc>
          <w:tcPr>
            <w:tcW w:w="1411" w:type="dxa"/>
            <w:gridSpan w:val="2"/>
            <w:tcBorders>
              <w:top w:val="single" w:color="auto" w:sz="4" w:space="0"/>
              <w:left w:val="single" w:color="auto" w:sz="4" w:space="0"/>
              <w:bottom w:val="single" w:color="auto" w:sz="4" w:space="0"/>
              <w:right w:val="single" w:color="auto" w:sz="4" w:space="0"/>
            </w:tcBorders>
            <w:vAlign w:val="center"/>
          </w:tcPr>
          <w:p>
            <w:pPr>
              <w:jc w:val="left"/>
              <w:rPr>
                <w:szCs w:val="24"/>
              </w:rPr>
            </w:pPr>
            <w:r>
              <w:rPr>
                <w:rFonts w:hint="eastAsia"/>
                <w:szCs w:val="24"/>
              </w:rPr>
              <w:t>其他</w:t>
            </w:r>
          </w:p>
        </w:tc>
        <w:tc>
          <w:tcPr>
            <w:tcW w:w="788" w:type="dxa"/>
            <w:gridSpan w:val="2"/>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1.37%</w:t>
            </w:r>
          </w:p>
        </w:tc>
        <w:tc>
          <w:tcPr>
            <w:tcW w:w="786" w:type="dxa"/>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3,305,917</w:t>
            </w:r>
          </w:p>
        </w:tc>
        <w:tc>
          <w:tcPr>
            <w:tcW w:w="789" w:type="dxa"/>
            <w:gridSpan w:val="2"/>
            <w:tcBorders>
              <w:top w:val="single" w:color="auto" w:sz="4" w:space="0"/>
              <w:left w:val="single" w:color="auto" w:sz="4" w:space="0"/>
              <w:bottom w:val="single" w:color="auto" w:sz="4" w:space="0"/>
              <w:right w:val="single" w:color="auto" w:sz="4" w:space="0"/>
            </w:tcBorders>
            <w:vAlign w:val="center"/>
          </w:tcPr>
          <w:p>
            <w:pPr>
              <w:jc w:val="left"/>
              <w:rPr>
                <w:szCs w:val="24"/>
              </w:rPr>
            </w:pPr>
            <w:r>
              <w:rPr>
                <w:szCs w:val="24"/>
              </w:rPr>
              <w:t>3,205,917</w:t>
            </w:r>
          </w:p>
        </w:tc>
        <w:tc>
          <w:tcPr>
            <w:tcW w:w="786" w:type="dxa"/>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0</w:t>
            </w:r>
          </w:p>
        </w:tc>
        <w:tc>
          <w:tcPr>
            <w:tcW w:w="840" w:type="dxa"/>
            <w:gridSpan w:val="2"/>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3,305,917</w:t>
            </w:r>
          </w:p>
        </w:tc>
        <w:tc>
          <w:tcPr>
            <w:tcW w:w="1349"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1349"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r>
      <w:tr>
        <w:tblPrEx>
          <w:tblLayout w:type="fixed"/>
          <w:tblCellMar>
            <w:top w:w="0" w:type="dxa"/>
            <w:left w:w="28" w:type="dxa"/>
            <w:bottom w:w="0" w:type="dxa"/>
            <w:right w:w="28" w:type="dxa"/>
          </w:tblCellMar>
        </w:tblPrEx>
        <w:tc>
          <w:tcPr>
            <w:tcW w:w="1469" w:type="dxa"/>
            <w:gridSpan w:val="2"/>
            <w:tcBorders>
              <w:top w:val="single" w:color="auto" w:sz="4" w:space="0"/>
              <w:left w:val="single" w:color="auto" w:sz="4" w:space="0"/>
              <w:bottom w:val="single" w:color="auto" w:sz="4" w:space="0"/>
              <w:right w:val="single" w:color="auto" w:sz="4" w:space="0"/>
            </w:tcBorders>
            <w:vAlign w:val="center"/>
          </w:tcPr>
          <w:p>
            <w:pPr>
              <w:jc w:val="left"/>
              <w:rPr>
                <w:szCs w:val="24"/>
              </w:rPr>
            </w:pPr>
            <w:r>
              <w:rPr>
                <w:rFonts w:hint="eastAsia"/>
                <w:szCs w:val="24"/>
              </w:rPr>
              <w:t>胡滢</w:t>
            </w:r>
          </w:p>
        </w:tc>
        <w:tc>
          <w:tcPr>
            <w:tcW w:w="1411" w:type="dxa"/>
            <w:gridSpan w:val="2"/>
            <w:tcBorders>
              <w:top w:val="single" w:color="auto" w:sz="4" w:space="0"/>
              <w:left w:val="single" w:color="auto" w:sz="4" w:space="0"/>
              <w:bottom w:val="single" w:color="auto" w:sz="4" w:space="0"/>
              <w:right w:val="single" w:color="auto" w:sz="4" w:space="0"/>
            </w:tcBorders>
            <w:vAlign w:val="center"/>
          </w:tcPr>
          <w:p>
            <w:pPr>
              <w:jc w:val="left"/>
              <w:rPr>
                <w:szCs w:val="24"/>
              </w:rPr>
            </w:pPr>
            <w:r>
              <w:rPr>
                <w:rFonts w:hint="eastAsia"/>
                <w:szCs w:val="24"/>
              </w:rPr>
              <w:t>境内自然人</w:t>
            </w:r>
          </w:p>
        </w:tc>
        <w:tc>
          <w:tcPr>
            <w:tcW w:w="788" w:type="dxa"/>
            <w:gridSpan w:val="2"/>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1.29%</w:t>
            </w:r>
          </w:p>
        </w:tc>
        <w:tc>
          <w:tcPr>
            <w:tcW w:w="786" w:type="dxa"/>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3,107,000</w:t>
            </w:r>
          </w:p>
        </w:tc>
        <w:tc>
          <w:tcPr>
            <w:tcW w:w="789" w:type="dxa"/>
            <w:gridSpan w:val="2"/>
            <w:tcBorders>
              <w:top w:val="single" w:color="auto" w:sz="4" w:space="0"/>
              <w:left w:val="single" w:color="auto" w:sz="4" w:space="0"/>
              <w:bottom w:val="single" w:color="auto" w:sz="4" w:space="0"/>
              <w:right w:val="single" w:color="auto" w:sz="4" w:space="0"/>
            </w:tcBorders>
            <w:vAlign w:val="center"/>
          </w:tcPr>
          <w:p>
            <w:pPr>
              <w:jc w:val="left"/>
              <w:rPr>
                <w:szCs w:val="24"/>
              </w:rPr>
            </w:pPr>
            <w:r>
              <w:rPr>
                <w:szCs w:val="24"/>
              </w:rPr>
              <w:t>3,107,000</w:t>
            </w:r>
          </w:p>
        </w:tc>
        <w:tc>
          <w:tcPr>
            <w:tcW w:w="786" w:type="dxa"/>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0</w:t>
            </w:r>
          </w:p>
        </w:tc>
        <w:tc>
          <w:tcPr>
            <w:tcW w:w="840" w:type="dxa"/>
            <w:gridSpan w:val="2"/>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3,107,000</w:t>
            </w:r>
          </w:p>
        </w:tc>
        <w:tc>
          <w:tcPr>
            <w:tcW w:w="1349"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1349"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r>
      <w:tr>
        <w:tblPrEx>
          <w:tblLayout w:type="fixed"/>
          <w:tblCellMar>
            <w:top w:w="0" w:type="dxa"/>
            <w:left w:w="28" w:type="dxa"/>
            <w:bottom w:w="0" w:type="dxa"/>
            <w:right w:w="28" w:type="dxa"/>
          </w:tblCellMar>
        </w:tblPrEx>
        <w:tc>
          <w:tcPr>
            <w:tcW w:w="1469" w:type="dxa"/>
            <w:gridSpan w:val="2"/>
            <w:vMerge w:val="restart"/>
            <w:tcBorders>
              <w:top w:val="single" w:color="auto" w:sz="4" w:space="0"/>
              <w:left w:val="single" w:color="auto" w:sz="4" w:space="0"/>
              <w:bottom w:val="single" w:color="auto" w:sz="4" w:space="0"/>
              <w:right w:val="single" w:color="auto" w:sz="4" w:space="0"/>
            </w:tcBorders>
            <w:vAlign w:val="center"/>
          </w:tcPr>
          <w:p>
            <w:pPr>
              <w:jc w:val="left"/>
              <w:rPr>
                <w:szCs w:val="24"/>
              </w:rPr>
            </w:pPr>
            <w:r>
              <w:rPr>
                <w:rFonts w:hint="eastAsia"/>
                <w:szCs w:val="24"/>
              </w:rPr>
              <w:t>季爱琴</w:t>
            </w:r>
          </w:p>
        </w:tc>
        <w:tc>
          <w:tcPr>
            <w:tcW w:w="1411" w:type="dxa"/>
            <w:gridSpan w:val="2"/>
            <w:vMerge w:val="restart"/>
            <w:tcBorders>
              <w:top w:val="single" w:color="auto" w:sz="4" w:space="0"/>
              <w:left w:val="single" w:color="auto" w:sz="4" w:space="0"/>
              <w:bottom w:val="single" w:color="auto" w:sz="4" w:space="0"/>
              <w:right w:val="single" w:color="auto" w:sz="4" w:space="0"/>
            </w:tcBorders>
            <w:vAlign w:val="center"/>
          </w:tcPr>
          <w:p>
            <w:pPr>
              <w:jc w:val="left"/>
              <w:rPr>
                <w:szCs w:val="24"/>
              </w:rPr>
            </w:pPr>
            <w:r>
              <w:rPr>
                <w:rFonts w:hint="eastAsia"/>
                <w:szCs w:val="24"/>
              </w:rPr>
              <w:t>境内自然人</w:t>
            </w:r>
          </w:p>
        </w:tc>
        <w:tc>
          <w:tcPr>
            <w:tcW w:w="788" w:type="dxa"/>
            <w:gridSpan w:val="2"/>
            <w:vMerge w:val="restart"/>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1.00%</w:t>
            </w:r>
          </w:p>
        </w:tc>
        <w:tc>
          <w:tcPr>
            <w:tcW w:w="786" w:type="dxa"/>
            <w:vMerge w:val="restart"/>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2,422,932</w:t>
            </w:r>
          </w:p>
        </w:tc>
        <w:tc>
          <w:tcPr>
            <w:tcW w:w="789" w:type="dxa"/>
            <w:gridSpan w:val="2"/>
            <w:vMerge w:val="restart"/>
            <w:tcBorders>
              <w:top w:val="single" w:color="auto" w:sz="4" w:space="0"/>
              <w:left w:val="single" w:color="auto" w:sz="4" w:space="0"/>
              <w:bottom w:val="single" w:color="auto" w:sz="4" w:space="0"/>
              <w:right w:val="single" w:color="auto" w:sz="4" w:space="0"/>
            </w:tcBorders>
            <w:vAlign w:val="center"/>
          </w:tcPr>
          <w:p>
            <w:pPr>
              <w:jc w:val="left"/>
              <w:rPr>
                <w:szCs w:val="24"/>
              </w:rPr>
            </w:pPr>
            <w:r>
              <w:rPr>
                <w:szCs w:val="24"/>
              </w:rPr>
              <w:t>1,460,293</w:t>
            </w:r>
          </w:p>
        </w:tc>
        <w:tc>
          <w:tcPr>
            <w:tcW w:w="786" w:type="dxa"/>
            <w:vMerge w:val="restart"/>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0</w:t>
            </w:r>
          </w:p>
        </w:tc>
        <w:tc>
          <w:tcPr>
            <w:tcW w:w="840" w:type="dxa"/>
            <w:gridSpan w:val="2"/>
            <w:vMerge w:val="restart"/>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2,422,932</w:t>
            </w:r>
          </w:p>
        </w:tc>
        <w:tc>
          <w:tcPr>
            <w:tcW w:w="1349"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1349"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r>
      <w:tr>
        <w:tblPrEx>
          <w:tblLayout w:type="fixed"/>
          <w:tblCellMar>
            <w:top w:w="0" w:type="dxa"/>
            <w:left w:w="28" w:type="dxa"/>
            <w:bottom w:w="0" w:type="dxa"/>
            <w:right w:w="28" w:type="dxa"/>
          </w:tblCellMar>
        </w:tblPrEx>
        <w:tc>
          <w:tcPr>
            <w:tcW w:w="1469" w:type="dxa"/>
            <w:gridSpan w:val="2"/>
            <w:vMerge w:val="restart"/>
            <w:tcBorders>
              <w:top w:val="single" w:color="auto" w:sz="4" w:space="0"/>
              <w:left w:val="single" w:color="auto" w:sz="4" w:space="0"/>
              <w:bottom w:val="single" w:color="auto" w:sz="4" w:space="0"/>
              <w:right w:val="single" w:color="auto" w:sz="4" w:space="0"/>
            </w:tcBorders>
            <w:vAlign w:val="center"/>
          </w:tcPr>
          <w:p>
            <w:pPr>
              <w:jc w:val="left"/>
              <w:rPr>
                <w:szCs w:val="24"/>
              </w:rPr>
            </w:pPr>
            <w:r>
              <w:rPr>
                <w:rFonts w:hint="eastAsia"/>
                <w:szCs w:val="24"/>
              </w:rPr>
              <w:t>广发期货有限公司</w:t>
            </w:r>
            <w:r>
              <w:rPr>
                <w:szCs w:val="24"/>
              </w:rPr>
              <w:t>-</w:t>
            </w:r>
            <w:r>
              <w:rPr>
                <w:rFonts w:hint="eastAsia"/>
                <w:szCs w:val="24"/>
              </w:rPr>
              <w:t>广发期慧</w:t>
            </w:r>
            <w:r>
              <w:rPr>
                <w:szCs w:val="24"/>
              </w:rPr>
              <w:t>1</w:t>
            </w:r>
            <w:r>
              <w:rPr>
                <w:rFonts w:hint="eastAsia"/>
                <w:szCs w:val="24"/>
              </w:rPr>
              <w:t>期资产管理计划</w:t>
            </w:r>
          </w:p>
        </w:tc>
        <w:tc>
          <w:tcPr>
            <w:tcW w:w="1411" w:type="dxa"/>
            <w:gridSpan w:val="2"/>
            <w:vMerge w:val="restart"/>
            <w:tcBorders>
              <w:top w:val="single" w:color="auto" w:sz="4" w:space="0"/>
              <w:left w:val="single" w:color="auto" w:sz="4" w:space="0"/>
              <w:bottom w:val="single" w:color="auto" w:sz="4" w:space="0"/>
              <w:right w:val="single" w:color="auto" w:sz="4" w:space="0"/>
            </w:tcBorders>
            <w:vAlign w:val="center"/>
          </w:tcPr>
          <w:p>
            <w:pPr>
              <w:jc w:val="left"/>
              <w:rPr>
                <w:szCs w:val="24"/>
              </w:rPr>
            </w:pPr>
            <w:r>
              <w:rPr>
                <w:rFonts w:hint="eastAsia"/>
                <w:szCs w:val="24"/>
              </w:rPr>
              <w:t>境内非国有法人</w:t>
            </w:r>
          </w:p>
        </w:tc>
        <w:tc>
          <w:tcPr>
            <w:tcW w:w="788" w:type="dxa"/>
            <w:gridSpan w:val="2"/>
            <w:vMerge w:val="restart"/>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0.99%</w:t>
            </w:r>
          </w:p>
        </w:tc>
        <w:tc>
          <w:tcPr>
            <w:tcW w:w="786" w:type="dxa"/>
            <w:vMerge w:val="restart"/>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2,402,620</w:t>
            </w:r>
          </w:p>
        </w:tc>
        <w:tc>
          <w:tcPr>
            <w:tcW w:w="789" w:type="dxa"/>
            <w:gridSpan w:val="2"/>
            <w:vMerge w:val="restart"/>
            <w:tcBorders>
              <w:top w:val="single" w:color="auto" w:sz="4" w:space="0"/>
              <w:left w:val="single" w:color="auto" w:sz="4" w:space="0"/>
              <w:bottom w:val="single" w:color="auto" w:sz="4" w:space="0"/>
              <w:right w:val="single" w:color="auto" w:sz="4" w:space="0"/>
            </w:tcBorders>
            <w:vAlign w:val="center"/>
          </w:tcPr>
          <w:p>
            <w:pPr>
              <w:jc w:val="left"/>
              <w:rPr>
                <w:szCs w:val="24"/>
              </w:rPr>
            </w:pPr>
            <w:r>
              <w:rPr>
                <w:szCs w:val="24"/>
              </w:rPr>
              <w:t>113,820</w:t>
            </w:r>
          </w:p>
        </w:tc>
        <w:tc>
          <w:tcPr>
            <w:tcW w:w="786" w:type="dxa"/>
            <w:vMerge w:val="restart"/>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0</w:t>
            </w:r>
          </w:p>
        </w:tc>
        <w:tc>
          <w:tcPr>
            <w:tcW w:w="840" w:type="dxa"/>
            <w:gridSpan w:val="2"/>
            <w:vMerge w:val="restart"/>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2,402,620</w:t>
            </w:r>
          </w:p>
        </w:tc>
        <w:tc>
          <w:tcPr>
            <w:tcW w:w="1349"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c>
          <w:tcPr>
            <w:tcW w:w="1349"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p>
        </w:tc>
      </w:tr>
      <w:tr>
        <w:tblPrEx>
          <w:tblLayout w:type="fixed"/>
          <w:tblCellMar>
            <w:top w:w="0" w:type="dxa"/>
            <w:left w:w="28" w:type="dxa"/>
            <w:bottom w:w="0" w:type="dxa"/>
            <w:right w:w="28" w:type="dxa"/>
          </w:tblCellMar>
        </w:tblPrEx>
        <w:tc>
          <w:tcPr>
            <w:tcW w:w="2880" w:type="dxa"/>
            <w:gridSpan w:val="4"/>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战略投资者或一般法人因配售新股成为前</w:t>
            </w:r>
            <w:r>
              <w:rPr>
                <w:szCs w:val="24"/>
              </w:rPr>
              <w:t>10</w:t>
            </w:r>
            <w:r>
              <w:rPr>
                <w:rFonts w:hint="eastAsia"/>
                <w:szCs w:val="24"/>
              </w:rPr>
              <w:t>名股东的情况（如有）（参见注</w:t>
            </w:r>
            <w:r>
              <w:rPr>
                <w:szCs w:val="24"/>
              </w:rPr>
              <w:t>4</w:t>
            </w:r>
            <w:r>
              <w:rPr>
                <w:rFonts w:hint="eastAsia"/>
                <w:szCs w:val="24"/>
              </w:rPr>
              <w:t>）</w:t>
            </w:r>
          </w:p>
        </w:tc>
        <w:tc>
          <w:tcPr>
            <w:tcW w:w="6687" w:type="dxa"/>
            <w:gridSpan w:val="12"/>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无</w:t>
            </w:r>
          </w:p>
        </w:tc>
      </w:tr>
      <w:tr>
        <w:tblPrEx>
          <w:tblLayout w:type="fixed"/>
          <w:tblCellMar>
            <w:top w:w="0" w:type="dxa"/>
            <w:left w:w="28" w:type="dxa"/>
            <w:bottom w:w="0" w:type="dxa"/>
            <w:right w:w="28" w:type="dxa"/>
          </w:tblCellMar>
        </w:tblPrEx>
        <w:tc>
          <w:tcPr>
            <w:tcW w:w="2880" w:type="dxa"/>
            <w:gridSpan w:val="4"/>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上述股东关联关系或一致行动的说明</w:t>
            </w:r>
          </w:p>
        </w:tc>
        <w:tc>
          <w:tcPr>
            <w:tcW w:w="6687" w:type="dxa"/>
            <w:gridSpan w:val="12"/>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申万秋为上海言盛的普通合伙人及实际控制人，因此，申万秋与上海言盛构成一致行动人，合计持有上市公司股份比例达</w:t>
            </w:r>
            <w:r>
              <w:rPr>
                <w:szCs w:val="24"/>
              </w:rPr>
              <w:t>29.76%</w:t>
            </w:r>
            <w:r>
              <w:rPr>
                <w:rFonts w:hint="eastAsia"/>
                <w:szCs w:val="24"/>
              </w:rPr>
              <w:t>。</w:t>
            </w:r>
          </w:p>
        </w:tc>
      </w:tr>
      <w:tr>
        <w:tblPrEx>
          <w:tblLayout w:type="fixed"/>
          <w:tblCellMar>
            <w:top w:w="0" w:type="dxa"/>
            <w:left w:w="28" w:type="dxa"/>
            <w:bottom w:w="0" w:type="dxa"/>
            <w:right w:w="28" w:type="dxa"/>
          </w:tblCellMar>
        </w:tblPrEx>
        <w:tc>
          <w:tcPr>
            <w:tcW w:w="9567" w:type="dxa"/>
            <w:gridSpan w:val="16"/>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前</w:t>
            </w:r>
            <w:r>
              <w:rPr>
                <w:szCs w:val="24"/>
              </w:rPr>
              <w:t>10</w:t>
            </w:r>
            <w:r>
              <w:rPr>
                <w:rFonts w:hint="eastAsia"/>
                <w:szCs w:val="24"/>
              </w:rPr>
              <w:t>名无限售条件股东持股情况</w:t>
            </w:r>
          </w:p>
        </w:tc>
      </w:tr>
      <w:tr>
        <w:tblPrEx>
          <w:tblLayout w:type="fixed"/>
          <w:tblCellMar>
            <w:top w:w="0" w:type="dxa"/>
            <w:left w:w="28" w:type="dxa"/>
            <w:bottom w:w="0" w:type="dxa"/>
            <w:right w:w="28" w:type="dxa"/>
          </w:tblCellMar>
        </w:tblPrEx>
        <w:tc>
          <w:tcPr>
            <w:tcW w:w="2880" w:type="dxa"/>
            <w:gridSpan w:val="4"/>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股东名称</w:t>
            </w:r>
          </w:p>
        </w:tc>
        <w:tc>
          <w:tcPr>
            <w:tcW w:w="3989" w:type="dxa"/>
            <w:gridSpan w:val="8"/>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报告期末持有无限售条件股份数量</w:t>
            </w:r>
          </w:p>
        </w:tc>
        <w:tc>
          <w:tcPr>
            <w:tcW w:w="2698" w:type="dxa"/>
            <w:gridSpan w:val="4"/>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股份种类</w:t>
            </w:r>
          </w:p>
        </w:tc>
      </w:tr>
      <w:tr>
        <w:tblPrEx>
          <w:tblLayout w:type="fixed"/>
          <w:tblCellMar>
            <w:top w:w="0" w:type="dxa"/>
            <w:left w:w="28" w:type="dxa"/>
            <w:bottom w:w="0" w:type="dxa"/>
            <w:right w:w="28" w:type="dxa"/>
          </w:tblCellMar>
        </w:tblPrEx>
        <w:tc>
          <w:tcPr>
            <w:tcW w:w="2880" w:type="dxa"/>
            <w:gridSpan w:val="4"/>
            <w:vMerge w:val="continue"/>
            <w:tcBorders>
              <w:top w:val="single" w:color="auto" w:sz="4" w:space="0"/>
              <w:left w:val="single" w:color="auto" w:sz="4" w:space="0"/>
              <w:bottom w:val="single" w:color="auto" w:sz="4" w:space="0"/>
              <w:right w:val="single" w:color="auto" w:sz="4" w:space="0"/>
            </w:tcBorders>
            <w:vAlign w:val="center"/>
          </w:tcPr>
          <w:p>
            <w:pPr>
              <w:jc w:val="center"/>
              <w:rPr>
                <w:szCs w:val="24"/>
              </w:rPr>
            </w:pPr>
          </w:p>
        </w:tc>
        <w:tc>
          <w:tcPr>
            <w:tcW w:w="3989" w:type="dxa"/>
            <w:gridSpan w:val="8"/>
            <w:vMerge w:val="continue"/>
            <w:tcBorders>
              <w:top w:val="single" w:color="auto" w:sz="4" w:space="0"/>
              <w:left w:val="single" w:color="auto" w:sz="4" w:space="0"/>
              <w:bottom w:val="single" w:color="auto" w:sz="4" w:space="0"/>
              <w:right w:val="single" w:color="auto" w:sz="4" w:space="0"/>
            </w:tcBorders>
            <w:vAlign w:val="center"/>
          </w:tcPr>
          <w:p>
            <w:pPr>
              <w:jc w:val="center"/>
              <w:rPr>
                <w:szCs w:val="24"/>
              </w:rPr>
            </w:pPr>
          </w:p>
        </w:tc>
        <w:tc>
          <w:tcPr>
            <w:tcW w:w="1349"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股份种类</w:t>
            </w:r>
          </w:p>
        </w:tc>
        <w:tc>
          <w:tcPr>
            <w:tcW w:w="1349"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数量</w:t>
            </w:r>
          </w:p>
        </w:tc>
      </w:tr>
      <w:tr>
        <w:tblPrEx>
          <w:tblLayout w:type="fixed"/>
          <w:tblCellMar>
            <w:top w:w="0" w:type="dxa"/>
            <w:left w:w="28" w:type="dxa"/>
            <w:bottom w:w="0" w:type="dxa"/>
            <w:right w:w="28" w:type="dxa"/>
          </w:tblCellMar>
        </w:tblPrEx>
        <w:tc>
          <w:tcPr>
            <w:tcW w:w="2880" w:type="dxa"/>
            <w:gridSpan w:val="4"/>
            <w:vMerge w:val="restart"/>
            <w:tcBorders>
              <w:top w:val="single" w:color="auto" w:sz="4" w:space="0"/>
              <w:left w:val="single" w:color="auto" w:sz="4" w:space="0"/>
              <w:bottom w:val="single" w:color="auto" w:sz="4" w:space="0"/>
              <w:right w:val="single" w:color="auto" w:sz="4" w:space="0"/>
            </w:tcBorders>
            <w:vAlign w:val="center"/>
          </w:tcPr>
          <w:p>
            <w:pPr>
              <w:jc w:val="left"/>
              <w:rPr>
                <w:szCs w:val="24"/>
              </w:rPr>
            </w:pPr>
            <w:r>
              <w:rPr>
                <w:rFonts w:hint="eastAsia"/>
                <w:szCs w:val="24"/>
              </w:rPr>
              <w:t>魏法军</w:t>
            </w:r>
          </w:p>
        </w:tc>
        <w:tc>
          <w:tcPr>
            <w:tcW w:w="3989" w:type="dxa"/>
            <w:gridSpan w:val="8"/>
            <w:vMerge w:val="restart"/>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20,549,924</w:t>
            </w:r>
          </w:p>
        </w:tc>
        <w:tc>
          <w:tcPr>
            <w:tcW w:w="1349"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人民币普通股</w:t>
            </w:r>
          </w:p>
        </w:tc>
        <w:tc>
          <w:tcPr>
            <w:tcW w:w="1349"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20,549,924</w:t>
            </w:r>
          </w:p>
        </w:tc>
      </w:tr>
      <w:tr>
        <w:tblPrEx>
          <w:tblLayout w:type="fixed"/>
          <w:tblCellMar>
            <w:top w:w="0" w:type="dxa"/>
            <w:left w:w="28" w:type="dxa"/>
            <w:bottom w:w="0" w:type="dxa"/>
            <w:right w:w="28" w:type="dxa"/>
          </w:tblCellMar>
        </w:tblPrEx>
        <w:tc>
          <w:tcPr>
            <w:tcW w:w="2880" w:type="dxa"/>
            <w:gridSpan w:val="4"/>
            <w:vMerge w:val="restart"/>
            <w:tcBorders>
              <w:top w:val="single" w:color="auto" w:sz="4" w:space="0"/>
              <w:left w:val="single" w:color="auto" w:sz="4" w:space="0"/>
              <w:bottom w:val="single" w:color="auto" w:sz="4" w:space="0"/>
              <w:right w:val="single" w:color="auto" w:sz="4" w:space="0"/>
            </w:tcBorders>
            <w:vAlign w:val="center"/>
          </w:tcPr>
          <w:p>
            <w:pPr>
              <w:jc w:val="left"/>
              <w:rPr>
                <w:szCs w:val="24"/>
              </w:rPr>
            </w:pPr>
            <w:r>
              <w:rPr>
                <w:rFonts w:hint="eastAsia"/>
                <w:szCs w:val="24"/>
              </w:rPr>
              <w:t>申万秋</w:t>
            </w:r>
          </w:p>
        </w:tc>
        <w:tc>
          <w:tcPr>
            <w:tcW w:w="3989" w:type="dxa"/>
            <w:gridSpan w:val="8"/>
            <w:vMerge w:val="restart"/>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10,210,711</w:t>
            </w:r>
          </w:p>
        </w:tc>
        <w:tc>
          <w:tcPr>
            <w:tcW w:w="1349"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人民币普通股</w:t>
            </w:r>
          </w:p>
        </w:tc>
        <w:tc>
          <w:tcPr>
            <w:tcW w:w="1349"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10,210,711</w:t>
            </w:r>
          </w:p>
        </w:tc>
      </w:tr>
      <w:tr>
        <w:tblPrEx>
          <w:tblLayout w:type="fixed"/>
          <w:tblCellMar>
            <w:top w:w="0" w:type="dxa"/>
            <w:left w:w="28" w:type="dxa"/>
            <w:bottom w:w="0" w:type="dxa"/>
            <w:right w:w="28" w:type="dxa"/>
          </w:tblCellMar>
        </w:tblPrEx>
        <w:tc>
          <w:tcPr>
            <w:tcW w:w="2880" w:type="dxa"/>
            <w:gridSpan w:val="4"/>
            <w:vMerge w:val="restart"/>
            <w:tcBorders>
              <w:top w:val="single" w:color="auto" w:sz="4" w:space="0"/>
              <w:left w:val="single" w:color="auto" w:sz="4" w:space="0"/>
              <w:bottom w:val="single" w:color="auto" w:sz="4" w:space="0"/>
              <w:right w:val="single" w:color="auto" w:sz="4" w:space="0"/>
            </w:tcBorders>
            <w:vAlign w:val="center"/>
          </w:tcPr>
          <w:p>
            <w:pPr>
              <w:jc w:val="left"/>
              <w:rPr>
                <w:szCs w:val="24"/>
              </w:rPr>
            </w:pPr>
            <w:r>
              <w:rPr>
                <w:rFonts w:hint="eastAsia"/>
                <w:szCs w:val="24"/>
              </w:rPr>
              <w:t>交通银行股份有限公司－博时新兴成长混合型证券投资基金</w:t>
            </w:r>
          </w:p>
        </w:tc>
        <w:tc>
          <w:tcPr>
            <w:tcW w:w="3989" w:type="dxa"/>
            <w:gridSpan w:val="8"/>
            <w:vMerge w:val="restart"/>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7,259,738</w:t>
            </w:r>
          </w:p>
        </w:tc>
        <w:tc>
          <w:tcPr>
            <w:tcW w:w="1349"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人民币普通股</w:t>
            </w:r>
          </w:p>
        </w:tc>
        <w:tc>
          <w:tcPr>
            <w:tcW w:w="1349"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7,259,738</w:t>
            </w:r>
          </w:p>
        </w:tc>
      </w:tr>
      <w:tr>
        <w:tblPrEx>
          <w:tblLayout w:type="fixed"/>
          <w:tblCellMar>
            <w:top w:w="0" w:type="dxa"/>
            <w:left w:w="28" w:type="dxa"/>
            <w:bottom w:w="0" w:type="dxa"/>
            <w:right w:w="28" w:type="dxa"/>
          </w:tblCellMar>
        </w:tblPrEx>
        <w:tc>
          <w:tcPr>
            <w:tcW w:w="2880" w:type="dxa"/>
            <w:gridSpan w:val="4"/>
            <w:vMerge w:val="restart"/>
            <w:tcBorders>
              <w:top w:val="single" w:color="auto" w:sz="4" w:space="0"/>
              <w:left w:val="single" w:color="auto" w:sz="4" w:space="0"/>
              <w:bottom w:val="single" w:color="auto" w:sz="4" w:space="0"/>
              <w:right w:val="single" w:color="auto" w:sz="4" w:space="0"/>
            </w:tcBorders>
            <w:vAlign w:val="center"/>
          </w:tcPr>
          <w:p>
            <w:pPr>
              <w:jc w:val="left"/>
              <w:rPr>
                <w:szCs w:val="24"/>
              </w:rPr>
            </w:pPr>
            <w:r>
              <w:rPr>
                <w:rFonts w:hint="eastAsia"/>
                <w:szCs w:val="24"/>
              </w:rPr>
              <w:t>中国工商银行－上投摩根内需动力股票型证券投资基金</w:t>
            </w:r>
          </w:p>
        </w:tc>
        <w:tc>
          <w:tcPr>
            <w:tcW w:w="3989" w:type="dxa"/>
            <w:gridSpan w:val="8"/>
            <w:vMerge w:val="restart"/>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5,837,597</w:t>
            </w:r>
          </w:p>
        </w:tc>
        <w:tc>
          <w:tcPr>
            <w:tcW w:w="1349"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人民币普通股</w:t>
            </w:r>
          </w:p>
        </w:tc>
        <w:tc>
          <w:tcPr>
            <w:tcW w:w="1349"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5,837,597</w:t>
            </w:r>
          </w:p>
        </w:tc>
      </w:tr>
      <w:tr>
        <w:tblPrEx>
          <w:tblLayout w:type="fixed"/>
          <w:tblCellMar>
            <w:top w:w="0" w:type="dxa"/>
            <w:left w:w="28" w:type="dxa"/>
            <w:bottom w:w="0" w:type="dxa"/>
            <w:right w:w="28" w:type="dxa"/>
          </w:tblCellMar>
        </w:tblPrEx>
        <w:tc>
          <w:tcPr>
            <w:tcW w:w="2880" w:type="dxa"/>
            <w:gridSpan w:val="4"/>
            <w:vMerge w:val="restart"/>
            <w:tcBorders>
              <w:top w:val="single" w:color="auto" w:sz="4" w:space="0"/>
              <w:left w:val="single" w:color="auto" w:sz="4" w:space="0"/>
              <w:bottom w:val="single" w:color="auto" w:sz="4" w:space="0"/>
              <w:right w:val="single" w:color="auto" w:sz="4" w:space="0"/>
            </w:tcBorders>
            <w:vAlign w:val="center"/>
          </w:tcPr>
          <w:p>
            <w:pPr>
              <w:jc w:val="left"/>
              <w:rPr>
                <w:szCs w:val="24"/>
              </w:rPr>
            </w:pPr>
            <w:r>
              <w:rPr>
                <w:rFonts w:hint="eastAsia"/>
                <w:szCs w:val="24"/>
              </w:rPr>
              <w:t>中国建设银行股份有限公司－富国中证军工指数分级证券投资基金</w:t>
            </w:r>
          </w:p>
        </w:tc>
        <w:tc>
          <w:tcPr>
            <w:tcW w:w="3989" w:type="dxa"/>
            <w:gridSpan w:val="8"/>
            <w:vMerge w:val="restart"/>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5,031,488</w:t>
            </w:r>
          </w:p>
        </w:tc>
        <w:tc>
          <w:tcPr>
            <w:tcW w:w="1349"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人民币普通股</w:t>
            </w:r>
          </w:p>
        </w:tc>
        <w:tc>
          <w:tcPr>
            <w:tcW w:w="1349"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5,031,488</w:t>
            </w:r>
          </w:p>
        </w:tc>
      </w:tr>
      <w:tr>
        <w:tblPrEx>
          <w:tblLayout w:type="fixed"/>
          <w:tblCellMar>
            <w:top w:w="0" w:type="dxa"/>
            <w:left w:w="28" w:type="dxa"/>
            <w:bottom w:w="0" w:type="dxa"/>
            <w:right w:w="28" w:type="dxa"/>
          </w:tblCellMar>
        </w:tblPrEx>
        <w:tc>
          <w:tcPr>
            <w:tcW w:w="2880" w:type="dxa"/>
            <w:gridSpan w:val="4"/>
            <w:vMerge w:val="restart"/>
            <w:tcBorders>
              <w:top w:val="single" w:color="auto" w:sz="4" w:space="0"/>
              <w:left w:val="single" w:color="auto" w:sz="4" w:space="0"/>
              <w:bottom w:val="single" w:color="auto" w:sz="4" w:space="0"/>
              <w:right w:val="single" w:color="auto" w:sz="4" w:space="0"/>
            </w:tcBorders>
            <w:vAlign w:val="center"/>
          </w:tcPr>
          <w:p>
            <w:pPr>
              <w:jc w:val="left"/>
              <w:rPr>
                <w:szCs w:val="24"/>
              </w:rPr>
            </w:pPr>
            <w:r>
              <w:rPr>
                <w:rFonts w:hint="eastAsia"/>
                <w:szCs w:val="24"/>
              </w:rPr>
              <w:t>中国建设银行股份有限公司－上投摩根民生需求股票型证券投资基金</w:t>
            </w:r>
          </w:p>
        </w:tc>
        <w:tc>
          <w:tcPr>
            <w:tcW w:w="3989" w:type="dxa"/>
            <w:gridSpan w:val="8"/>
            <w:vMerge w:val="restart"/>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3,305,917</w:t>
            </w:r>
          </w:p>
        </w:tc>
        <w:tc>
          <w:tcPr>
            <w:tcW w:w="1349"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人民币普通股</w:t>
            </w:r>
          </w:p>
        </w:tc>
        <w:tc>
          <w:tcPr>
            <w:tcW w:w="1349"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3,305,917</w:t>
            </w:r>
          </w:p>
        </w:tc>
      </w:tr>
      <w:tr>
        <w:tblPrEx>
          <w:tblLayout w:type="fixed"/>
          <w:tblCellMar>
            <w:top w:w="0" w:type="dxa"/>
            <w:left w:w="28" w:type="dxa"/>
            <w:bottom w:w="0" w:type="dxa"/>
            <w:right w:w="28" w:type="dxa"/>
          </w:tblCellMar>
        </w:tblPrEx>
        <w:tc>
          <w:tcPr>
            <w:tcW w:w="2880" w:type="dxa"/>
            <w:gridSpan w:val="4"/>
            <w:vMerge w:val="restart"/>
            <w:tcBorders>
              <w:top w:val="single" w:color="auto" w:sz="4" w:space="0"/>
              <w:left w:val="single" w:color="auto" w:sz="4" w:space="0"/>
              <w:bottom w:val="single" w:color="auto" w:sz="4" w:space="0"/>
              <w:right w:val="single" w:color="auto" w:sz="4" w:space="0"/>
            </w:tcBorders>
            <w:vAlign w:val="center"/>
          </w:tcPr>
          <w:p>
            <w:pPr>
              <w:jc w:val="left"/>
              <w:rPr>
                <w:szCs w:val="24"/>
              </w:rPr>
            </w:pPr>
            <w:r>
              <w:rPr>
                <w:rFonts w:hint="eastAsia"/>
                <w:szCs w:val="24"/>
              </w:rPr>
              <w:t>胡滢</w:t>
            </w:r>
          </w:p>
        </w:tc>
        <w:tc>
          <w:tcPr>
            <w:tcW w:w="3989" w:type="dxa"/>
            <w:gridSpan w:val="8"/>
            <w:vMerge w:val="restart"/>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3,107,000</w:t>
            </w:r>
          </w:p>
        </w:tc>
        <w:tc>
          <w:tcPr>
            <w:tcW w:w="1349"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人民币普通股</w:t>
            </w:r>
          </w:p>
        </w:tc>
        <w:tc>
          <w:tcPr>
            <w:tcW w:w="1349"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3,107,000</w:t>
            </w:r>
          </w:p>
        </w:tc>
      </w:tr>
      <w:tr>
        <w:tblPrEx>
          <w:tblLayout w:type="fixed"/>
          <w:tblCellMar>
            <w:top w:w="0" w:type="dxa"/>
            <w:left w:w="28" w:type="dxa"/>
            <w:bottom w:w="0" w:type="dxa"/>
            <w:right w:w="28" w:type="dxa"/>
          </w:tblCellMar>
        </w:tblPrEx>
        <w:tc>
          <w:tcPr>
            <w:tcW w:w="2880" w:type="dxa"/>
            <w:gridSpan w:val="4"/>
            <w:vMerge w:val="restart"/>
            <w:tcBorders>
              <w:top w:val="single" w:color="auto" w:sz="4" w:space="0"/>
              <w:left w:val="single" w:color="auto" w:sz="4" w:space="0"/>
              <w:bottom w:val="single" w:color="auto" w:sz="4" w:space="0"/>
              <w:right w:val="single" w:color="auto" w:sz="4" w:space="0"/>
            </w:tcBorders>
            <w:vAlign w:val="center"/>
          </w:tcPr>
          <w:p>
            <w:pPr>
              <w:jc w:val="left"/>
              <w:rPr>
                <w:szCs w:val="24"/>
              </w:rPr>
            </w:pPr>
            <w:r>
              <w:rPr>
                <w:rFonts w:hint="eastAsia"/>
                <w:szCs w:val="24"/>
              </w:rPr>
              <w:t>季爱琴</w:t>
            </w:r>
          </w:p>
        </w:tc>
        <w:tc>
          <w:tcPr>
            <w:tcW w:w="3989" w:type="dxa"/>
            <w:gridSpan w:val="8"/>
            <w:vMerge w:val="restart"/>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2,422,932</w:t>
            </w:r>
          </w:p>
        </w:tc>
        <w:tc>
          <w:tcPr>
            <w:tcW w:w="1349"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人民币普通股</w:t>
            </w:r>
          </w:p>
        </w:tc>
        <w:tc>
          <w:tcPr>
            <w:tcW w:w="1349"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2,422,932</w:t>
            </w:r>
          </w:p>
        </w:tc>
      </w:tr>
      <w:tr>
        <w:tblPrEx>
          <w:tblLayout w:type="fixed"/>
          <w:tblCellMar>
            <w:top w:w="0" w:type="dxa"/>
            <w:left w:w="28" w:type="dxa"/>
            <w:bottom w:w="0" w:type="dxa"/>
            <w:right w:w="28" w:type="dxa"/>
          </w:tblCellMar>
        </w:tblPrEx>
        <w:tc>
          <w:tcPr>
            <w:tcW w:w="2880" w:type="dxa"/>
            <w:gridSpan w:val="4"/>
            <w:vMerge w:val="restart"/>
            <w:tcBorders>
              <w:top w:val="single" w:color="auto" w:sz="4" w:space="0"/>
              <w:left w:val="single" w:color="auto" w:sz="4" w:space="0"/>
              <w:bottom w:val="single" w:color="auto" w:sz="4" w:space="0"/>
              <w:right w:val="single" w:color="auto" w:sz="4" w:space="0"/>
            </w:tcBorders>
            <w:vAlign w:val="center"/>
          </w:tcPr>
          <w:p>
            <w:pPr>
              <w:jc w:val="left"/>
              <w:rPr>
                <w:szCs w:val="24"/>
              </w:rPr>
            </w:pPr>
            <w:r>
              <w:rPr>
                <w:rFonts w:hint="eastAsia"/>
                <w:szCs w:val="24"/>
              </w:rPr>
              <w:t>广发期货有限公司</w:t>
            </w:r>
            <w:r>
              <w:rPr>
                <w:szCs w:val="24"/>
              </w:rPr>
              <w:t>-</w:t>
            </w:r>
            <w:r>
              <w:rPr>
                <w:rFonts w:hint="eastAsia"/>
                <w:szCs w:val="24"/>
              </w:rPr>
              <w:t>广发期慧</w:t>
            </w:r>
            <w:r>
              <w:rPr>
                <w:szCs w:val="24"/>
              </w:rPr>
              <w:t>1</w:t>
            </w:r>
            <w:r>
              <w:rPr>
                <w:rFonts w:hint="eastAsia"/>
                <w:szCs w:val="24"/>
              </w:rPr>
              <w:t>期资产管理计划</w:t>
            </w:r>
          </w:p>
        </w:tc>
        <w:tc>
          <w:tcPr>
            <w:tcW w:w="3989" w:type="dxa"/>
            <w:gridSpan w:val="8"/>
            <w:vMerge w:val="restart"/>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2,402,620</w:t>
            </w:r>
          </w:p>
        </w:tc>
        <w:tc>
          <w:tcPr>
            <w:tcW w:w="1349"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人民币普通股</w:t>
            </w:r>
          </w:p>
        </w:tc>
        <w:tc>
          <w:tcPr>
            <w:tcW w:w="1349"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2,402,620</w:t>
            </w:r>
          </w:p>
        </w:tc>
      </w:tr>
      <w:tr>
        <w:tblPrEx>
          <w:tblLayout w:type="fixed"/>
          <w:tblCellMar>
            <w:top w:w="0" w:type="dxa"/>
            <w:left w:w="28" w:type="dxa"/>
            <w:bottom w:w="0" w:type="dxa"/>
            <w:right w:w="28" w:type="dxa"/>
          </w:tblCellMar>
        </w:tblPrEx>
        <w:tc>
          <w:tcPr>
            <w:tcW w:w="2880" w:type="dxa"/>
            <w:gridSpan w:val="4"/>
            <w:vMerge w:val="restart"/>
            <w:tcBorders>
              <w:top w:val="single" w:color="auto" w:sz="4" w:space="0"/>
              <w:left w:val="single" w:color="auto" w:sz="4" w:space="0"/>
              <w:bottom w:val="single" w:color="auto" w:sz="4" w:space="0"/>
              <w:right w:val="single" w:color="auto" w:sz="4" w:space="0"/>
            </w:tcBorders>
            <w:vAlign w:val="center"/>
          </w:tcPr>
          <w:p>
            <w:pPr>
              <w:jc w:val="left"/>
              <w:rPr>
                <w:szCs w:val="24"/>
              </w:rPr>
            </w:pPr>
            <w:r>
              <w:rPr>
                <w:rFonts w:hint="eastAsia"/>
                <w:szCs w:val="24"/>
              </w:rPr>
              <w:t>高雅萍</w:t>
            </w:r>
          </w:p>
        </w:tc>
        <w:tc>
          <w:tcPr>
            <w:tcW w:w="3989" w:type="dxa"/>
            <w:gridSpan w:val="8"/>
            <w:vMerge w:val="restart"/>
            <w:tcBorders>
              <w:top w:val="single" w:color="auto" w:sz="4" w:space="0"/>
              <w:left w:val="single" w:color="auto" w:sz="4" w:space="0"/>
              <w:bottom w:val="single" w:color="auto" w:sz="4" w:space="0"/>
              <w:right w:val="single" w:color="auto" w:sz="4" w:space="0"/>
            </w:tcBorders>
            <w:vAlign w:val="center"/>
          </w:tcPr>
          <w:p>
            <w:pPr>
              <w:jc w:val="right"/>
              <w:rPr>
                <w:szCs w:val="24"/>
              </w:rPr>
            </w:pPr>
            <w:r>
              <w:rPr>
                <w:szCs w:val="24"/>
              </w:rPr>
              <w:t>2,299,300</w:t>
            </w:r>
          </w:p>
        </w:tc>
        <w:tc>
          <w:tcPr>
            <w:tcW w:w="1349"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人民币普通股</w:t>
            </w:r>
          </w:p>
        </w:tc>
        <w:tc>
          <w:tcPr>
            <w:tcW w:w="1349"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2,299,300</w:t>
            </w:r>
          </w:p>
        </w:tc>
      </w:tr>
      <w:tr>
        <w:tblPrEx>
          <w:tblLayout w:type="fixed"/>
          <w:tblCellMar>
            <w:top w:w="0" w:type="dxa"/>
            <w:left w:w="28" w:type="dxa"/>
            <w:bottom w:w="0" w:type="dxa"/>
            <w:right w:w="28" w:type="dxa"/>
          </w:tblCellMar>
        </w:tblPrEx>
        <w:tc>
          <w:tcPr>
            <w:tcW w:w="2880" w:type="dxa"/>
            <w:gridSpan w:val="4"/>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前</w:t>
            </w:r>
            <w:r>
              <w:rPr>
                <w:szCs w:val="24"/>
              </w:rPr>
              <w:t>10</w:t>
            </w:r>
            <w:r>
              <w:rPr>
                <w:rFonts w:hint="eastAsia"/>
                <w:szCs w:val="24"/>
              </w:rPr>
              <w:t>名无限售流通股股东之间，以及前</w:t>
            </w:r>
            <w:r>
              <w:rPr>
                <w:szCs w:val="24"/>
              </w:rPr>
              <w:t>10</w:t>
            </w:r>
            <w:r>
              <w:rPr>
                <w:rFonts w:hint="eastAsia"/>
                <w:szCs w:val="24"/>
              </w:rPr>
              <w:t>名无限售流通股股东和前</w:t>
            </w:r>
            <w:r>
              <w:rPr>
                <w:szCs w:val="24"/>
              </w:rPr>
              <w:t>10</w:t>
            </w:r>
            <w:r>
              <w:rPr>
                <w:rFonts w:hint="eastAsia"/>
                <w:szCs w:val="24"/>
              </w:rPr>
              <w:t>名股东之间关联关系或一致行动的说明</w:t>
            </w:r>
          </w:p>
        </w:tc>
        <w:tc>
          <w:tcPr>
            <w:tcW w:w="6687" w:type="dxa"/>
            <w:gridSpan w:val="12"/>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无</w:t>
            </w:r>
          </w:p>
        </w:tc>
      </w:tr>
      <w:tr>
        <w:tblPrEx>
          <w:tblLayout w:type="fixed"/>
          <w:tblCellMar>
            <w:top w:w="0" w:type="dxa"/>
            <w:left w:w="28" w:type="dxa"/>
            <w:bottom w:w="0" w:type="dxa"/>
            <w:right w:w="28" w:type="dxa"/>
          </w:tblCellMar>
        </w:tblPrEx>
        <w:tc>
          <w:tcPr>
            <w:tcW w:w="2880" w:type="dxa"/>
            <w:gridSpan w:val="4"/>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参与融资融券业务股东情况说明（如有）（参见注</w:t>
            </w:r>
            <w:r>
              <w:rPr>
                <w:szCs w:val="24"/>
              </w:rPr>
              <w:t>5</w:t>
            </w:r>
            <w:r>
              <w:rPr>
                <w:rFonts w:hint="eastAsia"/>
                <w:szCs w:val="24"/>
              </w:rPr>
              <w:t>）</w:t>
            </w:r>
          </w:p>
        </w:tc>
        <w:tc>
          <w:tcPr>
            <w:tcW w:w="6687" w:type="dxa"/>
            <w:gridSpan w:val="12"/>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公司股东季爱琴未通过普通证券账户持股，全部通过中国国际金融股份有限公司客户信用交易担保证券账户持股，合计持股</w:t>
            </w:r>
            <w:r>
              <w:rPr>
                <w:szCs w:val="24"/>
              </w:rPr>
              <w:t>2,422,932</w:t>
            </w:r>
            <w:r>
              <w:rPr>
                <w:rFonts w:hint="eastAsia"/>
                <w:szCs w:val="24"/>
              </w:rPr>
              <w:t>股；公司股东广发期货有限公司</w:t>
            </w:r>
            <w:r>
              <w:rPr>
                <w:szCs w:val="24"/>
              </w:rPr>
              <w:t>-</w:t>
            </w:r>
            <w:r>
              <w:rPr>
                <w:rFonts w:hint="eastAsia"/>
                <w:szCs w:val="24"/>
              </w:rPr>
              <w:t>广发期慧</w:t>
            </w:r>
            <w:r>
              <w:rPr>
                <w:szCs w:val="24"/>
              </w:rPr>
              <w:t>1</w:t>
            </w:r>
            <w:r>
              <w:rPr>
                <w:rFonts w:hint="eastAsia"/>
                <w:szCs w:val="24"/>
              </w:rPr>
              <w:t>期资产管理计划未通过普通证券账户持股，全部通过广发证券股份有限公司客户信用交易担保证券账户持股，合计持有</w:t>
            </w:r>
            <w:r>
              <w:rPr>
                <w:szCs w:val="24"/>
              </w:rPr>
              <w:t>2,402,620</w:t>
            </w:r>
            <w:r>
              <w:rPr>
                <w:rFonts w:hint="eastAsia"/>
                <w:szCs w:val="24"/>
              </w:rPr>
              <w:t>股；公司股东高雅萍未通过普通证券账户持股，全部通过中国银河证券股份有限公司客户信用交易担保证券账户持股，合计持股</w:t>
            </w:r>
            <w:r>
              <w:rPr>
                <w:szCs w:val="24"/>
              </w:rPr>
              <w:t>2,299,300</w:t>
            </w:r>
            <w:r>
              <w:rPr>
                <w:rFonts w:hint="eastAsia"/>
                <w:szCs w:val="24"/>
              </w:rPr>
              <w:t>股。</w:t>
            </w:r>
          </w:p>
        </w:tc>
      </w:tr>
    </w:tbl>
    <w:p>
      <w:pPr>
        <w:jc w:val="left"/>
        <w:rPr>
          <w:szCs w:val="24"/>
        </w:rPr>
      </w:pPr>
      <w:r>
        <w:rPr>
          <w:rFonts w:hint="eastAsia"/>
          <w:szCs w:val="24"/>
        </w:rPr>
        <w:t>公司前</w:t>
      </w:r>
      <w:r>
        <w:rPr>
          <w:szCs w:val="24"/>
        </w:rPr>
        <w:t>10</w:t>
      </w:r>
      <w:r>
        <w:rPr>
          <w:rFonts w:hint="eastAsia"/>
          <w:szCs w:val="24"/>
        </w:rPr>
        <w:t>名普通股股东、前</w:t>
      </w:r>
      <w:r>
        <w:rPr>
          <w:szCs w:val="24"/>
        </w:rPr>
        <w:t>10</w:t>
      </w:r>
      <w:r>
        <w:rPr>
          <w:rFonts w:hint="eastAsia"/>
          <w:szCs w:val="24"/>
        </w:rPr>
        <w:t>名无限售条件普通股股东在报告期内是否进行约定购回交易</w:t>
      </w:r>
    </w:p>
    <w:p>
      <w:pPr>
        <w:jc w:val="left"/>
        <w:rPr>
          <w:szCs w:val="24"/>
        </w:rPr>
      </w:pPr>
      <w:r>
        <w:rPr>
          <w:szCs w:val="24"/>
        </w:rPr>
        <w:t xml:space="preserve">□ </w:t>
      </w:r>
      <w:r>
        <w:rPr>
          <w:rFonts w:hint="eastAsia"/>
          <w:szCs w:val="24"/>
        </w:rPr>
        <w:t>是</w:t>
      </w:r>
      <w:r>
        <w:rPr>
          <w:szCs w:val="24"/>
        </w:rPr>
        <w:t xml:space="preserve"> √ </w:t>
      </w:r>
      <w:r>
        <w:rPr>
          <w:rFonts w:hint="eastAsia"/>
          <w:szCs w:val="24"/>
        </w:rPr>
        <w:t>否</w:t>
      </w:r>
      <w:r>
        <w:rPr>
          <w:szCs w:val="24"/>
        </w:rPr>
        <w:t xml:space="preserve"> </w:t>
      </w:r>
    </w:p>
    <w:p>
      <w:pPr>
        <w:jc w:val="left"/>
        <w:rPr>
          <w:szCs w:val="24"/>
        </w:rPr>
      </w:pPr>
      <w:r>
        <w:rPr>
          <w:rFonts w:hint="eastAsia"/>
          <w:szCs w:val="24"/>
        </w:rPr>
        <w:t>公司前</w:t>
      </w:r>
      <w:r>
        <w:rPr>
          <w:szCs w:val="24"/>
        </w:rPr>
        <w:t>10</w:t>
      </w:r>
      <w:r>
        <w:rPr>
          <w:rFonts w:hint="eastAsia"/>
          <w:szCs w:val="24"/>
        </w:rPr>
        <w:t>名普通股股东、前</w:t>
      </w:r>
      <w:r>
        <w:rPr>
          <w:szCs w:val="24"/>
        </w:rPr>
        <w:t>10</w:t>
      </w:r>
      <w:r>
        <w:rPr>
          <w:rFonts w:hint="eastAsia"/>
          <w:szCs w:val="24"/>
        </w:rPr>
        <w:t>名无限售条件普通股股东在报告期内未进行约定购回交易。</w:t>
      </w:r>
    </w:p>
    <w:p>
      <w:pPr>
        <w:pStyle w:val="11"/>
        <w:outlineLvl w:val="2"/>
        <w:rPr>
          <w:bCs w:val="0"/>
          <w:szCs w:val="24"/>
        </w:rPr>
      </w:pPr>
      <w:r>
        <w:rPr>
          <w:bCs w:val="0"/>
          <w:szCs w:val="24"/>
        </w:rPr>
        <w:t>2</w:t>
      </w:r>
      <w:r>
        <w:rPr>
          <w:rFonts w:hint="eastAsia"/>
          <w:bCs w:val="0"/>
          <w:szCs w:val="24"/>
        </w:rPr>
        <w:t>、公司控股股东情况</w:t>
      </w:r>
    </w:p>
    <w:p>
      <w:pPr>
        <w:jc w:val="left"/>
        <w:rPr>
          <w:szCs w:val="24"/>
        </w:rPr>
      </w:pPr>
      <w:r>
        <w:rPr>
          <w:rFonts w:hint="eastAsia"/>
          <w:szCs w:val="24"/>
        </w:rPr>
        <w:t>控股股东性质：自然人控股</w:t>
      </w:r>
    </w:p>
    <w:p>
      <w:pPr>
        <w:jc w:val="left"/>
        <w:rPr>
          <w:szCs w:val="24"/>
        </w:rPr>
      </w:pPr>
      <w:r>
        <w:rPr>
          <w:rFonts w:hint="eastAsia"/>
          <w:szCs w:val="24"/>
        </w:rPr>
        <w:t>控股股东类型：自然人</w:t>
      </w:r>
    </w:p>
    <w:tbl>
      <w:tblPr>
        <w:tblStyle w:val="8"/>
        <w:tblW w:w="9567" w:type="dxa"/>
        <w:tblInd w:w="28" w:type="dxa"/>
        <w:tblLayout w:type="fixed"/>
        <w:tblCellMar>
          <w:top w:w="0" w:type="dxa"/>
          <w:left w:w="28" w:type="dxa"/>
          <w:bottom w:w="0" w:type="dxa"/>
          <w:right w:w="28" w:type="dxa"/>
        </w:tblCellMar>
      </w:tblPr>
      <w:tblGrid>
        <w:gridCol w:w="3417"/>
        <w:gridCol w:w="2030"/>
        <w:gridCol w:w="4120"/>
      </w:tblGrid>
      <w:tr>
        <w:tblPrEx>
          <w:tblLayout w:type="fixed"/>
        </w:tblPrEx>
        <w:tc>
          <w:tcPr>
            <w:tcW w:w="341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控股股东姓名</w:t>
            </w:r>
          </w:p>
        </w:tc>
        <w:tc>
          <w:tcPr>
            <w:tcW w:w="203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国籍</w:t>
            </w:r>
          </w:p>
        </w:tc>
        <w:tc>
          <w:tcPr>
            <w:tcW w:w="412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是否取得其他国家或地区居留权</w:t>
            </w:r>
          </w:p>
        </w:tc>
      </w:tr>
      <w:tr>
        <w:tblPrEx>
          <w:tblLayout w:type="fixed"/>
          <w:tblCellMar>
            <w:top w:w="0" w:type="dxa"/>
            <w:left w:w="28" w:type="dxa"/>
            <w:bottom w:w="0" w:type="dxa"/>
            <w:right w:w="28" w:type="dxa"/>
          </w:tblCellMar>
        </w:tblPrEx>
        <w:tc>
          <w:tcPr>
            <w:tcW w:w="341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申万秋</w:t>
            </w:r>
          </w:p>
        </w:tc>
        <w:tc>
          <w:tcPr>
            <w:tcW w:w="203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中国</w:t>
            </w:r>
          </w:p>
        </w:tc>
        <w:tc>
          <w:tcPr>
            <w:tcW w:w="412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341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主要职业及职务</w:t>
            </w:r>
          </w:p>
        </w:tc>
        <w:tc>
          <w:tcPr>
            <w:tcW w:w="6150"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本公司董事长</w:t>
            </w:r>
          </w:p>
        </w:tc>
      </w:tr>
      <w:tr>
        <w:tblPrEx>
          <w:tblLayout w:type="fixed"/>
          <w:tblCellMar>
            <w:top w:w="0" w:type="dxa"/>
            <w:left w:w="28" w:type="dxa"/>
            <w:bottom w:w="0" w:type="dxa"/>
            <w:right w:w="28" w:type="dxa"/>
          </w:tblCellMar>
        </w:tblPrEx>
        <w:tc>
          <w:tcPr>
            <w:tcW w:w="341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报告期内控股和参股的其他境内外上市公司的股权情况</w:t>
            </w:r>
          </w:p>
        </w:tc>
        <w:tc>
          <w:tcPr>
            <w:tcW w:w="6150"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无</w:t>
            </w:r>
          </w:p>
        </w:tc>
      </w:tr>
    </w:tbl>
    <w:p>
      <w:pPr>
        <w:jc w:val="left"/>
        <w:rPr>
          <w:szCs w:val="24"/>
        </w:rPr>
      </w:pPr>
      <w:r>
        <w:rPr>
          <w:rFonts w:hint="eastAsia"/>
          <w:szCs w:val="24"/>
        </w:rPr>
        <w:t>控股股东报告期内变更</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tbl>
      <w:tblPr>
        <w:tblStyle w:val="8"/>
        <w:tblW w:w="9568" w:type="dxa"/>
        <w:tblInd w:w="28" w:type="dxa"/>
        <w:tblLayout w:type="fixed"/>
        <w:tblCellMar>
          <w:top w:w="0" w:type="dxa"/>
          <w:left w:w="28" w:type="dxa"/>
          <w:bottom w:w="0" w:type="dxa"/>
          <w:right w:w="28" w:type="dxa"/>
        </w:tblCellMar>
      </w:tblPr>
      <w:tblGrid>
        <w:gridCol w:w="4784"/>
        <w:gridCol w:w="4784"/>
      </w:tblGrid>
      <w:tr>
        <w:tblPrEx>
          <w:tblLayout w:type="fixed"/>
          <w:tblCellMar>
            <w:top w:w="0" w:type="dxa"/>
            <w:left w:w="28" w:type="dxa"/>
            <w:bottom w:w="0" w:type="dxa"/>
            <w:right w:w="28" w:type="dxa"/>
          </w:tblCellMar>
        </w:tblPrEx>
        <w:tc>
          <w:tcPr>
            <w:tcW w:w="478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新控股股东名称</w:t>
            </w:r>
          </w:p>
        </w:tc>
        <w:tc>
          <w:tcPr>
            <w:tcW w:w="47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申万秋</w:t>
            </w:r>
          </w:p>
        </w:tc>
      </w:tr>
      <w:tr>
        <w:tblPrEx>
          <w:tblLayout w:type="fixed"/>
          <w:tblCellMar>
            <w:top w:w="0" w:type="dxa"/>
            <w:left w:w="28" w:type="dxa"/>
            <w:bottom w:w="0" w:type="dxa"/>
            <w:right w:w="28" w:type="dxa"/>
          </w:tblCellMar>
        </w:tblPrEx>
        <w:tc>
          <w:tcPr>
            <w:tcW w:w="478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变更日期</w:t>
            </w:r>
          </w:p>
        </w:tc>
        <w:tc>
          <w:tcPr>
            <w:tcW w:w="47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01</w:t>
            </w:r>
            <w:r>
              <w:rPr>
                <w:rFonts w:hint="eastAsia"/>
                <w:szCs w:val="24"/>
              </w:rPr>
              <w:t>月</w:t>
            </w:r>
            <w:r>
              <w:rPr>
                <w:szCs w:val="24"/>
              </w:rPr>
              <w:t>05</w:t>
            </w:r>
            <w:r>
              <w:rPr>
                <w:rFonts w:hint="eastAsia"/>
                <w:szCs w:val="24"/>
              </w:rPr>
              <w:t>日</w:t>
            </w:r>
          </w:p>
        </w:tc>
      </w:tr>
      <w:tr>
        <w:tblPrEx>
          <w:tblLayout w:type="fixed"/>
          <w:tblCellMar>
            <w:top w:w="0" w:type="dxa"/>
            <w:left w:w="28" w:type="dxa"/>
            <w:bottom w:w="0" w:type="dxa"/>
            <w:right w:w="28" w:type="dxa"/>
          </w:tblCellMar>
        </w:tblPrEx>
        <w:tc>
          <w:tcPr>
            <w:tcW w:w="478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指定网站查询索引</w:t>
            </w:r>
          </w:p>
        </w:tc>
        <w:tc>
          <w:tcPr>
            <w:tcW w:w="47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巨潮资讯网</w:t>
            </w:r>
            <w:r>
              <w:rPr>
                <w:szCs w:val="24"/>
              </w:rPr>
              <w:t>2016-001</w:t>
            </w:r>
            <w:r>
              <w:rPr>
                <w:rFonts w:hint="eastAsia"/>
                <w:szCs w:val="24"/>
              </w:rPr>
              <w:t>关于公司控股股东、实际控制人变更的提示性公告</w:t>
            </w:r>
          </w:p>
        </w:tc>
      </w:tr>
      <w:tr>
        <w:tblPrEx>
          <w:tblLayout w:type="fixed"/>
          <w:tblCellMar>
            <w:top w:w="0" w:type="dxa"/>
            <w:left w:w="28" w:type="dxa"/>
            <w:bottom w:w="0" w:type="dxa"/>
            <w:right w:w="28" w:type="dxa"/>
          </w:tblCellMar>
        </w:tblPrEx>
        <w:tc>
          <w:tcPr>
            <w:tcW w:w="478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指定网站披露日期</w:t>
            </w:r>
          </w:p>
        </w:tc>
        <w:tc>
          <w:tcPr>
            <w:tcW w:w="47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01</w:t>
            </w:r>
            <w:r>
              <w:rPr>
                <w:rFonts w:hint="eastAsia"/>
                <w:szCs w:val="24"/>
              </w:rPr>
              <w:t>月</w:t>
            </w:r>
            <w:r>
              <w:rPr>
                <w:szCs w:val="24"/>
              </w:rPr>
              <w:t>05</w:t>
            </w:r>
            <w:r>
              <w:rPr>
                <w:rFonts w:hint="eastAsia"/>
                <w:szCs w:val="24"/>
              </w:rPr>
              <w:t>日</w:t>
            </w:r>
          </w:p>
        </w:tc>
      </w:tr>
    </w:tbl>
    <w:p>
      <w:pPr>
        <w:pStyle w:val="11"/>
        <w:outlineLvl w:val="2"/>
        <w:rPr>
          <w:bCs w:val="0"/>
          <w:szCs w:val="24"/>
        </w:rPr>
      </w:pPr>
      <w:r>
        <w:rPr>
          <w:bCs w:val="0"/>
          <w:szCs w:val="24"/>
        </w:rPr>
        <w:t>3</w:t>
      </w:r>
      <w:r>
        <w:rPr>
          <w:rFonts w:hint="eastAsia"/>
          <w:bCs w:val="0"/>
          <w:szCs w:val="24"/>
        </w:rPr>
        <w:t>、公司实际控制人情况</w:t>
      </w:r>
    </w:p>
    <w:p>
      <w:pPr>
        <w:jc w:val="left"/>
        <w:rPr>
          <w:szCs w:val="24"/>
        </w:rPr>
      </w:pPr>
      <w:r>
        <w:rPr>
          <w:rFonts w:hint="eastAsia"/>
          <w:szCs w:val="24"/>
        </w:rPr>
        <w:t>实际控制人性质：境内自然人</w:t>
      </w:r>
    </w:p>
    <w:p>
      <w:pPr>
        <w:jc w:val="left"/>
        <w:rPr>
          <w:szCs w:val="24"/>
        </w:rPr>
      </w:pPr>
      <w:r>
        <w:rPr>
          <w:rFonts w:hint="eastAsia"/>
          <w:szCs w:val="24"/>
        </w:rPr>
        <w:t>实际控制人类型：自然人</w:t>
      </w:r>
    </w:p>
    <w:tbl>
      <w:tblPr>
        <w:tblStyle w:val="8"/>
        <w:tblW w:w="9568" w:type="dxa"/>
        <w:tblInd w:w="28" w:type="dxa"/>
        <w:tblLayout w:type="fixed"/>
        <w:tblCellMar>
          <w:top w:w="0" w:type="dxa"/>
          <w:left w:w="28" w:type="dxa"/>
          <w:bottom w:w="0" w:type="dxa"/>
          <w:right w:w="28" w:type="dxa"/>
        </w:tblCellMar>
      </w:tblPr>
      <w:tblGrid>
        <w:gridCol w:w="3335"/>
        <w:gridCol w:w="2057"/>
        <w:gridCol w:w="4176"/>
      </w:tblGrid>
      <w:tr>
        <w:tblPrEx>
          <w:tblLayout w:type="fixed"/>
          <w:tblCellMar>
            <w:top w:w="0" w:type="dxa"/>
            <w:left w:w="28" w:type="dxa"/>
            <w:bottom w:w="0" w:type="dxa"/>
            <w:right w:w="28" w:type="dxa"/>
          </w:tblCellMar>
        </w:tblPrEx>
        <w:tc>
          <w:tcPr>
            <w:tcW w:w="333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实际控制人姓名</w:t>
            </w:r>
          </w:p>
        </w:tc>
        <w:tc>
          <w:tcPr>
            <w:tcW w:w="205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国籍</w:t>
            </w:r>
          </w:p>
        </w:tc>
        <w:tc>
          <w:tcPr>
            <w:tcW w:w="417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是否取得其他国家或地区居留权</w:t>
            </w:r>
          </w:p>
        </w:tc>
      </w:tr>
      <w:tr>
        <w:tblPrEx>
          <w:tblLayout w:type="fixed"/>
          <w:tblCellMar>
            <w:top w:w="0" w:type="dxa"/>
            <w:left w:w="28" w:type="dxa"/>
            <w:bottom w:w="0" w:type="dxa"/>
            <w:right w:w="28" w:type="dxa"/>
          </w:tblCellMar>
        </w:tblPrEx>
        <w:tc>
          <w:tcPr>
            <w:tcW w:w="333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申万秋</w:t>
            </w:r>
          </w:p>
        </w:tc>
        <w:tc>
          <w:tcPr>
            <w:tcW w:w="205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中国</w:t>
            </w:r>
          </w:p>
        </w:tc>
        <w:tc>
          <w:tcPr>
            <w:tcW w:w="417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333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主要职业及职务</w:t>
            </w:r>
          </w:p>
        </w:tc>
        <w:tc>
          <w:tcPr>
            <w:tcW w:w="6233"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本公司董事长</w:t>
            </w:r>
          </w:p>
        </w:tc>
      </w:tr>
      <w:tr>
        <w:tblPrEx>
          <w:tblLayout w:type="fixed"/>
          <w:tblCellMar>
            <w:top w:w="0" w:type="dxa"/>
            <w:left w:w="28" w:type="dxa"/>
            <w:bottom w:w="0" w:type="dxa"/>
            <w:right w:w="28" w:type="dxa"/>
          </w:tblCellMar>
        </w:tblPrEx>
        <w:tc>
          <w:tcPr>
            <w:tcW w:w="333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过去</w:t>
            </w:r>
            <w:r>
              <w:rPr>
                <w:szCs w:val="24"/>
              </w:rPr>
              <w:t>10</w:t>
            </w:r>
            <w:r>
              <w:rPr>
                <w:rFonts w:hint="eastAsia"/>
                <w:szCs w:val="24"/>
              </w:rPr>
              <w:t>年曾控股的境内外上市公司情况</w:t>
            </w:r>
          </w:p>
        </w:tc>
        <w:tc>
          <w:tcPr>
            <w:tcW w:w="6233"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无</w:t>
            </w:r>
          </w:p>
        </w:tc>
      </w:tr>
    </w:tbl>
    <w:p>
      <w:pPr>
        <w:jc w:val="left"/>
        <w:rPr>
          <w:szCs w:val="24"/>
        </w:rPr>
      </w:pPr>
      <w:r>
        <w:rPr>
          <w:rFonts w:hint="eastAsia"/>
          <w:szCs w:val="24"/>
        </w:rPr>
        <w:t>实际控制人报告期内变更</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tbl>
      <w:tblPr>
        <w:tblStyle w:val="8"/>
        <w:tblW w:w="9568" w:type="dxa"/>
        <w:tblInd w:w="28" w:type="dxa"/>
        <w:tblLayout w:type="fixed"/>
        <w:tblCellMar>
          <w:top w:w="0" w:type="dxa"/>
          <w:left w:w="28" w:type="dxa"/>
          <w:bottom w:w="0" w:type="dxa"/>
          <w:right w:w="28" w:type="dxa"/>
        </w:tblCellMar>
      </w:tblPr>
      <w:tblGrid>
        <w:gridCol w:w="4784"/>
        <w:gridCol w:w="4784"/>
      </w:tblGrid>
      <w:tr>
        <w:tblPrEx>
          <w:tblLayout w:type="fixed"/>
          <w:tblCellMar>
            <w:top w:w="0" w:type="dxa"/>
            <w:left w:w="28" w:type="dxa"/>
            <w:bottom w:w="0" w:type="dxa"/>
            <w:right w:w="28" w:type="dxa"/>
          </w:tblCellMar>
        </w:tblPrEx>
        <w:tc>
          <w:tcPr>
            <w:tcW w:w="478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新实际控制人名称</w:t>
            </w:r>
          </w:p>
        </w:tc>
        <w:tc>
          <w:tcPr>
            <w:tcW w:w="47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申万秋</w:t>
            </w:r>
          </w:p>
        </w:tc>
      </w:tr>
      <w:tr>
        <w:tblPrEx>
          <w:tblLayout w:type="fixed"/>
          <w:tblCellMar>
            <w:top w:w="0" w:type="dxa"/>
            <w:left w:w="28" w:type="dxa"/>
            <w:bottom w:w="0" w:type="dxa"/>
            <w:right w:w="28" w:type="dxa"/>
          </w:tblCellMar>
        </w:tblPrEx>
        <w:tc>
          <w:tcPr>
            <w:tcW w:w="478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变更日期</w:t>
            </w:r>
          </w:p>
        </w:tc>
        <w:tc>
          <w:tcPr>
            <w:tcW w:w="47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01</w:t>
            </w:r>
            <w:r>
              <w:rPr>
                <w:rFonts w:hint="eastAsia"/>
                <w:szCs w:val="24"/>
              </w:rPr>
              <w:t>月</w:t>
            </w:r>
            <w:r>
              <w:rPr>
                <w:szCs w:val="24"/>
              </w:rPr>
              <w:t>05</w:t>
            </w:r>
            <w:r>
              <w:rPr>
                <w:rFonts w:hint="eastAsia"/>
                <w:szCs w:val="24"/>
              </w:rPr>
              <w:t>日</w:t>
            </w:r>
          </w:p>
        </w:tc>
      </w:tr>
      <w:tr>
        <w:tblPrEx>
          <w:tblLayout w:type="fixed"/>
          <w:tblCellMar>
            <w:top w:w="0" w:type="dxa"/>
            <w:left w:w="28" w:type="dxa"/>
            <w:bottom w:w="0" w:type="dxa"/>
            <w:right w:w="28" w:type="dxa"/>
          </w:tblCellMar>
        </w:tblPrEx>
        <w:tc>
          <w:tcPr>
            <w:tcW w:w="478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指定网站查询索引</w:t>
            </w:r>
          </w:p>
        </w:tc>
        <w:tc>
          <w:tcPr>
            <w:tcW w:w="47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巨潮资讯网</w:t>
            </w:r>
            <w:r>
              <w:rPr>
                <w:szCs w:val="24"/>
              </w:rPr>
              <w:t>2016-001</w:t>
            </w:r>
            <w:r>
              <w:rPr>
                <w:rFonts w:hint="eastAsia"/>
                <w:szCs w:val="24"/>
              </w:rPr>
              <w:t>关于公司控股股东、实际控制人变更的提示性公告</w:t>
            </w:r>
          </w:p>
        </w:tc>
      </w:tr>
      <w:tr>
        <w:tblPrEx>
          <w:tblLayout w:type="fixed"/>
          <w:tblCellMar>
            <w:top w:w="0" w:type="dxa"/>
            <w:left w:w="28" w:type="dxa"/>
            <w:bottom w:w="0" w:type="dxa"/>
            <w:right w:w="28" w:type="dxa"/>
          </w:tblCellMar>
        </w:tblPrEx>
        <w:tc>
          <w:tcPr>
            <w:tcW w:w="478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指定网站披露日期</w:t>
            </w:r>
          </w:p>
        </w:tc>
        <w:tc>
          <w:tcPr>
            <w:tcW w:w="47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01</w:t>
            </w:r>
            <w:r>
              <w:rPr>
                <w:rFonts w:hint="eastAsia"/>
                <w:szCs w:val="24"/>
              </w:rPr>
              <w:t>月</w:t>
            </w:r>
            <w:r>
              <w:rPr>
                <w:szCs w:val="24"/>
              </w:rPr>
              <w:t>05</w:t>
            </w:r>
            <w:r>
              <w:rPr>
                <w:rFonts w:hint="eastAsia"/>
                <w:szCs w:val="24"/>
              </w:rPr>
              <w:t>日</w:t>
            </w:r>
          </w:p>
        </w:tc>
      </w:tr>
    </w:tbl>
    <w:p>
      <w:pPr>
        <w:jc w:val="left"/>
        <w:rPr>
          <w:szCs w:val="24"/>
        </w:rPr>
      </w:pPr>
      <w:r>
        <w:rPr>
          <w:rFonts w:hint="eastAsia"/>
          <w:szCs w:val="24"/>
        </w:rPr>
        <w:t>公司与实际控制人之间的产权及控制关系的方框图</w:t>
      </w:r>
    </w:p>
    <w:p>
      <w:pPr>
        <w:autoSpaceDE w:val="0"/>
        <w:autoSpaceDN w:val="0"/>
        <w:adjustRightInd w:val="0"/>
        <w:spacing w:before="200" w:after="200"/>
        <w:jc w:val="center"/>
        <w:rPr>
          <w:kern w:val="0"/>
          <w:sz w:val="24"/>
          <w:szCs w:val="24"/>
        </w:rPr>
      </w:pPr>
      <w:r>
        <w:rPr>
          <w:kern w:val="0"/>
          <w:sz w:val="24"/>
          <w:szCs w:val="24"/>
        </w:rPr>
        <w:pict>
          <v:shape id="_x0000_i1027" o:spt="75" type="#_x0000_t75" style="height:162.6pt;width:289.2pt;" filled="f" o:preferrelative="t" stroked="f" coordsize="21600,21600">
            <v:path/>
            <v:fill on="f" focussize="0,0"/>
            <v:stroke on="f" joinstyle="miter"/>
            <v:imagedata r:id="rId11" o:title=""/>
            <o:lock v:ext="edit" aspectratio="t"/>
            <w10:wrap type="none"/>
            <w10:anchorlock/>
          </v:shape>
        </w:pict>
      </w:r>
    </w:p>
    <w:p>
      <w:pPr>
        <w:autoSpaceDE w:val="0"/>
        <w:autoSpaceDN w:val="0"/>
        <w:adjustRightInd w:val="0"/>
        <w:spacing w:before="200" w:after="200"/>
        <w:jc w:val="left"/>
        <w:rPr>
          <w:kern w:val="0"/>
          <w:sz w:val="24"/>
          <w:szCs w:val="24"/>
        </w:rPr>
      </w:pPr>
      <w:r>
        <w:rPr>
          <w:rFonts w:hint="eastAsia"/>
          <w:kern w:val="0"/>
          <w:sz w:val="24"/>
          <w:szCs w:val="24"/>
        </w:rPr>
        <w:t>实际控制人通过信托或其他资产管理方式控制公司</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pStyle w:val="11"/>
        <w:outlineLvl w:val="2"/>
        <w:rPr>
          <w:bCs w:val="0"/>
          <w:szCs w:val="24"/>
        </w:rPr>
      </w:pPr>
      <w:r>
        <w:rPr>
          <w:bCs w:val="0"/>
          <w:szCs w:val="24"/>
        </w:rPr>
        <w:t>4</w:t>
      </w:r>
      <w:r>
        <w:rPr>
          <w:rFonts w:hint="eastAsia"/>
          <w:bCs w:val="0"/>
          <w:szCs w:val="24"/>
        </w:rPr>
        <w:t>、其他持股在</w:t>
      </w:r>
      <w:r>
        <w:rPr>
          <w:bCs w:val="0"/>
          <w:szCs w:val="24"/>
        </w:rPr>
        <w:t>10%</w:t>
      </w:r>
      <w:r>
        <w:rPr>
          <w:rFonts w:hint="eastAsia"/>
          <w:bCs w:val="0"/>
          <w:szCs w:val="24"/>
        </w:rPr>
        <w:t>以上的法人股东</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pStyle w:val="11"/>
        <w:outlineLvl w:val="2"/>
        <w:rPr>
          <w:bCs w:val="0"/>
          <w:szCs w:val="24"/>
        </w:rPr>
      </w:pPr>
      <w:r>
        <w:rPr>
          <w:bCs w:val="0"/>
          <w:szCs w:val="24"/>
        </w:rPr>
        <w:t>5</w:t>
      </w:r>
      <w:r>
        <w:rPr>
          <w:rFonts w:hint="eastAsia"/>
          <w:bCs w:val="0"/>
          <w:szCs w:val="24"/>
        </w:rPr>
        <w:t>、控股股东、实际控制人、重组方及其他承诺主体股份限制减持情况</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jc w:val="left"/>
        <w:rPr>
          <w:szCs w:val="24"/>
        </w:rPr>
        <w:sectPr>
          <w:pgSz w:w="11906" w:h="16838"/>
          <w:pgMar w:top="1440" w:right="1134" w:bottom="1440" w:left="1134" w:header="851" w:footer="992" w:gutter="0"/>
          <w:cols w:space="425" w:num="1"/>
          <w:docGrid w:type="lines" w:linePitch="312" w:charSpace="0"/>
        </w:sectPr>
      </w:pPr>
    </w:p>
    <w:p>
      <w:pPr>
        <w:pStyle w:val="5"/>
        <w:outlineLvl w:val="0"/>
        <w:rPr>
          <w:bCs w:val="0"/>
          <w:szCs w:val="24"/>
        </w:rPr>
      </w:pPr>
      <w:bookmarkStart w:id="6" w:name="_Toc300000090"/>
      <w:r>
        <w:rPr>
          <w:rFonts w:hint="eastAsia"/>
          <w:bCs w:val="0"/>
          <w:szCs w:val="24"/>
        </w:rPr>
        <w:t>第七节</w:t>
      </w:r>
      <w:r>
        <w:rPr>
          <w:bCs w:val="0"/>
          <w:szCs w:val="24"/>
        </w:rPr>
        <w:t xml:space="preserve"> </w:t>
      </w:r>
      <w:r>
        <w:rPr>
          <w:rFonts w:hint="eastAsia"/>
          <w:bCs w:val="0"/>
          <w:szCs w:val="24"/>
        </w:rPr>
        <w:t>优先股相关情况</w:t>
      </w:r>
      <w:bookmarkEnd w:id="6"/>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jc w:val="left"/>
        <w:rPr>
          <w:szCs w:val="24"/>
        </w:rPr>
      </w:pPr>
      <w:r>
        <w:rPr>
          <w:rFonts w:hint="eastAsia"/>
          <w:szCs w:val="24"/>
        </w:rPr>
        <w:t>报告期公司不存在优先股。</w:t>
      </w:r>
    </w:p>
    <w:p>
      <w:pPr>
        <w:jc w:val="left"/>
        <w:rPr>
          <w:szCs w:val="24"/>
        </w:rPr>
        <w:sectPr>
          <w:pgSz w:w="11906" w:h="16838"/>
          <w:pgMar w:top="1440" w:right="1134" w:bottom="1440" w:left="1134" w:header="851" w:footer="992" w:gutter="0"/>
          <w:cols w:space="425" w:num="1"/>
          <w:docGrid w:type="lines" w:linePitch="312" w:charSpace="0"/>
        </w:sectPr>
      </w:pPr>
    </w:p>
    <w:p>
      <w:pPr>
        <w:pStyle w:val="5"/>
        <w:outlineLvl w:val="0"/>
        <w:rPr>
          <w:bCs w:val="0"/>
          <w:szCs w:val="24"/>
        </w:rPr>
      </w:pPr>
      <w:bookmarkStart w:id="7" w:name="_Toc300000091"/>
      <w:r>
        <w:rPr>
          <w:rFonts w:hint="eastAsia"/>
          <w:bCs w:val="0"/>
          <w:szCs w:val="24"/>
        </w:rPr>
        <w:t>第八节</w:t>
      </w:r>
      <w:r>
        <w:rPr>
          <w:bCs w:val="0"/>
          <w:szCs w:val="24"/>
        </w:rPr>
        <w:t xml:space="preserve"> </w:t>
      </w:r>
      <w:r>
        <w:rPr>
          <w:rFonts w:hint="eastAsia"/>
          <w:bCs w:val="0"/>
          <w:szCs w:val="24"/>
        </w:rPr>
        <w:t>董事、监事、高级管理人员和员工情况</w:t>
      </w:r>
      <w:bookmarkEnd w:id="7"/>
    </w:p>
    <w:p>
      <w:pPr>
        <w:pStyle w:val="10"/>
        <w:outlineLvl w:val="1"/>
        <w:rPr>
          <w:bCs w:val="0"/>
        </w:rPr>
      </w:pPr>
      <w:r>
        <w:rPr>
          <w:rFonts w:hint="eastAsia"/>
          <w:bCs w:val="0"/>
        </w:rPr>
        <w:t>一、董事、监事和高级管理人员持股变动</w:t>
      </w:r>
    </w:p>
    <w:tbl>
      <w:tblPr>
        <w:tblStyle w:val="8"/>
        <w:tblW w:w="9572" w:type="dxa"/>
        <w:tblInd w:w="28" w:type="dxa"/>
        <w:tblLayout w:type="fixed"/>
        <w:tblCellMar>
          <w:top w:w="0" w:type="dxa"/>
          <w:left w:w="28" w:type="dxa"/>
          <w:bottom w:w="0" w:type="dxa"/>
          <w:right w:w="28" w:type="dxa"/>
        </w:tblCellMar>
      </w:tblPr>
      <w:tblGrid>
        <w:gridCol w:w="798"/>
        <w:gridCol w:w="797"/>
        <w:gridCol w:w="797"/>
        <w:gridCol w:w="797"/>
        <w:gridCol w:w="798"/>
        <w:gridCol w:w="797"/>
        <w:gridCol w:w="798"/>
        <w:gridCol w:w="798"/>
        <w:gridCol w:w="798"/>
        <w:gridCol w:w="798"/>
        <w:gridCol w:w="798"/>
        <w:gridCol w:w="798"/>
      </w:tblGrid>
      <w:tr>
        <w:tblPrEx>
          <w:tblLayout w:type="fixed"/>
          <w:tblCellMar>
            <w:top w:w="0" w:type="dxa"/>
            <w:left w:w="28" w:type="dxa"/>
            <w:bottom w:w="0" w:type="dxa"/>
            <w:right w:w="28" w:type="dxa"/>
          </w:tblCellMar>
        </w:tblPrEx>
        <w:tc>
          <w:tcPr>
            <w:tcW w:w="798"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姓名</w:t>
            </w:r>
          </w:p>
        </w:tc>
        <w:tc>
          <w:tcPr>
            <w:tcW w:w="79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职务</w:t>
            </w:r>
          </w:p>
        </w:tc>
        <w:tc>
          <w:tcPr>
            <w:tcW w:w="79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任职状态</w:t>
            </w:r>
          </w:p>
        </w:tc>
        <w:tc>
          <w:tcPr>
            <w:tcW w:w="79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性别</w:t>
            </w:r>
          </w:p>
        </w:tc>
        <w:tc>
          <w:tcPr>
            <w:tcW w:w="798"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年龄</w:t>
            </w:r>
          </w:p>
        </w:tc>
        <w:tc>
          <w:tcPr>
            <w:tcW w:w="79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任期起始日期</w:t>
            </w:r>
          </w:p>
        </w:tc>
        <w:tc>
          <w:tcPr>
            <w:tcW w:w="798"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任期终止日期</w:t>
            </w:r>
          </w:p>
        </w:tc>
        <w:tc>
          <w:tcPr>
            <w:tcW w:w="798"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期初持股数（股）</w:t>
            </w:r>
          </w:p>
        </w:tc>
        <w:tc>
          <w:tcPr>
            <w:tcW w:w="798"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本期增持股份数量（股）</w:t>
            </w:r>
          </w:p>
        </w:tc>
        <w:tc>
          <w:tcPr>
            <w:tcW w:w="798"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本期减持股份数量（股）</w:t>
            </w:r>
          </w:p>
        </w:tc>
        <w:tc>
          <w:tcPr>
            <w:tcW w:w="798"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其他增减变动（股）</w:t>
            </w:r>
          </w:p>
        </w:tc>
        <w:tc>
          <w:tcPr>
            <w:tcW w:w="798"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期末持股数（股）</w:t>
            </w:r>
          </w:p>
        </w:tc>
      </w:tr>
      <w:tr>
        <w:tblPrEx>
          <w:tblLayout w:type="fixed"/>
          <w:tblCellMar>
            <w:top w:w="0" w:type="dxa"/>
            <w:left w:w="28" w:type="dxa"/>
            <w:bottom w:w="0" w:type="dxa"/>
            <w:right w:w="28" w:type="dxa"/>
          </w:tblCellMar>
        </w:tblPrEx>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申万秋</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董事长；总经理</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现任</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男</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46</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2008</w:t>
            </w:r>
            <w:r>
              <w:rPr>
                <w:rFonts w:hint="eastAsia"/>
                <w:szCs w:val="24"/>
              </w:rPr>
              <w:t>年</w:t>
            </w:r>
            <w:r>
              <w:rPr>
                <w:szCs w:val="24"/>
              </w:rPr>
              <w:t>03</w:t>
            </w:r>
            <w:r>
              <w:rPr>
                <w:rFonts w:hint="eastAsia"/>
                <w:szCs w:val="24"/>
              </w:rPr>
              <w:t>月</w:t>
            </w:r>
            <w:r>
              <w:rPr>
                <w:szCs w:val="24"/>
              </w:rPr>
              <w:t>26</w:t>
            </w:r>
            <w:r>
              <w:rPr>
                <w:rFonts w:hint="eastAsia"/>
                <w:szCs w:val="24"/>
              </w:rPr>
              <w:t>日</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2017</w:t>
            </w:r>
            <w:r>
              <w:rPr>
                <w:rFonts w:hint="eastAsia"/>
                <w:szCs w:val="24"/>
              </w:rPr>
              <w:t>年</w:t>
            </w:r>
            <w:r>
              <w:rPr>
                <w:szCs w:val="24"/>
              </w:rPr>
              <w:t>07</w:t>
            </w:r>
            <w:r>
              <w:rPr>
                <w:rFonts w:hint="eastAsia"/>
                <w:szCs w:val="24"/>
              </w:rPr>
              <w:t>月</w:t>
            </w:r>
            <w:r>
              <w:rPr>
                <w:szCs w:val="24"/>
              </w:rPr>
              <w:t>29</w:t>
            </w:r>
            <w:r>
              <w:rPr>
                <w:rFonts w:hint="eastAsia"/>
                <w:szCs w:val="24"/>
              </w:rPr>
              <w:t>日</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40,842,839</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11,292,621</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52,135,460</w:t>
            </w:r>
          </w:p>
        </w:tc>
      </w:tr>
      <w:tr>
        <w:tblPrEx>
          <w:tblLayout w:type="fixed"/>
          <w:tblCellMar>
            <w:top w:w="0" w:type="dxa"/>
            <w:left w:w="28" w:type="dxa"/>
            <w:bottom w:w="0" w:type="dxa"/>
            <w:right w:w="28" w:type="dxa"/>
          </w:tblCellMar>
        </w:tblPrEx>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唐军武</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现任</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男</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51</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04</w:t>
            </w:r>
            <w:r>
              <w:rPr>
                <w:rFonts w:hint="eastAsia"/>
                <w:szCs w:val="24"/>
              </w:rPr>
              <w:t>月</w:t>
            </w:r>
            <w:r>
              <w:rPr>
                <w:szCs w:val="24"/>
              </w:rPr>
              <w:t>21</w:t>
            </w:r>
            <w:r>
              <w:rPr>
                <w:rFonts w:hint="eastAsia"/>
                <w:szCs w:val="24"/>
              </w:rPr>
              <w:t>日</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2017</w:t>
            </w:r>
            <w:r>
              <w:rPr>
                <w:rFonts w:hint="eastAsia"/>
                <w:szCs w:val="24"/>
              </w:rPr>
              <w:t>年</w:t>
            </w:r>
            <w:r>
              <w:rPr>
                <w:szCs w:val="24"/>
              </w:rPr>
              <w:t>07</w:t>
            </w:r>
            <w:r>
              <w:rPr>
                <w:rFonts w:hint="eastAsia"/>
                <w:szCs w:val="24"/>
              </w:rPr>
              <w:t>月</w:t>
            </w:r>
            <w:r>
              <w:rPr>
                <w:szCs w:val="24"/>
              </w:rPr>
              <w:t>29</w:t>
            </w:r>
            <w:r>
              <w:rPr>
                <w:rFonts w:hint="eastAsia"/>
                <w:szCs w:val="24"/>
              </w:rPr>
              <w:t>日</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r>
      <w:tr>
        <w:tblPrEx>
          <w:tblLayout w:type="fixed"/>
          <w:tblCellMar>
            <w:top w:w="0" w:type="dxa"/>
            <w:left w:w="28" w:type="dxa"/>
            <w:bottom w:w="0" w:type="dxa"/>
            <w:right w:w="28" w:type="dxa"/>
          </w:tblCellMar>
        </w:tblPrEx>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仓梓剑</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现任</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男</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43</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2012</w:t>
            </w:r>
            <w:r>
              <w:rPr>
                <w:rFonts w:hint="eastAsia"/>
                <w:szCs w:val="24"/>
              </w:rPr>
              <w:t>年</w:t>
            </w:r>
            <w:r>
              <w:rPr>
                <w:szCs w:val="24"/>
              </w:rPr>
              <w:t>12</w:t>
            </w:r>
            <w:r>
              <w:rPr>
                <w:rFonts w:hint="eastAsia"/>
                <w:szCs w:val="24"/>
              </w:rPr>
              <w:t>月</w:t>
            </w:r>
            <w:r>
              <w:rPr>
                <w:szCs w:val="24"/>
              </w:rPr>
              <w:t>20</w:t>
            </w:r>
            <w:r>
              <w:rPr>
                <w:rFonts w:hint="eastAsia"/>
                <w:szCs w:val="24"/>
              </w:rPr>
              <w:t>日</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2017</w:t>
            </w:r>
            <w:r>
              <w:rPr>
                <w:rFonts w:hint="eastAsia"/>
                <w:szCs w:val="24"/>
              </w:rPr>
              <w:t>年</w:t>
            </w:r>
            <w:r>
              <w:rPr>
                <w:szCs w:val="24"/>
              </w:rPr>
              <w:t>07</w:t>
            </w:r>
            <w:r>
              <w:rPr>
                <w:rFonts w:hint="eastAsia"/>
                <w:szCs w:val="24"/>
              </w:rPr>
              <w:t>月</w:t>
            </w:r>
            <w:r>
              <w:rPr>
                <w:szCs w:val="24"/>
              </w:rPr>
              <w:t>29</w:t>
            </w:r>
            <w:r>
              <w:rPr>
                <w:rFonts w:hint="eastAsia"/>
                <w:szCs w:val="24"/>
              </w:rPr>
              <w:t>日</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r>
      <w:tr>
        <w:tblPrEx>
          <w:tblLayout w:type="fixed"/>
          <w:tblCellMar>
            <w:top w:w="0" w:type="dxa"/>
            <w:left w:w="28" w:type="dxa"/>
            <w:bottom w:w="0" w:type="dxa"/>
            <w:right w:w="28" w:type="dxa"/>
          </w:tblCellMar>
        </w:tblPrEx>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孙陶然</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独立董事</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现任</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男</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47</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2014</w:t>
            </w:r>
            <w:r>
              <w:rPr>
                <w:rFonts w:hint="eastAsia"/>
                <w:szCs w:val="24"/>
              </w:rPr>
              <w:t>年</w:t>
            </w:r>
            <w:r>
              <w:rPr>
                <w:szCs w:val="24"/>
              </w:rPr>
              <w:t>07</w:t>
            </w:r>
            <w:r>
              <w:rPr>
                <w:rFonts w:hint="eastAsia"/>
                <w:szCs w:val="24"/>
              </w:rPr>
              <w:t>月</w:t>
            </w:r>
            <w:r>
              <w:rPr>
                <w:szCs w:val="24"/>
              </w:rPr>
              <w:t>30</w:t>
            </w:r>
            <w:r>
              <w:rPr>
                <w:rFonts w:hint="eastAsia"/>
                <w:szCs w:val="24"/>
              </w:rPr>
              <w:t>日</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2017</w:t>
            </w:r>
            <w:r>
              <w:rPr>
                <w:rFonts w:hint="eastAsia"/>
                <w:szCs w:val="24"/>
              </w:rPr>
              <w:t>年</w:t>
            </w:r>
            <w:r>
              <w:rPr>
                <w:szCs w:val="24"/>
              </w:rPr>
              <w:t>07</w:t>
            </w:r>
            <w:r>
              <w:rPr>
                <w:rFonts w:hint="eastAsia"/>
                <w:szCs w:val="24"/>
              </w:rPr>
              <w:t>月</w:t>
            </w:r>
            <w:r>
              <w:rPr>
                <w:szCs w:val="24"/>
              </w:rPr>
              <w:t>29</w:t>
            </w:r>
            <w:r>
              <w:rPr>
                <w:rFonts w:hint="eastAsia"/>
                <w:szCs w:val="24"/>
              </w:rPr>
              <w:t>日</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r>
      <w:tr>
        <w:tblPrEx>
          <w:tblLayout w:type="fixed"/>
          <w:tblCellMar>
            <w:top w:w="0" w:type="dxa"/>
            <w:left w:w="28" w:type="dxa"/>
            <w:bottom w:w="0" w:type="dxa"/>
            <w:right w:w="28" w:type="dxa"/>
          </w:tblCellMar>
        </w:tblPrEx>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李焰</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独立董事</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现任</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女</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60</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2015</w:t>
            </w:r>
            <w:r>
              <w:rPr>
                <w:rFonts w:hint="eastAsia"/>
                <w:szCs w:val="24"/>
              </w:rPr>
              <w:t>年</w:t>
            </w:r>
            <w:r>
              <w:rPr>
                <w:szCs w:val="24"/>
              </w:rPr>
              <w:t>08</w:t>
            </w:r>
            <w:r>
              <w:rPr>
                <w:rFonts w:hint="eastAsia"/>
                <w:szCs w:val="24"/>
              </w:rPr>
              <w:t>月</w:t>
            </w:r>
            <w:r>
              <w:rPr>
                <w:szCs w:val="24"/>
              </w:rPr>
              <w:t>17</w:t>
            </w:r>
            <w:r>
              <w:rPr>
                <w:rFonts w:hint="eastAsia"/>
                <w:szCs w:val="24"/>
              </w:rPr>
              <w:t>日</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2017</w:t>
            </w:r>
            <w:r>
              <w:rPr>
                <w:rFonts w:hint="eastAsia"/>
                <w:szCs w:val="24"/>
              </w:rPr>
              <w:t>年</w:t>
            </w:r>
            <w:r>
              <w:rPr>
                <w:szCs w:val="24"/>
              </w:rPr>
              <w:t>07</w:t>
            </w:r>
            <w:r>
              <w:rPr>
                <w:rFonts w:hint="eastAsia"/>
                <w:szCs w:val="24"/>
              </w:rPr>
              <w:t>月</w:t>
            </w:r>
            <w:r>
              <w:rPr>
                <w:szCs w:val="24"/>
              </w:rPr>
              <w:t>29</w:t>
            </w:r>
            <w:r>
              <w:rPr>
                <w:rFonts w:hint="eastAsia"/>
                <w:szCs w:val="24"/>
              </w:rPr>
              <w:t>日</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r>
      <w:tr>
        <w:tblPrEx>
          <w:tblLayout w:type="fixed"/>
          <w:tblCellMar>
            <w:top w:w="0" w:type="dxa"/>
            <w:left w:w="28" w:type="dxa"/>
            <w:bottom w:w="0" w:type="dxa"/>
            <w:right w:w="28" w:type="dxa"/>
          </w:tblCellMar>
        </w:tblPrEx>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罗茁</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监事会主席</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现任</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男</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54</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2008</w:t>
            </w:r>
            <w:r>
              <w:rPr>
                <w:rFonts w:hint="eastAsia"/>
                <w:szCs w:val="24"/>
              </w:rPr>
              <w:t>年</w:t>
            </w:r>
            <w:r>
              <w:rPr>
                <w:szCs w:val="24"/>
              </w:rPr>
              <w:t>03</w:t>
            </w:r>
            <w:r>
              <w:rPr>
                <w:rFonts w:hint="eastAsia"/>
                <w:szCs w:val="24"/>
              </w:rPr>
              <w:t>月</w:t>
            </w:r>
            <w:r>
              <w:rPr>
                <w:szCs w:val="24"/>
              </w:rPr>
              <w:t>26</w:t>
            </w:r>
            <w:r>
              <w:rPr>
                <w:rFonts w:hint="eastAsia"/>
                <w:szCs w:val="24"/>
              </w:rPr>
              <w:t>日</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2017</w:t>
            </w:r>
            <w:r>
              <w:rPr>
                <w:rFonts w:hint="eastAsia"/>
                <w:szCs w:val="24"/>
              </w:rPr>
              <w:t>年</w:t>
            </w:r>
            <w:r>
              <w:rPr>
                <w:szCs w:val="24"/>
              </w:rPr>
              <w:t>07</w:t>
            </w:r>
            <w:r>
              <w:rPr>
                <w:rFonts w:hint="eastAsia"/>
                <w:szCs w:val="24"/>
              </w:rPr>
              <w:t>月</w:t>
            </w:r>
            <w:r>
              <w:rPr>
                <w:szCs w:val="24"/>
              </w:rPr>
              <w:t>29</w:t>
            </w:r>
            <w:r>
              <w:rPr>
                <w:rFonts w:hint="eastAsia"/>
                <w:szCs w:val="24"/>
              </w:rPr>
              <w:t>日</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r>
      <w:tr>
        <w:tblPrEx>
          <w:tblLayout w:type="fixed"/>
          <w:tblCellMar>
            <w:top w:w="0" w:type="dxa"/>
            <w:left w:w="28" w:type="dxa"/>
            <w:bottom w:w="0" w:type="dxa"/>
            <w:right w:w="28" w:type="dxa"/>
          </w:tblCellMar>
        </w:tblPrEx>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刘建云</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监事</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现任</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男</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46</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2009</w:t>
            </w:r>
            <w:r>
              <w:rPr>
                <w:rFonts w:hint="eastAsia"/>
                <w:szCs w:val="24"/>
              </w:rPr>
              <w:t>年</w:t>
            </w:r>
            <w:r>
              <w:rPr>
                <w:szCs w:val="24"/>
              </w:rPr>
              <w:t>03</w:t>
            </w:r>
            <w:r>
              <w:rPr>
                <w:rFonts w:hint="eastAsia"/>
                <w:szCs w:val="24"/>
              </w:rPr>
              <w:t>月</w:t>
            </w:r>
            <w:r>
              <w:rPr>
                <w:szCs w:val="24"/>
              </w:rPr>
              <w:t>11</w:t>
            </w:r>
            <w:r>
              <w:rPr>
                <w:rFonts w:hint="eastAsia"/>
                <w:szCs w:val="24"/>
              </w:rPr>
              <w:t>日</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2017</w:t>
            </w:r>
            <w:r>
              <w:rPr>
                <w:rFonts w:hint="eastAsia"/>
                <w:szCs w:val="24"/>
              </w:rPr>
              <w:t>年</w:t>
            </w:r>
            <w:r>
              <w:rPr>
                <w:szCs w:val="24"/>
              </w:rPr>
              <w:t>07</w:t>
            </w:r>
            <w:r>
              <w:rPr>
                <w:rFonts w:hint="eastAsia"/>
                <w:szCs w:val="24"/>
              </w:rPr>
              <w:t>月</w:t>
            </w:r>
            <w:r>
              <w:rPr>
                <w:szCs w:val="24"/>
              </w:rPr>
              <w:t>29</w:t>
            </w:r>
            <w:r>
              <w:rPr>
                <w:rFonts w:hint="eastAsia"/>
                <w:szCs w:val="24"/>
              </w:rPr>
              <w:t>日</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r>
      <w:tr>
        <w:tblPrEx>
          <w:tblLayout w:type="fixed"/>
          <w:tblCellMar>
            <w:top w:w="0" w:type="dxa"/>
            <w:left w:w="28" w:type="dxa"/>
            <w:bottom w:w="0" w:type="dxa"/>
            <w:right w:w="28" w:type="dxa"/>
          </w:tblCellMar>
        </w:tblPrEx>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陈冬冬</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职工监事</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现任</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男</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30</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2015</w:t>
            </w:r>
            <w:r>
              <w:rPr>
                <w:rFonts w:hint="eastAsia"/>
                <w:szCs w:val="24"/>
              </w:rPr>
              <w:t>年</w:t>
            </w:r>
            <w:r>
              <w:rPr>
                <w:szCs w:val="24"/>
              </w:rPr>
              <w:t>07</w:t>
            </w:r>
            <w:r>
              <w:rPr>
                <w:rFonts w:hint="eastAsia"/>
                <w:szCs w:val="24"/>
              </w:rPr>
              <w:t>月</w:t>
            </w:r>
            <w:r>
              <w:rPr>
                <w:szCs w:val="24"/>
              </w:rPr>
              <w:t>14</w:t>
            </w:r>
            <w:r>
              <w:rPr>
                <w:rFonts w:hint="eastAsia"/>
                <w:szCs w:val="24"/>
              </w:rPr>
              <w:t>日</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2017</w:t>
            </w:r>
            <w:r>
              <w:rPr>
                <w:rFonts w:hint="eastAsia"/>
                <w:szCs w:val="24"/>
              </w:rPr>
              <w:t>年</w:t>
            </w:r>
            <w:r>
              <w:rPr>
                <w:szCs w:val="24"/>
              </w:rPr>
              <w:t>07</w:t>
            </w:r>
            <w:r>
              <w:rPr>
                <w:rFonts w:hint="eastAsia"/>
                <w:szCs w:val="24"/>
              </w:rPr>
              <w:t>月</w:t>
            </w:r>
            <w:r>
              <w:rPr>
                <w:szCs w:val="24"/>
              </w:rPr>
              <w:t>29</w:t>
            </w:r>
            <w:r>
              <w:rPr>
                <w:rFonts w:hint="eastAsia"/>
                <w:szCs w:val="24"/>
              </w:rPr>
              <w:t>日</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r>
      <w:tr>
        <w:tblPrEx>
          <w:tblLayout w:type="fixed"/>
          <w:tblCellMar>
            <w:top w:w="0" w:type="dxa"/>
            <w:left w:w="28" w:type="dxa"/>
            <w:bottom w:w="0" w:type="dxa"/>
            <w:right w:w="28" w:type="dxa"/>
          </w:tblCellMar>
        </w:tblPrEx>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柳丽华</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财务总监</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现任</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女</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41</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2013</w:t>
            </w:r>
            <w:r>
              <w:rPr>
                <w:rFonts w:hint="eastAsia"/>
                <w:szCs w:val="24"/>
              </w:rPr>
              <w:t>年</w:t>
            </w:r>
            <w:r>
              <w:rPr>
                <w:szCs w:val="24"/>
              </w:rPr>
              <w:t>04</w:t>
            </w:r>
            <w:r>
              <w:rPr>
                <w:rFonts w:hint="eastAsia"/>
                <w:szCs w:val="24"/>
              </w:rPr>
              <w:t>月</w:t>
            </w:r>
            <w:r>
              <w:rPr>
                <w:szCs w:val="24"/>
              </w:rPr>
              <w:t>17</w:t>
            </w:r>
            <w:r>
              <w:rPr>
                <w:rFonts w:hint="eastAsia"/>
                <w:szCs w:val="24"/>
              </w:rPr>
              <w:t>日</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2017</w:t>
            </w:r>
            <w:r>
              <w:rPr>
                <w:rFonts w:hint="eastAsia"/>
                <w:szCs w:val="24"/>
              </w:rPr>
              <w:t>年</w:t>
            </w:r>
            <w:r>
              <w:rPr>
                <w:szCs w:val="24"/>
              </w:rPr>
              <w:t>07</w:t>
            </w:r>
            <w:r>
              <w:rPr>
                <w:rFonts w:hint="eastAsia"/>
                <w:szCs w:val="24"/>
              </w:rPr>
              <w:t>月</w:t>
            </w:r>
            <w:r>
              <w:rPr>
                <w:szCs w:val="24"/>
              </w:rPr>
              <w:t>29</w:t>
            </w:r>
            <w:r>
              <w:rPr>
                <w:rFonts w:hint="eastAsia"/>
                <w:szCs w:val="24"/>
              </w:rPr>
              <w:t>日</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r>
      <w:tr>
        <w:tblPrEx>
          <w:tblLayout w:type="fixed"/>
          <w:tblCellMar>
            <w:top w:w="0" w:type="dxa"/>
            <w:left w:w="28" w:type="dxa"/>
            <w:bottom w:w="0" w:type="dxa"/>
            <w:right w:w="28" w:type="dxa"/>
          </w:tblCellMar>
        </w:tblPrEx>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石桂华</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副总经理</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现任</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女</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49</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2014</w:t>
            </w:r>
            <w:r>
              <w:rPr>
                <w:rFonts w:hint="eastAsia"/>
                <w:szCs w:val="24"/>
              </w:rPr>
              <w:t>年</w:t>
            </w:r>
            <w:r>
              <w:rPr>
                <w:szCs w:val="24"/>
              </w:rPr>
              <w:t>07</w:t>
            </w:r>
            <w:r>
              <w:rPr>
                <w:rFonts w:hint="eastAsia"/>
                <w:szCs w:val="24"/>
              </w:rPr>
              <w:t>月</w:t>
            </w:r>
            <w:r>
              <w:rPr>
                <w:szCs w:val="24"/>
              </w:rPr>
              <w:t>30</w:t>
            </w:r>
            <w:r>
              <w:rPr>
                <w:rFonts w:hint="eastAsia"/>
                <w:szCs w:val="24"/>
              </w:rPr>
              <w:t>日</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2017</w:t>
            </w:r>
            <w:r>
              <w:rPr>
                <w:rFonts w:hint="eastAsia"/>
                <w:szCs w:val="24"/>
              </w:rPr>
              <w:t>年</w:t>
            </w:r>
            <w:r>
              <w:rPr>
                <w:szCs w:val="24"/>
              </w:rPr>
              <w:t>07</w:t>
            </w:r>
            <w:r>
              <w:rPr>
                <w:rFonts w:hint="eastAsia"/>
                <w:szCs w:val="24"/>
              </w:rPr>
              <w:t>月</w:t>
            </w:r>
            <w:r>
              <w:rPr>
                <w:szCs w:val="24"/>
              </w:rPr>
              <w:t>29</w:t>
            </w:r>
            <w:r>
              <w:rPr>
                <w:rFonts w:hint="eastAsia"/>
                <w:szCs w:val="24"/>
              </w:rPr>
              <w:t>日</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r>
      <w:tr>
        <w:tblPrEx>
          <w:tblLayout w:type="fixed"/>
          <w:tblCellMar>
            <w:top w:w="0" w:type="dxa"/>
            <w:left w:w="28" w:type="dxa"/>
            <w:bottom w:w="0" w:type="dxa"/>
            <w:right w:w="28" w:type="dxa"/>
          </w:tblCellMar>
        </w:tblPrEx>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高晋占</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副总经理</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现任</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男</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70</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2008</w:t>
            </w:r>
            <w:r>
              <w:rPr>
                <w:rFonts w:hint="eastAsia"/>
                <w:szCs w:val="24"/>
              </w:rPr>
              <w:t>年</w:t>
            </w:r>
            <w:r>
              <w:rPr>
                <w:szCs w:val="24"/>
              </w:rPr>
              <w:t>04</w:t>
            </w:r>
            <w:r>
              <w:rPr>
                <w:rFonts w:hint="eastAsia"/>
                <w:szCs w:val="24"/>
              </w:rPr>
              <w:t>月</w:t>
            </w:r>
            <w:r>
              <w:rPr>
                <w:szCs w:val="24"/>
              </w:rPr>
              <w:t>25</w:t>
            </w:r>
            <w:r>
              <w:rPr>
                <w:rFonts w:hint="eastAsia"/>
                <w:szCs w:val="24"/>
              </w:rPr>
              <w:t>日</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2017</w:t>
            </w:r>
            <w:r>
              <w:rPr>
                <w:rFonts w:hint="eastAsia"/>
                <w:szCs w:val="24"/>
              </w:rPr>
              <w:t>年</w:t>
            </w:r>
            <w:r>
              <w:rPr>
                <w:szCs w:val="24"/>
              </w:rPr>
              <w:t>07</w:t>
            </w:r>
            <w:r>
              <w:rPr>
                <w:rFonts w:hint="eastAsia"/>
                <w:szCs w:val="24"/>
              </w:rPr>
              <w:t>月</w:t>
            </w:r>
            <w:r>
              <w:rPr>
                <w:szCs w:val="24"/>
              </w:rPr>
              <w:t>29</w:t>
            </w:r>
            <w:r>
              <w:rPr>
                <w:rFonts w:hint="eastAsia"/>
                <w:szCs w:val="24"/>
              </w:rPr>
              <w:t>日</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r>
      <w:tr>
        <w:tblPrEx>
          <w:tblLayout w:type="fixed"/>
          <w:tblCellMar>
            <w:top w:w="0" w:type="dxa"/>
            <w:left w:w="28" w:type="dxa"/>
            <w:bottom w:w="0" w:type="dxa"/>
            <w:right w:w="28" w:type="dxa"/>
          </w:tblCellMar>
        </w:tblPrEx>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覃善兴</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副总经理</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现任</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男</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36</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03</w:t>
            </w:r>
            <w:r>
              <w:rPr>
                <w:rFonts w:hint="eastAsia"/>
                <w:szCs w:val="24"/>
              </w:rPr>
              <w:t>月</w:t>
            </w:r>
            <w:r>
              <w:rPr>
                <w:szCs w:val="24"/>
              </w:rPr>
              <w:t>30</w:t>
            </w:r>
            <w:r>
              <w:rPr>
                <w:rFonts w:hint="eastAsia"/>
                <w:szCs w:val="24"/>
              </w:rPr>
              <w:t>日</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2017</w:t>
            </w:r>
            <w:r>
              <w:rPr>
                <w:rFonts w:hint="eastAsia"/>
                <w:szCs w:val="24"/>
              </w:rPr>
              <w:t>年</w:t>
            </w:r>
            <w:r>
              <w:rPr>
                <w:szCs w:val="24"/>
              </w:rPr>
              <w:t>07</w:t>
            </w:r>
            <w:r>
              <w:rPr>
                <w:rFonts w:hint="eastAsia"/>
                <w:szCs w:val="24"/>
              </w:rPr>
              <w:t>月</w:t>
            </w:r>
            <w:r>
              <w:rPr>
                <w:szCs w:val="24"/>
              </w:rPr>
              <w:t>29</w:t>
            </w:r>
            <w:r>
              <w:rPr>
                <w:rFonts w:hint="eastAsia"/>
                <w:szCs w:val="24"/>
              </w:rPr>
              <w:t>日</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r>
      <w:tr>
        <w:tblPrEx>
          <w:tblLayout w:type="fixed"/>
          <w:tblCellMar>
            <w:top w:w="0" w:type="dxa"/>
            <w:left w:w="28" w:type="dxa"/>
            <w:bottom w:w="0" w:type="dxa"/>
            <w:right w:w="28" w:type="dxa"/>
          </w:tblCellMar>
        </w:tblPrEx>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姜楠</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董事会秘书</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现任</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女</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35</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2015</w:t>
            </w:r>
            <w:r>
              <w:rPr>
                <w:rFonts w:hint="eastAsia"/>
                <w:szCs w:val="24"/>
              </w:rPr>
              <w:t>年</w:t>
            </w:r>
            <w:r>
              <w:rPr>
                <w:szCs w:val="24"/>
              </w:rPr>
              <w:t>10</w:t>
            </w:r>
            <w:r>
              <w:rPr>
                <w:rFonts w:hint="eastAsia"/>
                <w:szCs w:val="24"/>
              </w:rPr>
              <w:t>月</w:t>
            </w:r>
            <w:r>
              <w:rPr>
                <w:szCs w:val="24"/>
              </w:rPr>
              <w:t>26</w:t>
            </w:r>
            <w:r>
              <w:rPr>
                <w:rFonts w:hint="eastAsia"/>
                <w:szCs w:val="24"/>
              </w:rPr>
              <w:t>日</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2017</w:t>
            </w:r>
            <w:r>
              <w:rPr>
                <w:rFonts w:hint="eastAsia"/>
                <w:szCs w:val="24"/>
              </w:rPr>
              <w:t>年</w:t>
            </w:r>
            <w:r>
              <w:rPr>
                <w:szCs w:val="24"/>
              </w:rPr>
              <w:t>07</w:t>
            </w:r>
            <w:r>
              <w:rPr>
                <w:rFonts w:hint="eastAsia"/>
                <w:szCs w:val="24"/>
              </w:rPr>
              <w:t>月</w:t>
            </w:r>
            <w:r>
              <w:rPr>
                <w:szCs w:val="24"/>
              </w:rPr>
              <w:t>29</w:t>
            </w:r>
            <w:r>
              <w:rPr>
                <w:rFonts w:hint="eastAsia"/>
                <w:szCs w:val="24"/>
              </w:rPr>
              <w:t>日</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r>
      <w:tr>
        <w:tblPrEx>
          <w:tblLayout w:type="fixed"/>
          <w:tblCellMar>
            <w:top w:w="0" w:type="dxa"/>
            <w:left w:w="28" w:type="dxa"/>
            <w:bottom w:w="0" w:type="dxa"/>
            <w:right w:w="28" w:type="dxa"/>
          </w:tblCellMar>
        </w:tblPrEx>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高照杰</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离任</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男</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65</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2010</w:t>
            </w:r>
            <w:r>
              <w:rPr>
                <w:rFonts w:hint="eastAsia"/>
                <w:szCs w:val="24"/>
              </w:rPr>
              <w:t>年</w:t>
            </w:r>
            <w:r>
              <w:rPr>
                <w:szCs w:val="24"/>
              </w:rPr>
              <w:t>09</w:t>
            </w:r>
            <w:r>
              <w:rPr>
                <w:rFonts w:hint="eastAsia"/>
                <w:szCs w:val="24"/>
              </w:rPr>
              <w:t>月</w:t>
            </w:r>
            <w:r>
              <w:rPr>
                <w:szCs w:val="24"/>
              </w:rPr>
              <w:t>25</w:t>
            </w:r>
            <w:r>
              <w:rPr>
                <w:rFonts w:hint="eastAsia"/>
                <w:szCs w:val="24"/>
              </w:rPr>
              <w:t>日</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04</w:t>
            </w:r>
            <w:r>
              <w:rPr>
                <w:rFonts w:hint="eastAsia"/>
                <w:szCs w:val="24"/>
              </w:rPr>
              <w:t>月</w:t>
            </w:r>
            <w:r>
              <w:rPr>
                <w:szCs w:val="24"/>
              </w:rPr>
              <w:t>21</w:t>
            </w:r>
            <w:r>
              <w:rPr>
                <w:rFonts w:hint="eastAsia"/>
                <w:szCs w:val="24"/>
              </w:rPr>
              <w:t>日</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r>
      <w:tr>
        <w:tblPrEx>
          <w:tblLayout w:type="fixed"/>
          <w:tblCellMar>
            <w:top w:w="0" w:type="dxa"/>
            <w:left w:w="28" w:type="dxa"/>
            <w:bottom w:w="0" w:type="dxa"/>
            <w:right w:w="28" w:type="dxa"/>
          </w:tblCellMar>
        </w:tblPrEx>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陈炜</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副总经理</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离任</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男</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41</w:t>
            </w:r>
          </w:p>
        </w:tc>
        <w:tc>
          <w:tcPr>
            <w:tcW w:w="79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2014</w:t>
            </w:r>
            <w:r>
              <w:rPr>
                <w:rFonts w:hint="eastAsia"/>
                <w:szCs w:val="24"/>
              </w:rPr>
              <w:t>年</w:t>
            </w:r>
            <w:r>
              <w:rPr>
                <w:szCs w:val="24"/>
              </w:rPr>
              <w:t>07</w:t>
            </w:r>
            <w:r>
              <w:rPr>
                <w:rFonts w:hint="eastAsia"/>
                <w:szCs w:val="24"/>
              </w:rPr>
              <w:t>月</w:t>
            </w:r>
            <w:r>
              <w:rPr>
                <w:szCs w:val="24"/>
              </w:rPr>
              <w:t>30</w:t>
            </w:r>
            <w:r>
              <w:rPr>
                <w:rFonts w:hint="eastAsia"/>
                <w:szCs w:val="24"/>
              </w:rPr>
              <w:t>日</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03</w:t>
            </w:r>
            <w:r>
              <w:rPr>
                <w:rFonts w:hint="eastAsia"/>
                <w:szCs w:val="24"/>
              </w:rPr>
              <w:t>月</w:t>
            </w:r>
            <w:r>
              <w:rPr>
                <w:szCs w:val="24"/>
              </w:rPr>
              <w:t>30</w:t>
            </w:r>
            <w:r>
              <w:rPr>
                <w:rFonts w:hint="eastAsia"/>
                <w:szCs w:val="24"/>
              </w:rPr>
              <w:t>日</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r>
      <w:tr>
        <w:tblPrEx>
          <w:tblLayout w:type="fixed"/>
          <w:tblCellMar>
            <w:top w:w="0" w:type="dxa"/>
            <w:left w:w="28" w:type="dxa"/>
            <w:bottom w:w="0" w:type="dxa"/>
            <w:right w:w="28" w:type="dxa"/>
          </w:tblCellMar>
        </w:tblPrEx>
        <w:tc>
          <w:tcPr>
            <w:tcW w:w="798"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合计</w:t>
            </w:r>
          </w:p>
        </w:tc>
        <w:tc>
          <w:tcPr>
            <w:tcW w:w="79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79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79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798"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79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798"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40,842,839</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11,292,621</w:t>
            </w:r>
          </w:p>
        </w:tc>
        <w:tc>
          <w:tcPr>
            <w:tcW w:w="7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52,135,460</w:t>
            </w:r>
          </w:p>
        </w:tc>
      </w:tr>
    </w:tbl>
    <w:p>
      <w:pPr>
        <w:pStyle w:val="10"/>
        <w:outlineLvl w:val="1"/>
        <w:rPr>
          <w:bCs w:val="0"/>
        </w:rPr>
      </w:pPr>
      <w:r>
        <w:rPr>
          <w:rFonts w:hint="eastAsia"/>
          <w:bCs w:val="0"/>
        </w:rPr>
        <w:t>二、公司董事、监事、高级管理人员变动情况</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tbl>
      <w:tblPr>
        <w:tblStyle w:val="8"/>
        <w:tblW w:w="9567" w:type="dxa"/>
        <w:tblInd w:w="28" w:type="dxa"/>
        <w:tblLayout w:type="fixed"/>
        <w:tblCellMar>
          <w:top w:w="0" w:type="dxa"/>
          <w:left w:w="28" w:type="dxa"/>
          <w:bottom w:w="0" w:type="dxa"/>
          <w:right w:w="28" w:type="dxa"/>
        </w:tblCellMar>
      </w:tblPr>
      <w:tblGrid>
        <w:gridCol w:w="1329"/>
        <w:gridCol w:w="1330"/>
        <w:gridCol w:w="1330"/>
        <w:gridCol w:w="1330"/>
        <w:gridCol w:w="4248"/>
      </w:tblGrid>
      <w:tr>
        <w:tblPrEx>
          <w:tblLayout w:type="fixed"/>
          <w:tblCellMar>
            <w:top w:w="0" w:type="dxa"/>
            <w:left w:w="28" w:type="dxa"/>
            <w:bottom w:w="0" w:type="dxa"/>
            <w:right w:w="28" w:type="dxa"/>
          </w:tblCellMar>
        </w:tblPrEx>
        <w:tc>
          <w:tcPr>
            <w:tcW w:w="132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姓名</w:t>
            </w:r>
          </w:p>
        </w:tc>
        <w:tc>
          <w:tcPr>
            <w:tcW w:w="133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担任的职务</w:t>
            </w:r>
          </w:p>
        </w:tc>
        <w:tc>
          <w:tcPr>
            <w:tcW w:w="133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类型</w:t>
            </w:r>
          </w:p>
        </w:tc>
        <w:tc>
          <w:tcPr>
            <w:tcW w:w="133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日期</w:t>
            </w:r>
          </w:p>
        </w:tc>
        <w:tc>
          <w:tcPr>
            <w:tcW w:w="4248"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原因</w:t>
            </w:r>
          </w:p>
        </w:tc>
      </w:tr>
      <w:tr>
        <w:tblPrEx>
          <w:tblLayout w:type="fixed"/>
          <w:tblCellMar>
            <w:top w:w="0" w:type="dxa"/>
            <w:left w:w="28" w:type="dxa"/>
            <w:bottom w:w="0" w:type="dxa"/>
            <w:right w:w="28" w:type="dxa"/>
          </w:tblCellMar>
        </w:tblPrEx>
        <w:tc>
          <w:tcPr>
            <w:tcW w:w="132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高照杰</w:t>
            </w:r>
          </w:p>
        </w:tc>
        <w:tc>
          <w:tcPr>
            <w:tcW w:w="133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w:t>
            </w:r>
          </w:p>
        </w:tc>
        <w:tc>
          <w:tcPr>
            <w:tcW w:w="133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离任</w:t>
            </w:r>
          </w:p>
        </w:tc>
        <w:tc>
          <w:tcPr>
            <w:tcW w:w="133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04</w:t>
            </w:r>
            <w:r>
              <w:rPr>
                <w:rFonts w:hint="eastAsia"/>
                <w:szCs w:val="24"/>
              </w:rPr>
              <w:t>月</w:t>
            </w:r>
            <w:r>
              <w:rPr>
                <w:szCs w:val="24"/>
              </w:rPr>
              <w:t>21</w:t>
            </w:r>
            <w:r>
              <w:rPr>
                <w:rFonts w:hint="eastAsia"/>
                <w:szCs w:val="24"/>
              </w:rPr>
              <w:t>日</w:t>
            </w:r>
          </w:p>
        </w:tc>
        <w:tc>
          <w:tcPr>
            <w:tcW w:w="424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辞职</w:t>
            </w:r>
          </w:p>
        </w:tc>
      </w:tr>
      <w:tr>
        <w:tblPrEx>
          <w:tblLayout w:type="fixed"/>
          <w:tblCellMar>
            <w:top w:w="0" w:type="dxa"/>
            <w:left w:w="28" w:type="dxa"/>
            <w:bottom w:w="0" w:type="dxa"/>
            <w:right w:w="28" w:type="dxa"/>
          </w:tblCellMar>
        </w:tblPrEx>
        <w:tc>
          <w:tcPr>
            <w:tcW w:w="132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陈炜</w:t>
            </w:r>
          </w:p>
        </w:tc>
        <w:tc>
          <w:tcPr>
            <w:tcW w:w="133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副总经理</w:t>
            </w:r>
          </w:p>
        </w:tc>
        <w:tc>
          <w:tcPr>
            <w:tcW w:w="133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解聘</w:t>
            </w:r>
          </w:p>
        </w:tc>
        <w:tc>
          <w:tcPr>
            <w:tcW w:w="133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03</w:t>
            </w:r>
            <w:r>
              <w:rPr>
                <w:rFonts w:hint="eastAsia"/>
                <w:szCs w:val="24"/>
              </w:rPr>
              <w:t>月</w:t>
            </w:r>
            <w:r>
              <w:rPr>
                <w:szCs w:val="24"/>
              </w:rPr>
              <w:t>30</w:t>
            </w:r>
            <w:r>
              <w:rPr>
                <w:rFonts w:hint="eastAsia"/>
                <w:szCs w:val="24"/>
              </w:rPr>
              <w:t>日</w:t>
            </w:r>
          </w:p>
        </w:tc>
        <w:tc>
          <w:tcPr>
            <w:tcW w:w="424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辞职</w:t>
            </w:r>
          </w:p>
        </w:tc>
      </w:tr>
      <w:tr>
        <w:tblPrEx>
          <w:tblLayout w:type="fixed"/>
          <w:tblCellMar>
            <w:top w:w="0" w:type="dxa"/>
            <w:left w:w="28" w:type="dxa"/>
            <w:bottom w:w="0" w:type="dxa"/>
            <w:right w:w="28" w:type="dxa"/>
          </w:tblCellMar>
        </w:tblPrEx>
        <w:tc>
          <w:tcPr>
            <w:tcW w:w="132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唐军武</w:t>
            </w:r>
          </w:p>
        </w:tc>
        <w:tc>
          <w:tcPr>
            <w:tcW w:w="133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w:t>
            </w:r>
          </w:p>
        </w:tc>
        <w:tc>
          <w:tcPr>
            <w:tcW w:w="133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任免</w:t>
            </w:r>
          </w:p>
        </w:tc>
        <w:tc>
          <w:tcPr>
            <w:tcW w:w="133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04</w:t>
            </w:r>
            <w:r>
              <w:rPr>
                <w:rFonts w:hint="eastAsia"/>
                <w:szCs w:val="24"/>
              </w:rPr>
              <w:t>月</w:t>
            </w:r>
            <w:r>
              <w:rPr>
                <w:szCs w:val="24"/>
              </w:rPr>
              <w:t>21</w:t>
            </w:r>
            <w:r>
              <w:rPr>
                <w:rFonts w:hint="eastAsia"/>
                <w:szCs w:val="24"/>
              </w:rPr>
              <w:t>日</w:t>
            </w:r>
          </w:p>
        </w:tc>
        <w:tc>
          <w:tcPr>
            <w:tcW w:w="424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被选举为董事</w:t>
            </w:r>
          </w:p>
        </w:tc>
      </w:tr>
      <w:tr>
        <w:tblPrEx>
          <w:tblLayout w:type="fixed"/>
          <w:tblCellMar>
            <w:top w:w="0" w:type="dxa"/>
            <w:left w:w="28" w:type="dxa"/>
            <w:bottom w:w="0" w:type="dxa"/>
            <w:right w:w="28" w:type="dxa"/>
          </w:tblCellMar>
        </w:tblPrEx>
        <w:tc>
          <w:tcPr>
            <w:tcW w:w="132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覃善兴</w:t>
            </w:r>
          </w:p>
        </w:tc>
        <w:tc>
          <w:tcPr>
            <w:tcW w:w="133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副总经理</w:t>
            </w:r>
          </w:p>
        </w:tc>
        <w:tc>
          <w:tcPr>
            <w:tcW w:w="133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任免</w:t>
            </w:r>
          </w:p>
        </w:tc>
        <w:tc>
          <w:tcPr>
            <w:tcW w:w="133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03</w:t>
            </w:r>
            <w:r>
              <w:rPr>
                <w:rFonts w:hint="eastAsia"/>
                <w:szCs w:val="24"/>
              </w:rPr>
              <w:t>月</w:t>
            </w:r>
            <w:r>
              <w:rPr>
                <w:szCs w:val="24"/>
              </w:rPr>
              <w:t>30</w:t>
            </w:r>
            <w:r>
              <w:rPr>
                <w:rFonts w:hint="eastAsia"/>
                <w:szCs w:val="24"/>
              </w:rPr>
              <w:t>日</w:t>
            </w:r>
          </w:p>
        </w:tc>
        <w:tc>
          <w:tcPr>
            <w:tcW w:w="424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聘任为副总经理</w:t>
            </w:r>
          </w:p>
        </w:tc>
      </w:tr>
    </w:tbl>
    <w:p>
      <w:pPr>
        <w:pStyle w:val="10"/>
        <w:outlineLvl w:val="1"/>
        <w:rPr>
          <w:bCs w:val="0"/>
        </w:rPr>
      </w:pPr>
      <w:r>
        <w:rPr>
          <w:rFonts w:hint="eastAsia"/>
          <w:bCs w:val="0"/>
        </w:rPr>
        <w:t>三、任职情况</w:t>
      </w:r>
    </w:p>
    <w:p>
      <w:pPr>
        <w:jc w:val="left"/>
        <w:rPr>
          <w:szCs w:val="24"/>
        </w:rPr>
      </w:pPr>
      <w:r>
        <w:rPr>
          <w:rFonts w:hint="eastAsia"/>
          <w:szCs w:val="24"/>
        </w:rPr>
        <w:t>公司现任董事、监事、高级管理人员专业背景、主要工作经历以及目前在公司的主要职责</w:t>
      </w:r>
    </w:p>
    <w:p>
      <w:pPr>
        <w:autoSpaceDE w:val="0"/>
        <w:autoSpaceDN w:val="0"/>
        <w:adjustRightInd w:val="0"/>
        <w:spacing w:before="0" w:after="0"/>
        <w:ind w:firstLine="482"/>
        <w:jc w:val="left"/>
        <w:rPr>
          <w:rFonts w:eastAsia="Times New Roman"/>
          <w:b/>
          <w:kern w:val="0"/>
          <w:sz w:val="21"/>
          <w:szCs w:val="21"/>
          <w:lang w:val="zh-CN"/>
        </w:rPr>
      </w:pPr>
      <w:r>
        <w:rPr>
          <w:rFonts w:eastAsia="Times New Roman"/>
          <w:b/>
          <w:kern w:val="0"/>
          <w:sz w:val="21"/>
          <w:szCs w:val="21"/>
          <w:lang w:val="zh-CN"/>
        </w:rPr>
        <w:t>1.</w:t>
      </w:r>
      <w:r>
        <w:rPr>
          <w:rFonts w:hint="eastAsia" w:ascii="宋体" w:hAnsi="宋体" w:cs="宋体"/>
          <w:b/>
          <w:kern w:val="0"/>
          <w:sz w:val="21"/>
          <w:szCs w:val="21"/>
          <w:lang w:val="zh-CN"/>
        </w:rPr>
        <w:t>董事会成员简介</w:t>
      </w:r>
    </w:p>
    <w:p>
      <w:pPr>
        <w:autoSpaceDE w:val="0"/>
        <w:autoSpaceDN w:val="0"/>
        <w:adjustRightInd w:val="0"/>
        <w:spacing w:before="0" w:after="0"/>
        <w:ind w:firstLine="480"/>
        <w:jc w:val="left"/>
        <w:rPr>
          <w:rFonts w:eastAsia="Times New Roman"/>
          <w:kern w:val="0"/>
          <w:sz w:val="21"/>
          <w:szCs w:val="21"/>
          <w:lang w:val="zh-CN"/>
        </w:rPr>
      </w:pPr>
      <w:r>
        <w:rPr>
          <w:rFonts w:hint="eastAsia" w:ascii="宋体" w:hAnsi="宋体" w:cs="宋体"/>
          <w:kern w:val="0"/>
          <w:sz w:val="21"/>
          <w:szCs w:val="21"/>
          <w:lang w:val="zh-CN"/>
        </w:rPr>
        <w:t>公司董事会由五名董事组成，其中独立董事两名，具体如下：</w:t>
      </w:r>
    </w:p>
    <w:p>
      <w:pPr>
        <w:autoSpaceDE w:val="0"/>
        <w:autoSpaceDN w:val="0"/>
        <w:adjustRightInd w:val="0"/>
        <w:ind w:firstLine="482"/>
        <w:jc w:val="left"/>
        <w:rPr>
          <w:rFonts w:eastAsia="Times New Roman"/>
          <w:b/>
          <w:kern w:val="0"/>
          <w:sz w:val="21"/>
          <w:szCs w:val="21"/>
          <w:lang w:val="zh-CN"/>
        </w:rPr>
      </w:pPr>
      <w:r>
        <w:rPr>
          <w:rFonts w:hint="eastAsia" w:ascii="宋体" w:hAnsi="宋体" w:cs="宋体"/>
          <w:b/>
          <w:kern w:val="0"/>
          <w:sz w:val="21"/>
          <w:szCs w:val="21"/>
          <w:lang w:val="zh-CN"/>
        </w:rPr>
        <w:t>申万秋</w:t>
      </w:r>
      <w:r>
        <w:rPr>
          <w:rFonts w:hint="eastAsia" w:ascii="宋体" w:hAnsi="宋体" w:cs="宋体"/>
          <w:kern w:val="0"/>
          <w:sz w:val="21"/>
          <w:szCs w:val="21"/>
          <w:lang w:val="zh-CN"/>
        </w:rPr>
        <w:t>，男，出生于</w:t>
      </w:r>
      <w:r>
        <w:rPr>
          <w:rFonts w:eastAsia="Times New Roman"/>
          <w:kern w:val="0"/>
          <w:sz w:val="21"/>
          <w:szCs w:val="21"/>
          <w:lang w:val="zh-CN"/>
        </w:rPr>
        <w:t>1970</w:t>
      </w:r>
      <w:r>
        <w:rPr>
          <w:rFonts w:hint="eastAsia" w:ascii="宋体" w:hAnsi="宋体" w:cs="宋体"/>
          <w:kern w:val="0"/>
          <w:sz w:val="21"/>
          <w:szCs w:val="21"/>
          <w:lang w:val="zh-CN"/>
        </w:rPr>
        <w:t>年</w:t>
      </w:r>
      <w:r>
        <w:rPr>
          <w:rFonts w:eastAsia="Times New Roman"/>
          <w:kern w:val="0"/>
          <w:sz w:val="21"/>
          <w:szCs w:val="21"/>
          <w:lang w:val="zh-CN"/>
        </w:rPr>
        <w:t>4</w:t>
      </w:r>
      <w:r>
        <w:rPr>
          <w:rFonts w:hint="eastAsia" w:ascii="宋体" w:hAnsi="宋体" w:cs="宋体"/>
          <w:kern w:val="0"/>
          <w:sz w:val="21"/>
          <w:szCs w:val="21"/>
          <w:lang w:val="zh-CN"/>
        </w:rPr>
        <w:t>月，毕业于清华大学经济管理学院，获工商管理硕士学位，入选清华</w:t>
      </w:r>
      <w:r>
        <w:rPr>
          <w:rFonts w:eastAsia="Times New Roman"/>
          <w:kern w:val="0"/>
          <w:sz w:val="21"/>
          <w:szCs w:val="21"/>
          <w:lang w:val="zh-CN"/>
        </w:rPr>
        <w:t>MBA</w:t>
      </w:r>
      <w:r>
        <w:rPr>
          <w:rFonts w:hint="eastAsia" w:ascii="宋体" w:hAnsi="宋体" w:cs="宋体"/>
          <w:kern w:val="0"/>
          <w:sz w:val="21"/>
          <w:szCs w:val="21"/>
          <w:lang w:val="zh-CN"/>
        </w:rPr>
        <w:t>教育</w:t>
      </w:r>
      <w:r>
        <w:rPr>
          <w:rFonts w:eastAsia="Times New Roman"/>
          <w:kern w:val="0"/>
          <w:sz w:val="21"/>
          <w:szCs w:val="21"/>
          <w:lang w:val="zh-CN"/>
        </w:rPr>
        <w:t>20</w:t>
      </w:r>
      <w:r>
        <w:rPr>
          <w:rFonts w:hint="eastAsia" w:ascii="宋体" w:hAnsi="宋体" w:cs="宋体"/>
          <w:kern w:val="0"/>
          <w:sz w:val="21"/>
          <w:szCs w:val="21"/>
          <w:lang w:val="zh-CN"/>
        </w:rPr>
        <w:t>年</w:t>
      </w:r>
      <w:r>
        <w:rPr>
          <w:rFonts w:eastAsia="Times New Roman"/>
          <w:kern w:val="0"/>
          <w:sz w:val="21"/>
          <w:szCs w:val="21"/>
          <w:lang w:val="zh-CN"/>
        </w:rPr>
        <w:t>20</w:t>
      </w:r>
      <w:r>
        <w:rPr>
          <w:rFonts w:hint="eastAsia" w:ascii="宋体" w:hAnsi="宋体" w:cs="宋体"/>
          <w:kern w:val="0"/>
          <w:sz w:val="21"/>
          <w:szCs w:val="21"/>
          <w:lang w:val="zh-CN"/>
        </w:rPr>
        <w:t>人。曾工作于中国邮电工业总公司、清华大学与企业合作委员会。中关村科技园区海淀园企业家协会咨询委员会委员，中关村科技园区</w:t>
      </w:r>
      <w:r>
        <w:rPr>
          <w:rFonts w:eastAsia="Times New Roman"/>
          <w:kern w:val="0"/>
          <w:sz w:val="21"/>
          <w:szCs w:val="21"/>
          <w:lang w:val="zh-CN"/>
        </w:rPr>
        <w:t>20</w:t>
      </w:r>
      <w:r>
        <w:rPr>
          <w:rFonts w:hint="eastAsia" w:ascii="宋体" w:hAnsi="宋体" w:cs="宋体"/>
          <w:kern w:val="0"/>
          <w:sz w:val="21"/>
          <w:szCs w:val="21"/>
          <w:lang w:val="zh-CN"/>
        </w:rPr>
        <w:t>周年突出贡献奖获得者。</w:t>
      </w:r>
      <w:r>
        <w:rPr>
          <w:rFonts w:eastAsia="Times New Roman"/>
          <w:kern w:val="0"/>
          <w:sz w:val="21"/>
          <w:szCs w:val="21"/>
          <w:lang w:val="zh-CN"/>
        </w:rPr>
        <w:t>2001</w:t>
      </w:r>
      <w:r>
        <w:rPr>
          <w:rFonts w:hint="eastAsia" w:ascii="宋体" w:hAnsi="宋体" w:cs="宋体"/>
          <w:kern w:val="0"/>
          <w:sz w:val="21"/>
          <w:szCs w:val="21"/>
          <w:lang w:val="zh-CN"/>
        </w:rPr>
        <w:t>年</w:t>
      </w:r>
      <w:r>
        <w:rPr>
          <w:rFonts w:eastAsia="Times New Roman"/>
          <w:kern w:val="0"/>
          <w:sz w:val="21"/>
          <w:szCs w:val="21"/>
          <w:lang w:val="zh-CN"/>
        </w:rPr>
        <w:t>2</w:t>
      </w:r>
      <w:r>
        <w:rPr>
          <w:rFonts w:hint="eastAsia" w:ascii="宋体" w:hAnsi="宋体" w:cs="宋体"/>
          <w:kern w:val="0"/>
          <w:sz w:val="21"/>
          <w:szCs w:val="21"/>
          <w:lang w:val="zh-CN"/>
        </w:rPr>
        <w:t>月创办北京海兰信数据记录科技有限公司（本公司前身），任董事长。现任本公司董事长、上海海兰劳雷董事长、劳雷海洋系统董事长、</w:t>
      </w:r>
      <w:r>
        <w:rPr>
          <w:rFonts w:eastAsia="Times New Roman"/>
          <w:kern w:val="0"/>
          <w:sz w:val="21"/>
          <w:szCs w:val="21"/>
          <w:lang w:val="zh-CN"/>
        </w:rPr>
        <w:t xml:space="preserve">Summerview </w:t>
      </w:r>
      <w:r>
        <w:rPr>
          <w:rFonts w:hint="eastAsia" w:ascii="宋体" w:hAnsi="宋体" w:cs="宋体"/>
          <w:kern w:val="0"/>
          <w:sz w:val="21"/>
          <w:szCs w:val="21"/>
          <w:lang w:val="zh-CN"/>
        </w:rPr>
        <w:t>董事长、北京劳雷海洋仪器董事长、三沙海兰信董事长、江苏海兰电气董事长、香港海兰船舶董事长、海兰天澄董事长、广东蓝图董事长、海兰船舶董事长、江苏船舶董事长、香港海兰信董事长、江苏海兰信海洋工程董事长、香港海兰信海洋工程董事长、蓝鲸众合董事长、上海言盛执行事务合伙人、无锡言盛合伙人、无锡深蓝合伙人、无锡欧特董事长、香港联合海洋科技董事长、</w:t>
      </w:r>
      <w:r>
        <w:rPr>
          <w:rFonts w:eastAsia="Times New Roman"/>
          <w:kern w:val="0"/>
          <w:sz w:val="21"/>
          <w:szCs w:val="21"/>
          <w:lang w:val="zh-CN"/>
        </w:rPr>
        <w:t>OCEANWORKS HOLDING CO., LTD.</w:t>
      </w:r>
      <w:r>
        <w:rPr>
          <w:rFonts w:hint="eastAsia" w:ascii="宋体" w:hAnsi="宋体" w:cs="宋体"/>
          <w:kern w:val="0"/>
          <w:sz w:val="21"/>
          <w:szCs w:val="21"/>
          <w:lang w:val="zh-CN"/>
        </w:rPr>
        <w:t>董事长、</w:t>
      </w:r>
      <w:r>
        <w:rPr>
          <w:rFonts w:eastAsia="Times New Roman"/>
          <w:kern w:val="0"/>
          <w:sz w:val="21"/>
          <w:szCs w:val="21"/>
          <w:lang w:val="zh-CN"/>
        </w:rPr>
        <w:t>OCEANWORKS INTERNATIONAL CORPORATION</w:t>
      </w:r>
      <w:r>
        <w:rPr>
          <w:rFonts w:hint="eastAsia" w:ascii="宋体" w:hAnsi="宋体" w:cs="宋体"/>
          <w:kern w:val="0"/>
          <w:sz w:val="21"/>
          <w:szCs w:val="21"/>
          <w:lang w:val="zh-CN"/>
        </w:rPr>
        <w:t>董事长。</w:t>
      </w:r>
    </w:p>
    <w:p>
      <w:pPr>
        <w:autoSpaceDE w:val="0"/>
        <w:autoSpaceDN w:val="0"/>
        <w:adjustRightInd w:val="0"/>
        <w:ind w:firstLine="482"/>
        <w:jc w:val="left"/>
        <w:rPr>
          <w:rFonts w:eastAsia="Times New Roman"/>
          <w:kern w:val="0"/>
          <w:sz w:val="21"/>
          <w:szCs w:val="21"/>
          <w:lang w:val="zh-CN"/>
        </w:rPr>
      </w:pPr>
      <w:r>
        <w:rPr>
          <w:rFonts w:hint="eastAsia" w:ascii="宋体" w:hAnsi="宋体" w:cs="宋体"/>
          <w:b/>
          <w:kern w:val="0"/>
          <w:sz w:val="21"/>
          <w:szCs w:val="21"/>
          <w:lang w:val="zh-CN"/>
        </w:rPr>
        <w:t>唐军武，</w:t>
      </w:r>
      <w:r>
        <w:rPr>
          <w:rFonts w:hint="eastAsia" w:ascii="宋体" w:hAnsi="宋体" w:cs="宋体"/>
          <w:kern w:val="0"/>
          <w:sz w:val="21"/>
          <w:szCs w:val="21"/>
          <w:lang w:val="zh-CN"/>
        </w:rPr>
        <w:t>男，出生于</w:t>
      </w:r>
      <w:r>
        <w:rPr>
          <w:rFonts w:eastAsia="Times New Roman"/>
          <w:kern w:val="0"/>
          <w:sz w:val="21"/>
          <w:szCs w:val="21"/>
          <w:lang w:val="zh-CN"/>
        </w:rPr>
        <w:t>1965</w:t>
      </w:r>
      <w:r>
        <w:rPr>
          <w:rFonts w:hint="eastAsia" w:ascii="宋体" w:hAnsi="宋体" w:cs="宋体"/>
          <w:kern w:val="0"/>
          <w:sz w:val="21"/>
          <w:szCs w:val="21"/>
          <w:lang w:val="zh-CN"/>
        </w:rPr>
        <w:t>年</w:t>
      </w:r>
      <w:r>
        <w:rPr>
          <w:rFonts w:eastAsia="Times New Roman"/>
          <w:kern w:val="0"/>
          <w:sz w:val="21"/>
          <w:szCs w:val="21"/>
          <w:lang w:val="zh-CN"/>
        </w:rPr>
        <w:t>5</w:t>
      </w:r>
      <w:r>
        <w:rPr>
          <w:rFonts w:hint="eastAsia" w:ascii="宋体" w:hAnsi="宋体" w:cs="宋体"/>
          <w:kern w:val="0"/>
          <w:sz w:val="21"/>
          <w:szCs w:val="21"/>
          <w:lang w:val="zh-CN"/>
        </w:rPr>
        <w:t>月，中国海洋大学、中科院遥感所兼职博士导师。</w:t>
      </w:r>
      <w:r>
        <w:rPr>
          <w:rFonts w:eastAsia="Times New Roman"/>
          <w:kern w:val="0"/>
          <w:sz w:val="21"/>
          <w:szCs w:val="21"/>
          <w:lang w:val="zh-CN"/>
        </w:rPr>
        <w:t>1999</w:t>
      </w:r>
      <w:r>
        <w:rPr>
          <w:rFonts w:hint="eastAsia" w:ascii="宋体" w:hAnsi="宋体" w:cs="宋体"/>
          <w:kern w:val="0"/>
          <w:sz w:val="21"/>
          <w:szCs w:val="21"/>
          <w:lang w:val="zh-CN"/>
        </w:rPr>
        <w:t>年于中国科学院遥感应用研究所获博士学位，获天津大学计算机学士、硕士学位。</w:t>
      </w:r>
      <w:r>
        <w:rPr>
          <w:rFonts w:eastAsia="Times New Roman"/>
          <w:kern w:val="0"/>
          <w:sz w:val="21"/>
          <w:szCs w:val="21"/>
          <w:lang w:val="zh-CN"/>
        </w:rPr>
        <w:t>2006</w:t>
      </w:r>
      <w:r>
        <w:rPr>
          <w:rFonts w:hint="eastAsia" w:ascii="宋体" w:hAnsi="宋体" w:cs="宋体"/>
          <w:kern w:val="0"/>
          <w:sz w:val="21"/>
          <w:szCs w:val="21"/>
          <w:lang w:val="zh-CN"/>
        </w:rPr>
        <w:t>年获国务院政府特殊贡献津贴。</w:t>
      </w:r>
      <w:r>
        <w:rPr>
          <w:rFonts w:eastAsia="Times New Roman"/>
          <w:kern w:val="0"/>
          <w:sz w:val="21"/>
          <w:szCs w:val="21"/>
          <w:lang w:val="zh-CN"/>
        </w:rPr>
        <w:t>1992</w:t>
      </w:r>
      <w:r>
        <w:rPr>
          <w:rFonts w:hint="eastAsia" w:ascii="宋体" w:hAnsi="宋体" w:cs="宋体"/>
          <w:kern w:val="0"/>
          <w:sz w:val="21"/>
          <w:szCs w:val="21"/>
          <w:lang w:val="zh-CN"/>
        </w:rPr>
        <w:t>年开始从事海洋卫星遥感、海洋观测技术与装备研究工作，先后在国家海洋技术中心、国家卫星海洋应用中心任高级工程师、二级研究员、产业化处长、副总工程师等；</w:t>
      </w:r>
      <w:r>
        <w:rPr>
          <w:rFonts w:eastAsia="Times New Roman"/>
          <w:kern w:val="0"/>
          <w:sz w:val="21"/>
          <w:szCs w:val="21"/>
          <w:lang w:val="zh-CN"/>
        </w:rPr>
        <w:t>2009</w:t>
      </w:r>
      <w:r>
        <w:rPr>
          <w:rFonts w:hint="eastAsia" w:ascii="宋体" w:hAnsi="宋体" w:cs="宋体"/>
          <w:kern w:val="0"/>
          <w:sz w:val="21"/>
          <w:szCs w:val="21"/>
          <w:lang w:val="zh-CN"/>
        </w:rPr>
        <w:t>至</w:t>
      </w:r>
      <w:r>
        <w:rPr>
          <w:rFonts w:eastAsia="Times New Roman"/>
          <w:kern w:val="0"/>
          <w:sz w:val="21"/>
          <w:szCs w:val="21"/>
          <w:lang w:val="zh-CN"/>
        </w:rPr>
        <w:t>2015</w:t>
      </w:r>
      <w:r>
        <w:rPr>
          <w:rFonts w:hint="eastAsia" w:ascii="宋体" w:hAnsi="宋体" w:cs="宋体"/>
          <w:kern w:val="0"/>
          <w:sz w:val="21"/>
          <w:szCs w:val="21"/>
          <w:lang w:val="zh-CN"/>
        </w:rPr>
        <w:t>年从事海洋技术装备成果转化与产品化工作，曾任天津市海华技术开发中心总经理、中国海洋学会海洋观测技术分会秘书长。</w:t>
      </w:r>
      <w:r>
        <w:rPr>
          <w:rFonts w:eastAsia="Times New Roman"/>
          <w:kern w:val="0"/>
          <w:sz w:val="21"/>
          <w:szCs w:val="21"/>
          <w:lang w:val="zh-CN"/>
        </w:rPr>
        <w:t>2016</w:t>
      </w:r>
      <w:r>
        <w:rPr>
          <w:rFonts w:hint="eastAsia" w:ascii="宋体" w:hAnsi="宋体" w:cs="宋体"/>
          <w:kern w:val="0"/>
          <w:sz w:val="21"/>
          <w:szCs w:val="21"/>
          <w:lang w:val="zh-CN"/>
        </w:rPr>
        <w:t>年</w:t>
      </w:r>
      <w:r>
        <w:rPr>
          <w:rFonts w:eastAsia="Times New Roman"/>
          <w:kern w:val="0"/>
          <w:sz w:val="21"/>
          <w:szCs w:val="21"/>
          <w:lang w:val="zh-CN"/>
        </w:rPr>
        <w:t>3</w:t>
      </w:r>
      <w:r>
        <w:rPr>
          <w:rFonts w:hint="eastAsia" w:ascii="宋体" w:hAnsi="宋体" w:cs="宋体"/>
          <w:kern w:val="0"/>
          <w:sz w:val="21"/>
          <w:szCs w:val="21"/>
          <w:lang w:val="zh-CN"/>
        </w:rPr>
        <w:t>月起任本公司海洋技术总工程师。</w:t>
      </w:r>
    </w:p>
    <w:p>
      <w:pPr>
        <w:autoSpaceDE w:val="0"/>
        <w:autoSpaceDN w:val="0"/>
        <w:adjustRightInd w:val="0"/>
        <w:spacing w:before="0" w:after="0"/>
        <w:ind w:firstLine="482"/>
        <w:jc w:val="left"/>
        <w:rPr>
          <w:rFonts w:eastAsia="Times New Roman"/>
          <w:kern w:val="0"/>
          <w:sz w:val="21"/>
          <w:szCs w:val="21"/>
          <w:lang w:val="zh-CN"/>
        </w:rPr>
      </w:pPr>
      <w:r>
        <w:rPr>
          <w:rFonts w:hint="eastAsia" w:ascii="宋体" w:hAnsi="宋体" w:cs="宋体"/>
          <w:b/>
          <w:kern w:val="0"/>
          <w:sz w:val="21"/>
          <w:szCs w:val="21"/>
          <w:lang w:val="zh-CN"/>
        </w:rPr>
        <w:t>仓梓剑</w:t>
      </w:r>
      <w:r>
        <w:rPr>
          <w:rFonts w:hint="eastAsia" w:ascii="宋体" w:hAnsi="宋体" w:cs="宋体"/>
          <w:kern w:val="0"/>
          <w:sz w:val="21"/>
          <w:szCs w:val="21"/>
          <w:lang w:val="zh-CN"/>
        </w:rPr>
        <w:t>，男，出生于</w:t>
      </w:r>
      <w:r>
        <w:rPr>
          <w:rFonts w:eastAsia="Times New Roman"/>
          <w:kern w:val="0"/>
          <w:sz w:val="21"/>
          <w:szCs w:val="21"/>
          <w:lang w:val="zh-CN"/>
        </w:rPr>
        <w:t>1973</w:t>
      </w:r>
      <w:r>
        <w:rPr>
          <w:rFonts w:hint="eastAsia" w:ascii="宋体" w:hAnsi="宋体" w:cs="宋体"/>
          <w:kern w:val="0"/>
          <w:sz w:val="21"/>
          <w:szCs w:val="21"/>
          <w:lang w:val="zh-CN"/>
        </w:rPr>
        <w:t>年</w:t>
      </w:r>
      <w:r>
        <w:rPr>
          <w:rFonts w:eastAsia="Times New Roman"/>
          <w:kern w:val="0"/>
          <w:sz w:val="21"/>
          <w:szCs w:val="21"/>
          <w:lang w:val="zh-CN"/>
        </w:rPr>
        <w:t>5</w:t>
      </w:r>
      <w:r>
        <w:rPr>
          <w:rFonts w:hint="eastAsia" w:ascii="宋体" w:hAnsi="宋体" w:cs="宋体"/>
          <w:kern w:val="0"/>
          <w:sz w:val="21"/>
          <w:szCs w:val="21"/>
          <w:lang w:val="zh-CN"/>
        </w:rPr>
        <w:t>月，毕业于清华大学经济管理学院工商管理专业，硕士学历；历任：</w:t>
      </w:r>
      <w:r>
        <w:rPr>
          <w:rFonts w:eastAsia="Times New Roman"/>
          <w:kern w:val="0"/>
          <w:sz w:val="21"/>
          <w:szCs w:val="21"/>
          <w:lang w:val="zh-CN"/>
        </w:rPr>
        <w:t>2000</w:t>
      </w:r>
      <w:r>
        <w:rPr>
          <w:rFonts w:hint="eastAsia" w:ascii="宋体" w:hAnsi="宋体" w:cs="宋体"/>
          <w:kern w:val="0"/>
          <w:sz w:val="21"/>
          <w:szCs w:val="21"/>
          <w:lang w:val="zh-CN"/>
        </w:rPr>
        <w:t>年</w:t>
      </w:r>
      <w:r>
        <w:rPr>
          <w:rFonts w:eastAsia="Times New Roman"/>
          <w:kern w:val="0"/>
          <w:sz w:val="21"/>
          <w:szCs w:val="21"/>
          <w:lang w:val="zh-CN"/>
        </w:rPr>
        <w:t>9</w:t>
      </w:r>
      <w:r>
        <w:rPr>
          <w:rFonts w:hint="eastAsia" w:ascii="宋体" w:hAnsi="宋体" w:cs="宋体"/>
          <w:kern w:val="0"/>
          <w:sz w:val="21"/>
          <w:szCs w:val="21"/>
          <w:lang w:val="zh-CN"/>
        </w:rPr>
        <w:t>月至</w:t>
      </w:r>
      <w:r>
        <w:rPr>
          <w:rFonts w:eastAsia="Times New Roman"/>
          <w:kern w:val="0"/>
          <w:sz w:val="21"/>
          <w:szCs w:val="21"/>
          <w:lang w:val="zh-CN"/>
        </w:rPr>
        <w:t>2002</w:t>
      </w:r>
      <w:r>
        <w:rPr>
          <w:rFonts w:hint="eastAsia" w:ascii="宋体" w:hAnsi="宋体" w:cs="宋体"/>
          <w:kern w:val="0"/>
          <w:sz w:val="21"/>
          <w:szCs w:val="21"/>
          <w:lang w:val="zh-CN"/>
        </w:rPr>
        <w:t>年</w:t>
      </w:r>
      <w:r>
        <w:rPr>
          <w:rFonts w:eastAsia="Times New Roman"/>
          <w:kern w:val="0"/>
          <w:sz w:val="21"/>
          <w:szCs w:val="21"/>
          <w:lang w:val="zh-CN"/>
        </w:rPr>
        <w:t>11</w:t>
      </w:r>
      <w:r>
        <w:rPr>
          <w:rFonts w:hint="eastAsia" w:ascii="宋体" w:hAnsi="宋体" w:cs="宋体"/>
          <w:kern w:val="0"/>
          <w:sz w:val="21"/>
          <w:szCs w:val="21"/>
          <w:lang w:val="zh-CN"/>
        </w:rPr>
        <w:t>月，美国普华永道咨询公司首席顾问，从事战略咨询工作；</w:t>
      </w:r>
      <w:r>
        <w:rPr>
          <w:rFonts w:eastAsia="Times New Roman"/>
          <w:kern w:val="0"/>
          <w:sz w:val="21"/>
          <w:szCs w:val="21"/>
          <w:lang w:val="zh-CN"/>
        </w:rPr>
        <w:t>2002</w:t>
      </w:r>
      <w:r>
        <w:rPr>
          <w:rFonts w:hint="eastAsia" w:ascii="宋体" w:hAnsi="宋体" w:cs="宋体"/>
          <w:kern w:val="0"/>
          <w:sz w:val="21"/>
          <w:szCs w:val="21"/>
          <w:lang w:val="zh-CN"/>
        </w:rPr>
        <w:t>年底起加入美国国际商业机器公司，任全球业务咨询部合伙人，负责战略与变革咨询业务；在企业转型，战略规划，组织策略，流程再造，人力资源管理，兼并收购管理等多个领域拥有专业经验。</w:t>
      </w:r>
      <w:r>
        <w:rPr>
          <w:rFonts w:eastAsia="Times New Roman"/>
          <w:kern w:val="0"/>
          <w:sz w:val="21"/>
          <w:szCs w:val="21"/>
          <w:lang w:val="zh-CN"/>
        </w:rPr>
        <w:t>2012</w:t>
      </w:r>
      <w:r>
        <w:rPr>
          <w:rFonts w:hint="eastAsia" w:ascii="宋体" w:hAnsi="宋体" w:cs="宋体"/>
          <w:kern w:val="0"/>
          <w:sz w:val="21"/>
          <w:szCs w:val="21"/>
          <w:lang w:val="zh-CN"/>
        </w:rPr>
        <w:t>年</w:t>
      </w:r>
      <w:r>
        <w:rPr>
          <w:rFonts w:eastAsia="Times New Roman"/>
          <w:kern w:val="0"/>
          <w:sz w:val="21"/>
          <w:szCs w:val="21"/>
          <w:lang w:val="zh-CN"/>
        </w:rPr>
        <w:t>12</w:t>
      </w:r>
      <w:r>
        <w:rPr>
          <w:rFonts w:hint="eastAsia" w:ascii="宋体" w:hAnsi="宋体" w:cs="宋体"/>
          <w:kern w:val="0"/>
          <w:sz w:val="21"/>
          <w:szCs w:val="21"/>
          <w:lang w:val="zh-CN"/>
        </w:rPr>
        <w:t>月加入本公司，任本公司董事。自</w:t>
      </w:r>
      <w:r>
        <w:rPr>
          <w:rFonts w:eastAsia="Times New Roman"/>
          <w:kern w:val="0"/>
          <w:sz w:val="21"/>
          <w:szCs w:val="21"/>
          <w:lang w:val="zh-CN"/>
        </w:rPr>
        <w:t>2016</w:t>
      </w:r>
      <w:r>
        <w:rPr>
          <w:rFonts w:hint="eastAsia" w:ascii="宋体" w:hAnsi="宋体" w:cs="宋体"/>
          <w:kern w:val="0"/>
          <w:sz w:val="21"/>
          <w:szCs w:val="21"/>
          <w:lang w:val="zh-CN"/>
        </w:rPr>
        <w:t>年</w:t>
      </w:r>
      <w:r>
        <w:rPr>
          <w:rFonts w:eastAsia="Times New Roman"/>
          <w:kern w:val="0"/>
          <w:sz w:val="21"/>
          <w:szCs w:val="21"/>
          <w:lang w:val="zh-CN"/>
        </w:rPr>
        <w:t>12</w:t>
      </w:r>
      <w:r>
        <w:rPr>
          <w:rFonts w:hint="eastAsia" w:ascii="宋体" w:hAnsi="宋体" w:cs="宋体"/>
          <w:kern w:val="0"/>
          <w:sz w:val="21"/>
          <w:szCs w:val="21"/>
          <w:lang w:val="zh-CN"/>
        </w:rPr>
        <w:t>月起，担任深圳合御投资发展有限公司董事总经理一职。</w:t>
      </w:r>
    </w:p>
    <w:p>
      <w:pPr>
        <w:autoSpaceDE w:val="0"/>
        <w:autoSpaceDN w:val="0"/>
        <w:adjustRightInd w:val="0"/>
        <w:spacing w:before="0" w:after="0"/>
        <w:ind w:firstLine="482"/>
        <w:jc w:val="left"/>
        <w:rPr>
          <w:rFonts w:eastAsia="Times New Roman"/>
          <w:kern w:val="0"/>
          <w:sz w:val="21"/>
          <w:szCs w:val="21"/>
          <w:lang w:val="zh-CN"/>
        </w:rPr>
      </w:pPr>
      <w:r>
        <w:rPr>
          <w:rFonts w:hint="eastAsia" w:ascii="宋体" w:hAnsi="宋体" w:cs="宋体"/>
          <w:b/>
          <w:kern w:val="0"/>
          <w:sz w:val="21"/>
          <w:szCs w:val="21"/>
          <w:lang w:val="zh-CN"/>
        </w:rPr>
        <w:t>孙陶然</w:t>
      </w:r>
      <w:r>
        <w:rPr>
          <w:rFonts w:hint="eastAsia" w:ascii="宋体" w:hAnsi="宋体" w:cs="宋体"/>
          <w:kern w:val="0"/>
          <w:sz w:val="21"/>
          <w:szCs w:val="21"/>
          <w:lang w:val="zh-CN"/>
        </w:rPr>
        <w:t>，男，出生于</w:t>
      </w:r>
      <w:r>
        <w:rPr>
          <w:rFonts w:eastAsia="Times New Roman"/>
          <w:kern w:val="0"/>
          <w:sz w:val="21"/>
          <w:szCs w:val="21"/>
          <w:lang w:val="zh-CN"/>
        </w:rPr>
        <w:t xml:space="preserve"> 1969 </w:t>
      </w:r>
      <w:r>
        <w:rPr>
          <w:rFonts w:hint="eastAsia" w:ascii="宋体" w:hAnsi="宋体" w:cs="宋体"/>
          <w:kern w:val="0"/>
          <w:sz w:val="21"/>
          <w:szCs w:val="21"/>
          <w:lang w:val="zh-CN"/>
        </w:rPr>
        <w:t>年</w:t>
      </w:r>
      <w:r>
        <w:rPr>
          <w:rFonts w:eastAsia="Times New Roman"/>
          <w:kern w:val="0"/>
          <w:sz w:val="21"/>
          <w:szCs w:val="21"/>
          <w:lang w:val="zh-CN"/>
        </w:rPr>
        <w:t xml:space="preserve"> 3 </w:t>
      </w:r>
      <w:r>
        <w:rPr>
          <w:rFonts w:hint="eastAsia" w:ascii="宋体" w:hAnsi="宋体" w:cs="宋体"/>
          <w:kern w:val="0"/>
          <w:sz w:val="21"/>
          <w:szCs w:val="21"/>
          <w:lang w:val="zh-CN"/>
        </w:rPr>
        <w:t>月，毕业于北京大学经济管理系，历任北京四达集团广告艺术公司副总经理、总经理，四达集团副总裁，北京恒基伟业电子产品有限公司董事、常务副总裁，北京乾坤时尚电子公司首席执行官，现任拉卡拉支付股份有限公司董事长，北京旋极信息技术股份有限公司董事，北京未名雅集文化发展有限公司董事，广联达软件股份有限公司独立董事，北京北陆药业股份有限公司独立董事。</w:t>
      </w:r>
      <w:r>
        <w:rPr>
          <w:rFonts w:eastAsia="Times New Roman"/>
          <w:kern w:val="0"/>
          <w:sz w:val="21"/>
          <w:szCs w:val="21"/>
          <w:lang w:val="zh-CN"/>
        </w:rPr>
        <w:t>2014</w:t>
      </w:r>
      <w:r>
        <w:rPr>
          <w:rFonts w:hint="eastAsia" w:ascii="宋体" w:hAnsi="宋体" w:cs="宋体"/>
          <w:kern w:val="0"/>
          <w:sz w:val="21"/>
          <w:szCs w:val="21"/>
          <w:lang w:val="zh-CN"/>
        </w:rPr>
        <w:t>年</w:t>
      </w:r>
      <w:r>
        <w:rPr>
          <w:rFonts w:eastAsia="Times New Roman"/>
          <w:kern w:val="0"/>
          <w:sz w:val="21"/>
          <w:szCs w:val="21"/>
          <w:lang w:val="zh-CN"/>
        </w:rPr>
        <w:t>7</w:t>
      </w:r>
      <w:r>
        <w:rPr>
          <w:rFonts w:hint="eastAsia" w:ascii="宋体" w:hAnsi="宋体" w:cs="宋体"/>
          <w:kern w:val="0"/>
          <w:sz w:val="21"/>
          <w:szCs w:val="21"/>
          <w:lang w:val="zh-CN"/>
        </w:rPr>
        <w:t>月</w:t>
      </w:r>
      <w:r>
        <w:rPr>
          <w:rFonts w:eastAsia="Times New Roman"/>
          <w:kern w:val="0"/>
          <w:sz w:val="21"/>
          <w:szCs w:val="21"/>
          <w:lang w:val="zh-CN"/>
        </w:rPr>
        <w:t>30</w:t>
      </w:r>
      <w:r>
        <w:rPr>
          <w:rFonts w:hint="eastAsia" w:ascii="宋体" w:hAnsi="宋体" w:cs="宋体"/>
          <w:kern w:val="0"/>
          <w:sz w:val="21"/>
          <w:szCs w:val="21"/>
          <w:lang w:val="zh-CN"/>
        </w:rPr>
        <w:t>日起任本公司独立董事。</w:t>
      </w:r>
    </w:p>
    <w:p>
      <w:pPr>
        <w:autoSpaceDE w:val="0"/>
        <w:autoSpaceDN w:val="0"/>
        <w:adjustRightInd w:val="0"/>
        <w:spacing w:before="0" w:after="0"/>
        <w:ind w:firstLine="482"/>
        <w:jc w:val="left"/>
        <w:rPr>
          <w:rFonts w:eastAsia="Times New Roman"/>
          <w:kern w:val="0"/>
          <w:sz w:val="21"/>
          <w:szCs w:val="21"/>
          <w:lang w:val="zh-CN"/>
        </w:rPr>
      </w:pPr>
      <w:r>
        <w:rPr>
          <w:rFonts w:hint="eastAsia" w:ascii="宋体" w:hAnsi="宋体" w:cs="宋体"/>
          <w:b/>
          <w:kern w:val="0"/>
          <w:sz w:val="21"/>
          <w:szCs w:val="21"/>
          <w:lang w:val="zh-CN"/>
        </w:rPr>
        <w:t>李焰</w:t>
      </w:r>
      <w:r>
        <w:rPr>
          <w:rFonts w:hint="eastAsia" w:ascii="宋体" w:hAnsi="宋体" w:cs="宋体"/>
          <w:kern w:val="0"/>
          <w:sz w:val="21"/>
          <w:szCs w:val="21"/>
          <w:lang w:val="zh-CN"/>
        </w:rPr>
        <w:t>，女，中国国籍，生于</w:t>
      </w:r>
      <w:r>
        <w:rPr>
          <w:rFonts w:eastAsia="Times New Roman"/>
          <w:kern w:val="0"/>
          <w:sz w:val="21"/>
          <w:szCs w:val="21"/>
          <w:lang w:val="zh-CN"/>
        </w:rPr>
        <w:t>1956</w:t>
      </w:r>
      <w:r>
        <w:rPr>
          <w:rFonts w:hint="eastAsia" w:ascii="宋体" w:hAnsi="宋体" w:cs="宋体"/>
          <w:kern w:val="0"/>
          <w:sz w:val="21"/>
          <w:szCs w:val="21"/>
          <w:lang w:val="zh-CN"/>
        </w:rPr>
        <w:t>年</w:t>
      </w:r>
      <w:r>
        <w:rPr>
          <w:rFonts w:eastAsia="Times New Roman"/>
          <w:kern w:val="0"/>
          <w:sz w:val="21"/>
          <w:szCs w:val="21"/>
          <w:lang w:val="zh-CN"/>
        </w:rPr>
        <w:t>4</w:t>
      </w:r>
      <w:r>
        <w:rPr>
          <w:rFonts w:hint="eastAsia" w:ascii="宋体" w:hAnsi="宋体" w:cs="宋体"/>
          <w:kern w:val="0"/>
          <w:sz w:val="21"/>
          <w:szCs w:val="21"/>
          <w:lang w:val="zh-CN"/>
        </w:rPr>
        <w:t>月，中国人民大学商学院财务金融系教授、博士生导师，中国人民大学小微金融研究中心主任</w:t>
      </w:r>
      <w:r>
        <w:rPr>
          <w:rFonts w:eastAsia="Times New Roman"/>
          <w:kern w:val="0"/>
          <w:sz w:val="21"/>
          <w:szCs w:val="21"/>
          <w:lang w:val="zh-CN"/>
        </w:rPr>
        <w:t>,</w:t>
      </w:r>
      <w:r>
        <w:rPr>
          <w:rFonts w:hint="eastAsia" w:ascii="宋体" w:hAnsi="宋体" w:cs="宋体"/>
          <w:kern w:val="0"/>
          <w:sz w:val="21"/>
          <w:szCs w:val="21"/>
          <w:lang w:val="zh-CN"/>
        </w:rPr>
        <w:t>中国普惠金融研究院理事会秘书长。曾任中国银行北京分行助理研究员；北京中国证券市场研究设计中心（联办）研究部副主任；美国麻省理工学院斯隆商学院访问学者；中国人民大学商学院财务金融系主任。</w:t>
      </w:r>
      <w:r>
        <w:rPr>
          <w:rFonts w:eastAsia="Times New Roman"/>
          <w:kern w:val="0"/>
          <w:sz w:val="21"/>
          <w:szCs w:val="21"/>
          <w:lang w:val="zh-CN"/>
        </w:rPr>
        <w:t>1996</w:t>
      </w:r>
      <w:r>
        <w:rPr>
          <w:rFonts w:hint="eastAsia" w:ascii="宋体" w:hAnsi="宋体" w:cs="宋体"/>
          <w:kern w:val="0"/>
          <w:sz w:val="21"/>
          <w:szCs w:val="21"/>
          <w:lang w:val="zh-CN"/>
        </w:rPr>
        <w:t>年获中国人民大学经济学博士学位。曾经在美国麻省理工学院斯隆商学院、美国南加州大学商学院访问进修，在美国哈佛大学接受培训。</w:t>
      </w:r>
      <w:r>
        <w:rPr>
          <w:rFonts w:eastAsia="Times New Roman"/>
          <w:kern w:val="0"/>
          <w:sz w:val="21"/>
          <w:szCs w:val="21"/>
          <w:lang w:val="zh-CN"/>
        </w:rPr>
        <w:t>2015</w:t>
      </w:r>
      <w:r>
        <w:rPr>
          <w:rFonts w:hint="eastAsia" w:ascii="宋体" w:hAnsi="宋体" w:cs="宋体"/>
          <w:kern w:val="0"/>
          <w:sz w:val="21"/>
          <w:szCs w:val="21"/>
          <w:lang w:val="zh-CN"/>
        </w:rPr>
        <w:t>年</w:t>
      </w:r>
      <w:r>
        <w:rPr>
          <w:rFonts w:eastAsia="Times New Roman"/>
          <w:kern w:val="0"/>
          <w:sz w:val="21"/>
          <w:szCs w:val="21"/>
          <w:lang w:val="zh-CN"/>
        </w:rPr>
        <w:t>8</w:t>
      </w:r>
      <w:r>
        <w:rPr>
          <w:rFonts w:hint="eastAsia" w:ascii="宋体" w:hAnsi="宋体" w:cs="宋体"/>
          <w:kern w:val="0"/>
          <w:sz w:val="21"/>
          <w:szCs w:val="21"/>
          <w:lang w:val="zh-CN"/>
        </w:rPr>
        <w:t>月</w:t>
      </w:r>
      <w:r>
        <w:rPr>
          <w:rFonts w:eastAsia="Times New Roman"/>
          <w:kern w:val="0"/>
          <w:sz w:val="21"/>
          <w:szCs w:val="21"/>
          <w:lang w:val="zh-CN"/>
        </w:rPr>
        <w:t>17</w:t>
      </w:r>
      <w:r>
        <w:rPr>
          <w:rFonts w:hint="eastAsia" w:ascii="宋体" w:hAnsi="宋体" w:cs="宋体"/>
          <w:kern w:val="0"/>
          <w:sz w:val="21"/>
          <w:szCs w:val="21"/>
          <w:lang w:val="zh-CN"/>
        </w:rPr>
        <w:t>日起任本公司独立董事。</w:t>
      </w:r>
    </w:p>
    <w:p>
      <w:pPr>
        <w:autoSpaceDE w:val="0"/>
        <w:autoSpaceDN w:val="0"/>
        <w:adjustRightInd w:val="0"/>
        <w:spacing w:before="0" w:after="0"/>
        <w:ind w:firstLine="482"/>
        <w:jc w:val="left"/>
        <w:rPr>
          <w:rFonts w:eastAsia="Times New Roman"/>
          <w:b/>
          <w:kern w:val="0"/>
          <w:sz w:val="21"/>
          <w:szCs w:val="21"/>
          <w:lang w:val="zh-CN"/>
        </w:rPr>
      </w:pPr>
      <w:r>
        <w:rPr>
          <w:rFonts w:eastAsia="Times New Roman"/>
          <w:b/>
          <w:kern w:val="0"/>
          <w:sz w:val="21"/>
          <w:szCs w:val="21"/>
          <w:lang w:val="zh-CN"/>
        </w:rPr>
        <w:t>2.</w:t>
      </w:r>
      <w:r>
        <w:rPr>
          <w:rFonts w:hint="eastAsia" w:ascii="宋体" w:hAnsi="宋体" w:cs="宋体"/>
          <w:b/>
          <w:kern w:val="0"/>
          <w:sz w:val="21"/>
          <w:szCs w:val="21"/>
          <w:lang w:val="zh-CN"/>
        </w:rPr>
        <w:t>监事会成员简介</w:t>
      </w:r>
    </w:p>
    <w:p>
      <w:pPr>
        <w:autoSpaceDE w:val="0"/>
        <w:autoSpaceDN w:val="0"/>
        <w:adjustRightInd w:val="0"/>
        <w:spacing w:before="0" w:after="0"/>
        <w:ind w:firstLine="480"/>
        <w:jc w:val="left"/>
        <w:rPr>
          <w:rFonts w:eastAsia="Times New Roman"/>
          <w:kern w:val="0"/>
          <w:sz w:val="21"/>
          <w:szCs w:val="21"/>
          <w:lang w:val="zh-CN"/>
        </w:rPr>
      </w:pPr>
      <w:r>
        <w:rPr>
          <w:rFonts w:hint="eastAsia" w:ascii="宋体" w:hAnsi="宋体" w:cs="宋体"/>
          <w:kern w:val="0"/>
          <w:sz w:val="21"/>
          <w:szCs w:val="21"/>
          <w:lang w:val="zh-CN"/>
        </w:rPr>
        <w:t>公司监事会由三名监事组成，其中职工监事一人，具体如下：</w:t>
      </w:r>
    </w:p>
    <w:p>
      <w:pPr>
        <w:autoSpaceDE w:val="0"/>
        <w:autoSpaceDN w:val="0"/>
        <w:adjustRightInd w:val="0"/>
        <w:spacing w:before="0" w:after="0"/>
        <w:ind w:firstLine="482"/>
        <w:jc w:val="left"/>
        <w:rPr>
          <w:rFonts w:eastAsia="Times New Roman"/>
          <w:kern w:val="0"/>
          <w:sz w:val="21"/>
          <w:szCs w:val="21"/>
          <w:lang w:val="zh-CN"/>
        </w:rPr>
      </w:pPr>
      <w:r>
        <w:rPr>
          <w:rFonts w:hint="eastAsia" w:ascii="宋体" w:hAnsi="宋体" w:cs="宋体"/>
          <w:b/>
          <w:kern w:val="0"/>
          <w:sz w:val="21"/>
          <w:szCs w:val="21"/>
          <w:lang w:val="zh-CN"/>
        </w:rPr>
        <w:t>罗茁</w:t>
      </w:r>
      <w:r>
        <w:rPr>
          <w:rFonts w:hint="eastAsia" w:ascii="宋体" w:hAnsi="宋体" w:cs="宋体"/>
          <w:kern w:val="0"/>
          <w:sz w:val="21"/>
          <w:szCs w:val="21"/>
          <w:lang w:val="zh-CN"/>
        </w:rPr>
        <w:t>，男，出生于</w:t>
      </w:r>
      <w:r>
        <w:rPr>
          <w:rFonts w:eastAsia="Times New Roman"/>
          <w:kern w:val="0"/>
          <w:sz w:val="21"/>
          <w:szCs w:val="21"/>
          <w:lang w:val="zh-CN"/>
        </w:rPr>
        <w:t>1962</w:t>
      </w:r>
      <w:r>
        <w:rPr>
          <w:rFonts w:hint="eastAsia" w:ascii="宋体" w:hAnsi="宋体" w:cs="宋体"/>
          <w:kern w:val="0"/>
          <w:sz w:val="21"/>
          <w:szCs w:val="21"/>
          <w:lang w:val="zh-CN"/>
        </w:rPr>
        <w:t>年</w:t>
      </w:r>
      <w:r>
        <w:rPr>
          <w:rFonts w:eastAsia="Times New Roman"/>
          <w:kern w:val="0"/>
          <w:sz w:val="21"/>
          <w:szCs w:val="21"/>
          <w:lang w:val="zh-CN"/>
        </w:rPr>
        <w:t>5</w:t>
      </w:r>
      <w:r>
        <w:rPr>
          <w:rFonts w:hint="eastAsia" w:ascii="宋体" w:hAnsi="宋体" w:cs="宋体"/>
          <w:kern w:val="0"/>
          <w:sz w:val="21"/>
          <w:szCs w:val="21"/>
          <w:lang w:val="zh-CN"/>
        </w:rPr>
        <w:t>月，毕业于清华大学核研院，获工学硕士学位。曾工作于北京市工程咨询公司、清华科技园发展中心；现任清控银杏创业投资管理（北京）有限公司董事长、北京荷华投资管理有限公司董事长、启迪创业投资管理（北京）有限公司董事、启迪银杏投资管理（北京）有限公司董事长、北京华创策源投资管理有限公司总经理、北京启迪明德创业投资有限公司总经理、北京启迪汇德创业投资有限公司总经理、启迪创新（天津）股权投资基金合伙企业</w:t>
      </w:r>
      <w:r>
        <w:rPr>
          <w:rFonts w:eastAsia="Times New Roman"/>
          <w:kern w:val="0"/>
          <w:sz w:val="21"/>
          <w:szCs w:val="21"/>
          <w:lang w:val="zh-CN"/>
        </w:rPr>
        <w:t>(</w:t>
      </w:r>
      <w:r>
        <w:rPr>
          <w:rFonts w:hint="eastAsia" w:ascii="宋体" w:hAnsi="宋体" w:cs="宋体"/>
          <w:kern w:val="0"/>
          <w:sz w:val="21"/>
          <w:szCs w:val="21"/>
          <w:lang w:val="zh-CN"/>
        </w:rPr>
        <w:t>有限合伙）执行事务合伙人委派代表、银杏自清（天津）创业投资合伙企业（有限合伙）执行事务合伙人委派代表、北京银杏博清创业投资合伙企业（有限合伙）执行事务合伙人委派代表、中小企业发展基金（江苏南通有限合伙）执行事务合伙人委派代表、广州银杏投资管理有限公司董事长、北京德鑫泉物联网科技股份有限公司董事、北京兆易创新科技股份有限公司副董事长、北京汉邦高科数字技术股份有限公司董事、北京煦联得节能科技股份有限公司董事、北京青青树动漫科技有限公司董事、北京依科曼生物技术股份有限公司董事、江苏汉印机电科技股份有限公司董事、杭州宽云视讯科技有限公司董事、深圳市比欧特光电有限公司董事、北京九九互娱营销顾问股份有限公司董事。</w:t>
      </w:r>
      <w:r>
        <w:rPr>
          <w:rFonts w:eastAsia="Times New Roman"/>
          <w:kern w:val="0"/>
          <w:sz w:val="21"/>
          <w:szCs w:val="21"/>
          <w:lang w:val="zh-CN"/>
        </w:rPr>
        <w:t>2008</w:t>
      </w:r>
      <w:r>
        <w:rPr>
          <w:rFonts w:hint="eastAsia" w:ascii="宋体" w:hAnsi="宋体" w:cs="宋体"/>
          <w:kern w:val="0"/>
          <w:sz w:val="21"/>
          <w:szCs w:val="21"/>
          <w:lang w:val="zh-CN"/>
        </w:rPr>
        <w:t>年</w:t>
      </w:r>
      <w:r>
        <w:rPr>
          <w:rFonts w:eastAsia="Times New Roman"/>
          <w:kern w:val="0"/>
          <w:sz w:val="21"/>
          <w:szCs w:val="21"/>
          <w:lang w:val="zh-CN"/>
        </w:rPr>
        <w:t>3</w:t>
      </w:r>
      <w:r>
        <w:rPr>
          <w:rFonts w:hint="eastAsia" w:ascii="宋体" w:hAnsi="宋体" w:cs="宋体"/>
          <w:kern w:val="0"/>
          <w:sz w:val="21"/>
          <w:szCs w:val="21"/>
          <w:lang w:val="zh-CN"/>
        </w:rPr>
        <w:t>月</w:t>
      </w:r>
      <w:r>
        <w:rPr>
          <w:rFonts w:eastAsia="Times New Roman"/>
          <w:kern w:val="0"/>
          <w:sz w:val="21"/>
          <w:szCs w:val="21"/>
          <w:lang w:val="zh-CN"/>
        </w:rPr>
        <w:t>26</w:t>
      </w:r>
      <w:r>
        <w:rPr>
          <w:rFonts w:hint="eastAsia" w:ascii="宋体" w:hAnsi="宋体" w:cs="宋体"/>
          <w:kern w:val="0"/>
          <w:sz w:val="21"/>
          <w:szCs w:val="21"/>
          <w:lang w:val="zh-CN"/>
        </w:rPr>
        <w:t>日起任本公司监事，现任公司监事会主席。</w:t>
      </w:r>
    </w:p>
    <w:p>
      <w:pPr>
        <w:autoSpaceDE w:val="0"/>
        <w:autoSpaceDN w:val="0"/>
        <w:adjustRightInd w:val="0"/>
        <w:spacing w:before="0" w:after="0"/>
        <w:ind w:firstLine="482"/>
        <w:jc w:val="left"/>
        <w:rPr>
          <w:rFonts w:eastAsia="Times New Roman"/>
          <w:kern w:val="0"/>
          <w:sz w:val="21"/>
          <w:szCs w:val="21"/>
          <w:lang w:val="zh-CN"/>
        </w:rPr>
      </w:pPr>
      <w:r>
        <w:rPr>
          <w:rFonts w:hint="eastAsia" w:ascii="宋体" w:hAnsi="宋体" w:cs="宋体"/>
          <w:b/>
          <w:kern w:val="0"/>
          <w:sz w:val="21"/>
          <w:szCs w:val="21"/>
          <w:lang w:val="zh-CN"/>
        </w:rPr>
        <w:t>刘建云</w:t>
      </w:r>
      <w:r>
        <w:rPr>
          <w:rFonts w:hint="eastAsia" w:ascii="宋体" w:hAnsi="宋体" w:cs="宋体"/>
          <w:kern w:val="0"/>
          <w:sz w:val="21"/>
          <w:szCs w:val="21"/>
          <w:lang w:val="zh-CN"/>
        </w:rPr>
        <w:t>，男，出生于</w:t>
      </w:r>
      <w:r>
        <w:rPr>
          <w:rFonts w:eastAsia="Times New Roman"/>
          <w:kern w:val="0"/>
          <w:sz w:val="21"/>
          <w:szCs w:val="21"/>
          <w:lang w:val="zh-CN"/>
        </w:rPr>
        <w:t>1970</w:t>
      </w:r>
      <w:r>
        <w:rPr>
          <w:rFonts w:hint="eastAsia" w:ascii="宋体" w:hAnsi="宋体" w:cs="宋体"/>
          <w:kern w:val="0"/>
          <w:sz w:val="21"/>
          <w:szCs w:val="21"/>
          <w:lang w:val="zh-CN"/>
        </w:rPr>
        <w:t>年</w:t>
      </w:r>
      <w:r>
        <w:rPr>
          <w:rFonts w:eastAsia="Times New Roman"/>
          <w:kern w:val="0"/>
          <w:sz w:val="21"/>
          <w:szCs w:val="21"/>
          <w:lang w:val="zh-CN"/>
        </w:rPr>
        <w:t>5</w:t>
      </w:r>
      <w:r>
        <w:rPr>
          <w:rFonts w:hint="eastAsia" w:ascii="宋体" w:hAnsi="宋体" w:cs="宋体"/>
          <w:kern w:val="0"/>
          <w:sz w:val="21"/>
          <w:szCs w:val="21"/>
          <w:lang w:val="zh-CN"/>
        </w:rPr>
        <w:t>月，中国国籍，无境外居留权，毕业于北京大学，技术物理系学士，获清华大学工商管理硕士学位。现任深圳清源投资管理股份有限公司总裁兼执行合伙人、西安利雅得电气股份有限公司董事、龙信数据（北京）有限公司董事、北京中视瑞德文化传媒股份有限公司董事、深圳市铁汉生态环境股份有限公司、西安思坦仪器股份有限公司董事、上海百胜软件科技股份有限公司董事、北京天易门窗幕墙股份有限公司董事、上海寰创通信科技股份有限公司董事、山东北辰机电设备股份有限公司董事、深圳市精智达技术有限公司董事、深圳市联赢激光股份有限公司董事、苏州硒谷科技有限公司董事、深圳市兴耀华实业有限公司董事、成都海兰天澄科技有限公司董事、广西开元机器制造有限责任公司董事。</w:t>
      </w:r>
      <w:r>
        <w:rPr>
          <w:rFonts w:eastAsia="Times New Roman"/>
          <w:kern w:val="0"/>
          <w:sz w:val="21"/>
          <w:szCs w:val="21"/>
          <w:lang w:val="zh-CN"/>
        </w:rPr>
        <w:t>2009</w:t>
      </w:r>
      <w:r>
        <w:rPr>
          <w:rFonts w:hint="eastAsia" w:ascii="宋体" w:hAnsi="宋体" w:cs="宋体"/>
          <w:kern w:val="0"/>
          <w:sz w:val="21"/>
          <w:szCs w:val="21"/>
          <w:lang w:val="zh-CN"/>
        </w:rPr>
        <w:t>年</w:t>
      </w:r>
      <w:r>
        <w:rPr>
          <w:rFonts w:eastAsia="Times New Roman"/>
          <w:kern w:val="0"/>
          <w:sz w:val="21"/>
          <w:szCs w:val="21"/>
          <w:lang w:val="zh-CN"/>
        </w:rPr>
        <w:t>3</w:t>
      </w:r>
      <w:r>
        <w:rPr>
          <w:rFonts w:hint="eastAsia" w:ascii="宋体" w:hAnsi="宋体" w:cs="宋体"/>
          <w:kern w:val="0"/>
          <w:sz w:val="21"/>
          <w:szCs w:val="21"/>
          <w:lang w:val="zh-CN"/>
        </w:rPr>
        <w:t>月</w:t>
      </w:r>
      <w:r>
        <w:rPr>
          <w:rFonts w:eastAsia="Times New Roman"/>
          <w:kern w:val="0"/>
          <w:sz w:val="21"/>
          <w:szCs w:val="21"/>
          <w:lang w:val="zh-CN"/>
        </w:rPr>
        <w:t>11</w:t>
      </w:r>
      <w:r>
        <w:rPr>
          <w:rFonts w:hint="eastAsia" w:ascii="宋体" w:hAnsi="宋体" w:cs="宋体"/>
          <w:kern w:val="0"/>
          <w:sz w:val="21"/>
          <w:szCs w:val="21"/>
          <w:lang w:val="zh-CN"/>
        </w:rPr>
        <w:t>日起任本公司监事。</w:t>
      </w:r>
    </w:p>
    <w:p>
      <w:pPr>
        <w:autoSpaceDE w:val="0"/>
        <w:autoSpaceDN w:val="0"/>
        <w:adjustRightInd w:val="0"/>
        <w:spacing w:before="0" w:after="0"/>
        <w:ind w:firstLine="482"/>
        <w:jc w:val="left"/>
        <w:rPr>
          <w:rFonts w:eastAsia="Times New Roman"/>
          <w:kern w:val="0"/>
          <w:sz w:val="21"/>
          <w:szCs w:val="21"/>
          <w:lang w:val="zh-CN"/>
        </w:rPr>
      </w:pPr>
      <w:r>
        <w:rPr>
          <w:rFonts w:hint="eastAsia" w:ascii="宋体" w:hAnsi="宋体" w:cs="宋体"/>
          <w:b/>
          <w:kern w:val="0"/>
          <w:sz w:val="21"/>
          <w:szCs w:val="21"/>
          <w:lang w:val="zh-CN"/>
        </w:rPr>
        <w:t>陈冬冬</w:t>
      </w:r>
      <w:r>
        <w:rPr>
          <w:rFonts w:hint="eastAsia" w:ascii="宋体" w:hAnsi="宋体" w:cs="宋体"/>
          <w:kern w:val="0"/>
          <w:sz w:val="21"/>
          <w:szCs w:val="21"/>
          <w:lang w:val="zh-CN"/>
        </w:rPr>
        <w:t>，男，出生于</w:t>
      </w:r>
      <w:r>
        <w:rPr>
          <w:rFonts w:eastAsia="Times New Roman"/>
          <w:kern w:val="0"/>
          <w:sz w:val="21"/>
          <w:szCs w:val="21"/>
          <w:lang w:val="zh-CN"/>
        </w:rPr>
        <w:t>1986</w:t>
      </w:r>
      <w:r>
        <w:rPr>
          <w:rFonts w:hint="eastAsia" w:ascii="宋体" w:hAnsi="宋体" w:cs="宋体"/>
          <w:kern w:val="0"/>
          <w:sz w:val="21"/>
          <w:szCs w:val="21"/>
          <w:lang w:val="zh-CN"/>
        </w:rPr>
        <w:t>年</w:t>
      </w:r>
      <w:r>
        <w:rPr>
          <w:rFonts w:eastAsia="Times New Roman"/>
          <w:kern w:val="0"/>
          <w:sz w:val="21"/>
          <w:szCs w:val="21"/>
          <w:lang w:val="zh-CN"/>
        </w:rPr>
        <w:t>12</w:t>
      </w:r>
      <w:r>
        <w:rPr>
          <w:rFonts w:hint="eastAsia" w:ascii="宋体" w:hAnsi="宋体" w:cs="宋体"/>
          <w:kern w:val="0"/>
          <w:sz w:val="21"/>
          <w:szCs w:val="21"/>
          <w:lang w:val="zh-CN"/>
        </w:rPr>
        <w:t>月，毕业于长春理工大学，广告学本科专业。</w:t>
      </w:r>
      <w:r>
        <w:rPr>
          <w:rFonts w:eastAsia="Times New Roman"/>
          <w:kern w:val="0"/>
          <w:sz w:val="21"/>
          <w:szCs w:val="21"/>
          <w:lang w:val="zh-CN"/>
        </w:rPr>
        <w:t>2011</w:t>
      </w:r>
      <w:r>
        <w:rPr>
          <w:rFonts w:hint="eastAsia" w:ascii="宋体" w:hAnsi="宋体" w:cs="宋体"/>
          <w:kern w:val="0"/>
          <w:sz w:val="21"/>
          <w:szCs w:val="21"/>
          <w:lang w:val="zh-CN"/>
        </w:rPr>
        <w:t>年</w:t>
      </w:r>
      <w:r>
        <w:rPr>
          <w:rFonts w:eastAsia="Times New Roman"/>
          <w:kern w:val="0"/>
          <w:sz w:val="21"/>
          <w:szCs w:val="21"/>
          <w:lang w:val="zh-CN"/>
        </w:rPr>
        <w:t>5</w:t>
      </w:r>
      <w:r>
        <w:rPr>
          <w:rFonts w:hint="eastAsia" w:ascii="宋体" w:hAnsi="宋体" w:cs="宋体"/>
          <w:kern w:val="0"/>
          <w:sz w:val="21"/>
          <w:szCs w:val="21"/>
          <w:lang w:val="zh-CN"/>
        </w:rPr>
        <w:t>月至今一直就职于本公司，曾先后就职于公司业务发展部、企划部，现任公司企划经理。</w:t>
      </w:r>
      <w:r>
        <w:rPr>
          <w:rFonts w:eastAsia="Times New Roman"/>
          <w:kern w:val="0"/>
          <w:sz w:val="21"/>
          <w:szCs w:val="21"/>
          <w:lang w:val="zh-CN"/>
        </w:rPr>
        <w:t>2015</w:t>
      </w:r>
      <w:r>
        <w:rPr>
          <w:rFonts w:hint="eastAsia" w:ascii="宋体" w:hAnsi="宋体" w:cs="宋体"/>
          <w:kern w:val="0"/>
          <w:sz w:val="21"/>
          <w:szCs w:val="21"/>
          <w:lang w:val="zh-CN"/>
        </w:rPr>
        <w:t>年</w:t>
      </w:r>
      <w:r>
        <w:rPr>
          <w:rFonts w:eastAsia="Times New Roman"/>
          <w:kern w:val="0"/>
          <w:sz w:val="21"/>
          <w:szCs w:val="21"/>
          <w:lang w:val="zh-CN"/>
        </w:rPr>
        <w:t>7</w:t>
      </w:r>
      <w:r>
        <w:rPr>
          <w:rFonts w:hint="eastAsia" w:ascii="宋体" w:hAnsi="宋体" w:cs="宋体"/>
          <w:kern w:val="0"/>
          <w:sz w:val="21"/>
          <w:szCs w:val="21"/>
          <w:lang w:val="zh-CN"/>
        </w:rPr>
        <w:t>月起任本公司职工监事。</w:t>
      </w:r>
    </w:p>
    <w:p>
      <w:pPr>
        <w:autoSpaceDE w:val="0"/>
        <w:autoSpaceDN w:val="0"/>
        <w:adjustRightInd w:val="0"/>
        <w:spacing w:before="0" w:after="0"/>
        <w:ind w:firstLine="482"/>
        <w:jc w:val="left"/>
        <w:rPr>
          <w:rFonts w:eastAsia="Times New Roman"/>
          <w:b/>
          <w:kern w:val="0"/>
          <w:sz w:val="21"/>
          <w:szCs w:val="21"/>
          <w:lang w:val="zh-CN"/>
        </w:rPr>
      </w:pPr>
      <w:r>
        <w:rPr>
          <w:rFonts w:eastAsia="Times New Roman"/>
          <w:b/>
          <w:kern w:val="0"/>
          <w:sz w:val="21"/>
          <w:szCs w:val="21"/>
          <w:lang w:val="zh-CN"/>
        </w:rPr>
        <w:t>3.</w:t>
      </w:r>
      <w:r>
        <w:rPr>
          <w:rFonts w:hint="eastAsia" w:ascii="宋体" w:hAnsi="宋体" w:cs="宋体"/>
          <w:b/>
          <w:kern w:val="0"/>
          <w:sz w:val="21"/>
          <w:szCs w:val="21"/>
          <w:lang w:val="zh-CN"/>
        </w:rPr>
        <w:t>高级管理人员</w:t>
      </w:r>
    </w:p>
    <w:p>
      <w:pPr>
        <w:autoSpaceDE w:val="0"/>
        <w:autoSpaceDN w:val="0"/>
        <w:adjustRightInd w:val="0"/>
        <w:spacing w:before="0" w:after="0"/>
        <w:ind w:firstLine="482"/>
        <w:jc w:val="left"/>
        <w:rPr>
          <w:rFonts w:eastAsia="Times New Roman"/>
          <w:kern w:val="0"/>
          <w:sz w:val="21"/>
          <w:szCs w:val="21"/>
          <w:lang w:val="zh-CN"/>
        </w:rPr>
      </w:pPr>
      <w:r>
        <w:rPr>
          <w:rFonts w:hint="eastAsia" w:ascii="宋体" w:hAnsi="宋体" w:cs="宋体"/>
          <w:b/>
          <w:kern w:val="0"/>
          <w:sz w:val="21"/>
          <w:szCs w:val="21"/>
          <w:lang w:val="zh-CN"/>
        </w:rPr>
        <w:t>申万秋</w:t>
      </w:r>
      <w:r>
        <w:rPr>
          <w:rFonts w:hint="eastAsia" w:ascii="宋体" w:hAnsi="宋体" w:cs="宋体"/>
          <w:kern w:val="0"/>
          <w:sz w:val="21"/>
          <w:szCs w:val="21"/>
          <w:lang w:val="zh-CN"/>
        </w:rPr>
        <w:t>，公司总经理，简历参见本节之</w:t>
      </w:r>
      <w:r>
        <w:rPr>
          <w:rFonts w:eastAsia="Times New Roman"/>
          <w:kern w:val="0"/>
          <w:sz w:val="21"/>
          <w:szCs w:val="21"/>
          <w:lang w:val="zh-CN"/>
        </w:rPr>
        <w:t>“1.</w:t>
      </w:r>
      <w:r>
        <w:rPr>
          <w:rFonts w:hint="eastAsia" w:ascii="宋体" w:hAnsi="宋体" w:cs="宋体"/>
          <w:kern w:val="0"/>
          <w:sz w:val="21"/>
          <w:szCs w:val="21"/>
          <w:lang w:val="zh-CN"/>
        </w:rPr>
        <w:t>董事会成员简介</w:t>
      </w:r>
      <w:r>
        <w:rPr>
          <w:rFonts w:eastAsia="Times New Roman"/>
          <w:kern w:val="0"/>
          <w:sz w:val="21"/>
          <w:szCs w:val="21"/>
          <w:lang w:val="zh-CN"/>
        </w:rPr>
        <w:t>”</w:t>
      </w:r>
      <w:r>
        <w:rPr>
          <w:rFonts w:hint="eastAsia" w:ascii="宋体" w:hAnsi="宋体" w:cs="宋体"/>
          <w:kern w:val="0"/>
          <w:sz w:val="21"/>
          <w:szCs w:val="21"/>
          <w:lang w:val="zh-CN"/>
        </w:rPr>
        <w:t>部分。</w:t>
      </w:r>
    </w:p>
    <w:p>
      <w:pPr>
        <w:autoSpaceDE w:val="0"/>
        <w:autoSpaceDN w:val="0"/>
        <w:adjustRightInd w:val="0"/>
        <w:spacing w:before="0" w:after="0"/>
        <w:ind w:firstLine="482"/>
        <w:jc w:val="left"/>
        <w:rPr>
          <w:rFonts w:eastAsia="Times New Roman"/>
          <w:kern w:val="0"/>
          <w:sz w:val="21"/>
          <w:szCs w:val="21"/>
          <w:lang w:val="zh-CN"/>
        </w:rPr>
      </w:pPr>
      <w:r>
        <w:rPr>
          <w:rFonts w:hint="eastAsia" w:ascii="宋体" w:hAnsi="宋体" w:cs="宋体"/>
          <w:b/>
          <w:kern w:val="0"/>
          <w:sz w:val="21"/>
          <w:szCs w:val="21"/>
          <w:lang w:val="zh-CN"/>
        </w:rPr>
        <w:t>高晋占</w:t>
      </w:r>
      <w:r>
        <w:rPr>
          <w:rFonts w:hint="eastAsia" w:ascii="宋体" w:hAnsi="宋体" w:cs="宋体"/>
          <w:kern w:val="0"/>
          <w:sz w:val="21"/>
          <w:szCs w:val="21"/>
          <w:lang w:val="zh-CN"/>
        </w:rPr>
        <w:t>，男，出生于</w:t>
      </w:r>
      <w:r>
        <w:rPr>
          <w:rFonts w:eastAsia="Times New Roman"/>
          <w:kern w:val="0"/>
          <w:sz w:val="21"/>
          <w:szCs w:val="21"/>
          <w:lang w:val="zh-CN"/>
        </w:rPr>
        <w:t>1946</w:t>
      </w:r>
      <w:r>
        <w:rPr>
          <w:rFonts w:hint="eastAsia" w:ascii="宋体" w:hAnsi="宋体" w:cs="宋体"/>
          <w:kern w:val="0"/>
          <w:sz w:val="21"/>
          <w:szCs w:val="21"/>
          <w:lang w:val="zh-CN"/>
        </w:rPr>
        <w:t>年</w:t>
      </w:r>
      <w:r>
        <w:rPr>
          <w:rFonts w:eastAsia="Times New Roman"/>
          <w:kern w:val="0"/>
          <w:sz w:val="21"/>
          <w:szCs w:val="21"/>
          <w:lang w:val="zh-CN"/>
        </w:rPr>
        <w:t>2</w:t>
      </w:r>
      <w:r>
        <w:rPr>
          <w:rFonts w:hint="eastAsia" w:ascii="宋体" w:hAnsi="宋体" w:cs="宋体"/>
          <w:kern w:val="0"/>
          <w:sz w:val="21"/>
          <w:szCs w:val="21"/>
          <w:lang w:val="zh-CN"/>
        </w:rPr>
        <w:t>月，毕业于清华大学自动化系，获博士学位。曾于</w:t>
      </w:r>
      <w:r>
        <w:rPr>
          <w:rFonts w:eastAsia="Times New Roman"/>
          <w:kern w:val="0"/>
          <w:sz w:val="21"/>
          <w:szCs w:val="21"/>
          <w:lang w:val="zh-CN"/>
        </w:rPr>
        <w:t>1979</w:t>
      </w:r>
      <w:r>
        <w:rPr>
          <w:rFonts w:hint="eastAsia" w:ascii="宋体" w:hAnsi="宋体" w:cs="宋体"/>
          <w:kern w:val="0"/>
          <w:sz w:val="21"/>
          <w:szCs w:val="21"/>
          <w:lang w:val="zh-CN"/>
        </w:rPr>
        <w:t>年</w:t>
      </w:r>
      <w:r>
        <w:rPr>
          <w:rFonts w:eastAsia="Times New Roman"/>
          <w:kern w:val="0"/>
          <w:sz w:val="21"/>
          <w:szCs w:val="21"/>
          <w:lang w:val="zh-CN"/>
        </w:rPr>
        <w:t>-1982</w:t>
      </w:r>
      <w:r>
        <w:rPr>
          <w:rFonts w:hint="eastAsia" w:ascii="宋体" w:hAnsi="宋体" w:cs="宋体"/>
          <w:kern w:val="0"/>
          <w:sz w:val="21"/>
          <w:szCs w:val="21"/>
          <w:lang w:val="zh-CN"/>
        </w:rPr>
        <w:t>年赴荷兰</w:t>
      </w:r>
      <w:r>
        <w:rPr>
          <w:rFonts w:eastAsia="Times New Roman"/>
          <w:kern w:val="0"/>
          <w:sz w:val="21"/>
          <w:szCs w:val="21"/>
          <w:lang w:val="zh-CN"/>
        </w:rPr>
        <w:t>Delft</w:t>
      </w:r>
      <w:r>
        <w:rPr>
          <w:rFonts w:hint="eastAsia" w:ascii="宋体" w:hAnsi="宋体" w:cs="宋体"/>
          <w:kern w:val="0"/>
          <w:sz w:val="21"/>
          <w:szCs w:val="21"/>
          <w:lang w:val="zh-CN"/>
        </w:rPr>
        <w:t>大学进修，历任清华大学自动化系讲师、副教授、教授，曾任清华大学自动化系学术委员会委员。</w:t>
      </w:r>
      <w:r>
        <w:rPr>
          <w:rFonts w:eastAsia="Times New Roman"/>
          <w:kern w:val="0"/>
          <w:sz w:val="21"/>
          <w:szCs w:val="21"/>
          <w:lang w:val="zh-CN"/>
        </w:rPr>
        <w:t>2001</w:t>
      </w:r>
      <w:r>
        <w:rPr>
          <w:rFonts w:hint="eastAsia" w:ascii="宋体" w:hAnsi="宋体" w:cs="宋体"/>
          <w:kern w:val="0"/>
          <w:sz w:val="21"/>
          <w:szCs w:val="21"/>
          <w:lang w:val="zh-CN"/>
        </w:rPr>
        <w:t>年起担任本公司技术顾问，</w:t>
      </w:r>
      <w:r>
        <w:rPr>
          <w:rFonts w:eastAsia="Times New Roman"/>
          <w:kern w:val="0"/>
          <w:sz w:val="21"/>
          <w:szCs w:val="21"/>
          <w:lang w:val="zh-CN"/>
        </w:rPr>
        <w:t>2008</w:t>
      </w:r>
      <w:r>
        <w:rPr>
          <w:rFonts w:hint="eastAsia" w:ascii="宋体" w:hAnsi="宋体" w:cs="宋体"/>
          <w:kern w:val="0"/>
          <w:sz w:val="21"/>
          <w:szCs w:val="21"/>
          <w:lang w:val="zh-CN"/>
        </w:rPr>
        <w:t>年</w:t>
      </w:r>
      <w:r>
        <w:rPr>
          <w:rFonts w:eastAsia="Times New Roman"/>
          <w:kern w:val="0"/>
          <w:sz w:val="21"/>
          <w:szCs w:val="21"/>
          <w:lang w:val="zh-CN"/>
        </w:rPr>
        <w:t>4</w:t>
      </w:r>
      <w:r>
        <w:rPr>
          <w:rFonts w:hint="eastAsia" w:ascii="宋体" w:hAnsi="宋体" w:cs="宋体"/>
          <w:kern w:val="0"/>
          <w:sz w:val="21"/>
          <w:szCs w:val="21"/>
          <w:lang w:val="zh-CN"/>
        </w:rPr>
        <w:t>月</w:t>
      </w:r>
      <w:r>
        <w:rPr>
          <w:rFonts w:eastAsia="Times New Roman"/>
          <w:kern w:val="0"/>
          <w:sz w:val="21"/>
          <w:szCs w:val="21"/>
          <w:lang w:val="zh-CN"/>
        </w:rPr>
        <w:t>25</w:t>
      </w:r>
      <w:r>
        <w:rPr>
          <w:rFonts w:hint="eastAsia" w:ascii="宋体" w:hAnsi="宋体" w:cs="宋体"/>
          <w:kern w:val="0"/>
          <w:sz w:val="21"/>
          <w:szCs w:val="21"/>
          <w:lang w:val="zh-CN"/>
        </w:rPr>
        <w:t>日起任本公司副总经理。</w:t>
      </w:r>
    </w:p>
    <w:p>
      <w:pPr>
        <w:autoSpaceDE w:val="0"/>
        <w:autoSpaceDN w:val="0"/>
        <w:adjustRightInd w:val="0"/>
        <w:spacing w:before="0" w:after="0"/>
        <w:ind w:firstLine="482"/>
        <w:jc w:val="left"/>
        <w:rPr>
          <w:rFonts w:eastAsia="Times New Roman"/>
          <w:kern w:val="0"/>
          <w:sz w:val="21"/>
          <w:szCs w:val="21"/>
          <w:lang w:val="zh-CN"/>
        </w:rPr>
      </w:pPr>
      <w:r>
        <w:rPr>
          <w:rFonts w:hint="eastAsia" w:ascii="宋体" w:hAnsi="宋体" w:cs="宋体"/>
          <w:b/>
          <w:kern w:val="0"/>
          <w:sz w:val="21"/>
          <w:szCs w:val="21"/>
          <w:lang w:val="zh-CN"/>
        </w:rPr>
        <w:t>柳丽华</w:t>
      </w:r>
      <w:r>
        <w:rPr>
          <w:rFonts w:hint="eastAsia" w:ascii="宋体" w:hAnsi="宋体" w:cs="宋体"/>
          <w:kern w:val="0"/>
          <w:sz w:val="21"/>
          <w:szCs w:val="21"/>
          <w:lang w:val="zh-CN"/>
        </w:rPr>
        <w:t>，女，出生于</w:t>
      </w:r>
      <w:r>
        <w:rPr>
          <w:rFonts w:eastAsia="Times New Roman"/>
          <w:kern w:val="0"/>
          <w:sz w:val="21"/>
          <w:szCs w:val="21"/>
          <w:lang w:val="zh-CN"/>
        </w:rPr>
        <w:t>1975</w:t>
      </w:r>
      <w:r>
        <w:rPr>
          <w:rFonts w:hint="eastAsia" w:ascii="宋体" w:hAnsi="宋体" w:cs="宋体"/>
          <w:kern w:val="0"/>
          <w:sz w:val="21"/>
          <w:szCs w:val="21"/>
          <w:lang w:val="zh-CN"/>
        </w:rPr>
        <w:t>年</w:t>
      </w:r>
      <w:r>
        <w:rPr>
          <w:rFonts w:eastAsia="Times New Roman"/>
          <w:kern w:val="0"/>
          <w:sz w:val="21"/>
          <w:szCs w:val="21"/>
          <w:lang w:val="zh-CN"/>
        </w:rPr>
        <w:t>11</w:t>
      </w:r>
      <w:r>
        <w:rPr>
          <w:rFonts w:hint="eastAsia" w:ascii="宋体" w:hAnsi="宋体" w:cs="宋体"/>
          <w:kern w:val="0"/>
          <w:sz w:val="21"/>
          <w:szCs w:val="21"/>
          <w:lang w:val="zh-CN"/>
        </w:rPr>
        <w:t>月，毕业于中央财经大学国际保险专业，注册会计师、注册税务师。</w:t>
      </w:r>
      <w:r>
        <w:rPr>
          <w:rFonts w:eastAsia="Times New Roman"/>
          <w:kern w:val="0"/>
          <w:sz w:val="21"/>
          <w:szCs w:val="21"/>
          <w:lang w:val="zh-CN"/>
        </w:rPr>
        <w:t>1999</w:t>
      </w:r>
      <w:r>
        <w:rPr>
          <w:rFonts w:hint="eastAsia" w:ascii="宋体" w:hAnsi="宋体" w:cs="宋体"/>
          <w:kern w:val="0"/>
          <w:sz w:val="21"/>
          <w:szCs w:val="21"/>
          <w:lang w:val="zh-CN"/>
        </w:rPr>
        <w:t>年</w:t>
      </w:r>
      <w:r>
        <w:rPr>
          <w:rFonts w:eastAsia="Times New Roman"/>
          <w:kern w:val="0"/>
          <w:sz w:val="21"/>
          <w:szCs w:val="21"/>
          <w:lang w:val="zh-CN"/>
        </w:rPr>
        <w:t>6</w:t>
      </w:r>
      <w:r>
        <w:rPr>
          <w:rFonts w:hint="eastAsia" w:ascii="宋体" w:hAnsi="宋体" w:cs="宋体"/>
          <w:kern w:val="0"/>
          <w:sz w:val="21"/>
          <w:szCs w:val="21"/>
          <w:lang w:val="zh-CN"/>
        </w:rPr>
        <w:t>月至</w:t>
      </w:r>
      <w:r>
        <w:rPr>
          <w:rFonts w:eastAsia="Times New Roman"/>
          <w:kern w:val="0"/>
          <w:sz w:val="21"/>
          <w:szCs w:val="21"/>
          <w:lang w:val="zh-CN"/>
        </w:rPr>
        <w:t>2008</w:t>
      </w:r>
      <w:r>
        <w:rPr>
          <w:rFonts w:hint="eastAsia" w:ascii="宋体" w:hAnsi="宋体" w:cs="宋体"/>
          <w:kern w:val="0"/>
          <w:sz w:val="21"/>
          <w:szCs w:val="21"/>
          <w:lang w:val="zh-CN"/>
        </w:rPr>
        <w:t>年</w:t>
      </w:r>
      <w:r>
        <w:rPr>
          <w:rFonts w:eastAsia="Times New Roman"/>
          <w:kern w:val="0"/>
          <w:sz w:val="21"/>
          <w:szCs w:val="21"/>
          <w:lang w:val="zh-CN"/>
        </w:rPr>
        <w:t>4</w:t>
      </w:r>
      <w:r>
        <w:rPr>
          <w:rFonts w:hint="eastAsia" w:ascii="宋体" w:hAnsi="宋体" w:cs="宋体"/>
          <w:kern w:val="0"/>
          <w:sz w:val="21"/>
          <w:szCs w:val="21"/>
          <w:lang w:val="zh-CN"/>
        </w:rPr>
        <w:t>月，在北京市燕京啤酒集团工作，任财务科副科长；</w:t>
      </w:r>
      <w:r>
        <w:rPr>
          <w:rFonts w:eastAsia="Times New Roman"/>
          <w:kern w:val="0"/>
          <w:sz w:val="21"/>
          <w:szCs w:val="21"/>
          <w:lang w:val="zh-CN"/>
        </w:rPr>
        <w:t xml:space="preserve"> 2008</w:t>
      </w:r>
      <w:r>
        <w:rPr>
          <w:rFonts w:hint="eastAsia" w:ascii="宋体" w:hAnsi="宋体" w:cs="宋体"/>
          <w:kern w:val="0"/>
          <w:sz w:val="21"/>
          <w:szCs w:val="21"/>
          <w:lang w:val="zh-CN"/>
        </w:rPr>
        <w:t>年</w:t>
      </w:r>
      <w:r>
        <w:rPr>
          <w:rFonts w:eastAsia="Times New Roman"/>
          <w:kern w:val="0"/>
          <w:sz w:val="21"/>
          <w:szCs w:val="21"/>
          <w:lang w:val="zh-CN"/>
        </w:rPr>
        <w:t>4</w:t>
      </w:r>
      <w:r>
        <w:rPr>
          <w:rFonts w:hint="eastAsia" w:ascii="宋体" w:hAnsi="宋体" w:cs="宋体"/>
          <w:kern w:val="0"/>
          <w:sz w:val="21"/>
          <w:szCs w:val="21"/>
          <w:lang w:val="zh-CN"/>
        </w:rPr>
        <w:t>月</w:t>
      </w:r>
      <w:r>
        <w:rPr>
          <w:rFonts w:eastAsia="Times New Roman"/>
          <w:kern w:val="0"/>
          <w:sz w:val="21"/>
          <w:szCs w:val="21"/>
          <w:lang w:val="zh-CN"/>
        </w:rPr>
        <w:t>28</w:t>
      </w:r>
      <w:r>
        <w:rPr>
          <w:rFonts w:hint="eastAsia" w:ascii="宋体" w:hAnsi="宋体" w:cs="宋体"/>
          <w:kern w:val="0"/>
          <w:sz w:val="21"/>
          <w:szCs w:val="21"/>
          <w:lang w:val="zh-CN"/>
        </w:rPr>
        <w:t>日至今在公司工作，</w:t>
      </w:r>
      <w:r>
        <w:rPr>
          <w:rFonts w:eastAsia="Times New Roman"/>
          <w:kern w:val="0"/>
          <w:sz w:val="21"/>
          <w:szCs w:val="21"/>
          <w:lang w:val="zh-CN"/>
        </w:rPr>
        <w:t>2013</w:t>
      </w:r>
      <w:r>
        <w:rPr>
          <w:rFonts w:hint="eastAsia" w:ascii="宋体" w:hAnsi="宋体" w:cs="宋体"/>
          <w:kern w:val="0"/>
          <w:sz w:val="21"/>
          <w:szCs w:val="21"/>
          <w:lang w:val="zh-CN"/>
        </w:rPr>
        <w:t>年</w:t>
      </w:r>
      <w:r>
        <w:rPr>
          <w:rFonts w:eastAsia="Times New Roman"/>
          <w:kern w:val="0"/>
          <w:sz w:val="21"/>
          <w:szCs w:val="21"/>
          <w:lang w:val="zh-CN"/>
        </w:rPr>
        <w:t>4</w:t>
      </w:r>
      <w:r>
        <w:rPr>
          <w:rFonts w:hint="eastAsia" w:ascii="宋体" w:hAnsi="宋体" w:cs="宋体"/>
          <w:kern w:val="0"/>
          <w:sz w:val="21"/>
          <w:szCs w:val="21"/>
          <w:lang w:val="zh-CN"/>
        </w:rPr>
        <w:t>月</w:t>
      </w:r>
      <w:r>
        <w:rPr>
          <w:rFonts w:eastAsia="Times New Roman"/>
          <w:kern w:val="0"/>
          <w:sz w:val="21"/>
          <w:szCs w:val="21"/>
          <w:lang w:val="zh-CN"/>
        </w:rPr>
        <w:t>17</w:t>
      </w:r>
      <w:r>
        <w:rPr>
          <w:rFonts w:hint="eastAsia" w:ascii="宋体" w:hAnsi="宋体" w:cs="宋体"/>
          <w:kern w:val="0"/>
          <w:sz w:val="21"/>
          <w:szCs w:val="21"/>
          <w:lang w:val="zh-CN"/>
        </w:rPr>
        <w:t>日起任公司财务负责人；现任海兰天澄董事。</w:t>
      </w:r>
    </w:p>
    <w:p>
      <w:pPr>
        <w:autoSpaceDE w:val="0"/>
        <w:autoSpaceDN w:val="0"/>
        <w:adjustRightInd w:val="0"/>
        <w:ind w:firstLine="482"/>
        <w:rPr>
          <w:rFonts w:eastAsia="Times New Roman"/>
          <w:kern w:val="0"/>
          <w:sz w:val="21"/>
          <w:szCs w:val="21"/>
          <w:lang w:val="zh-CN"/>
        </w:rPr>
      </w:pPr>
      <w:r>
        <w:rPr>
          <w:rFonts w:hint="eastAsia" w:ascii="宋体" w:hAnsi="宋体" w:cs="宋体"/>
          <w:b/>
          <w:kern w:val="0"/>
          <w:sz w:val="21"/>
          <w:szCs w:val="21"/>
          <w:lang w:val="zh-CN"/>
        </w:rPr>
        <w:t>覃善兴</w:t>
      </w:r>
      <w:r>
        <w:rPr>
          <w:rFonts w:hint="eastAsia" w:ascii="宋体" w:hAnsi="宋体" w:cs="宋体"/>
          <w:kern w:val="0"/>
          <w:sz w:val="21"/>
          <w:szCs w:val="21"/>
          <w:lang w:val="zh-CN"/>
        </w:rPr>
        <w:t>，男，中国国籍，无永久境外居留权。出生于</w:t>
      </w:r>
      <w:r>
        <w:rPr>
          <w:rFonts w:eastAsia="Times New Roman"/>
          <w:kern w:val="0"/>
          <w:sz w:val="21"/>
          <w:szCs w:val="21"/>
          <w:lang w:val="zh-CN"/>
        </w:rPr>
        <w:t>1980</w:t>
      </w:r>
      <w:r>
        <w:rPr>
          <w:rFonts w:hint="eastAsia" w:ascii="宋体" w:hAnsi="宋体" w:cs="宋体"/>
          <w:kern w:val="0"/>
          <w:sz w:val="21"/>
          <w:szCs w:val="21"/>
          <w:lang w:val="zh-CN"/>
        </w:rPr>
        <w:t>年</w:t>
      </w:r>
      <w:r>
        <w:rPr>
          <w:rFonts w:eastAsia="Times New Roman"/>
          <w:kern w:val="0"/>
          <w:sz w:val="21"/>
          <w:szCs w:val="21"/>
          <w:lang w:val="zh-CN"/>
        </w:rPr>
        <w:t>3</w:t>
      </w:r>
      <w:r>
        <w:rPr>
          <w:rFonts w:hint="eastAsia" w:ascii="宋体" w:hAnsi="宋体" w:cs="宋体"/>
          <w:kern w:val="0"/>
          <w:sz w:val="21"/>
          <w:szCs w:val="21"/>
          <w:lang w:val="zh-CN"/>
        </w:rPr>
        <w:t>月，于</w:t>
      </w:r>
      <w:r>
        <w:rPr>
          <w:rFonts w:eastAsia="Times New Roman"/>
          <w:kern w:val="0"/>
          <w:sz w:val="21"/>
          <w:szCs w:val="21"/>
          <w:lang w:val="zh-CN"/>
        </w:rPr>
        <w:t>1999</w:t>
      </w:r>
      <w:r>
        <w:rPr>
          <w:rFonts w:hint="eastAsia" w:ascii="宋体" w:hAnsi="宋体" w:cs="宋体"/>
          <w:kern w:val="0"/>
          <w:sz w:val="21"/>
          <w:szCs w:val="21"/>
          <w:lang w:val="zh-CN"/>
        </w:rPr>
        <w:t>年至</w:t>
      </w:r>
      <w:r>
        <w:rPr>
          <w:rFonts w:eastAsia="Times New Roman"/>
          <w:kern w:val="0"/>
          <w:sz w:val="21"/>
          <w:szCs w:val="21"/>
          <w:lang w:val="zh-CN"/>
        </w:rPr>
        <w:t>2006</w:t>
      </w:r>
      <w:r>
        <w:rPr>
          <w:rFonts w:hint="eastAsia" w:ascii="宋体" w:hAnsi="宋体" w:cs="宋体"/>
          <w:kern w:val="0"/>
          <w:sz w:val="21"/>
          <w:szCs w:val="21"/>
          <w:lang w:val="zh-CN"/>
        </w:rPr>
        <w:t>年就读于北京航空航天大学机械电子专业，获得硕士学位。</w:t>
      </w:r>
      <w:r>
        <w:rPr>
          <w:rFonts w:eastAsia="Times New Roman"/>
          <w:kern w:val="0"/>
          <w:sz w:val="21"/>
          <w:szCs w:val="21"/>
          <w:lang w:val="zh-CN"/>
        </w:rPr>
        <w:t>2006</w:t>
      </w:r>
      <w:r>
        <w:rPr>
          <w:rFonts w:hint="eastAsia" w:ascii="宋体" w:hAnsi="宋体" w:cs="宋体"/>
          <w:kern w:val="0"/>
          <w:sz w:val="21"/>
          <w:szCs w:val="21"/>
          <w:lang w:val="zh-CN"/>
        </w:rPr>
        <w:t>年至</w:t>
      </w:r>
      <w:r>
        <w:rPr>
          <w:rFonts w:eastAsia="Times New Roman"/>
          <w:kern w:val="0"/>
          <w:sz w:val="21"/>
          <w:szCs w:val="21"/>
          <w:lang w:val="zh-CN"/>
        </w:rPr>
        <w:t>2007</w:t>
      </w:r>
      <w:r>
        <w:rPr>
          <w:rFonts w:hint="eastAsia" w:ascii="宋体" w:hAnsi="宋体" w:cs="宋体"/>
          <w:kern w:val="0"/>
          <w:sz w:val="21"/>
          <w:szCs w:val="21"/>
          <w:lang w:val="zh-CN"/>
        </w:rPr>
        <w:t>年就职于北京中星微电子有限公司，担任高级嵌入式软件工程师；</w:t>
      </w:r>
      <w:r>
        <w:rPr>
          <w:rFonts w:eastAsia="Times New Roman"/>
          <w:kern w:val="0"/>
          <w:sz w:val="21"/>
          <w:szCs w:val="21"/>
          <w:lang w:val="zh-CN"/>
        </w:rPr>
        <w:t>2007</w:t>
      </w:r>
      <w:r>
        <w:rPr>
          <w:rFonts w:hint="eastAsia" w:ascii="宋体" w:hAnsi="宋体" w:cs="宋体"/>
          <w:kern w:val="0"/>
          <w:sz w:val="21"/>
          <w:szCs w:val="21"/>
          <w:lang w:val="zh-CN"/>
        </w:rPr>
        <w:t>年至今就职于北京海兰信数据科技股份有限公司，历任高级软件工程师、项目经理、研发中心总经理，期间曾获得北京科学技术奖三等奖，现任公司副总裁，主持航海事业部的工作。</w:t>
      </w:r>
    </w:p>
    <w:p>
      <w:pPr>
        <w:autoSpaceDE w:val="0"/>
        <w:autoSpaceDN w:val="0"/>
        <w:adjustRightInd w:val="0"/>
        <w:ind w:firstLine="480"/>
        <w:rPr>
          <w:rFonts w:eastAsia="Times New Roman"/>
          <w:kern w:val="0"/>
          <w:sz w:val="21"/>
          <w:szCs w:val="21"/>
          <w:lang w:val="zh-CN"/>
        </w:rPr>
      </w:pPr>
      <w:r>
        <w:rPr>
          <w:rFonts w:hint="eastAsia" w:ascii="宋体" w:hAnsi="宋体" w:cs="宋体"/>
          <w:kern w:val="0"/>
          <w:sz w:val="21"/>
          <w:szCs w:val="21"/>
          <w:lang w:val="zh-CN"/>
        </w:rPr>
        <w:t>覃善兴先生对船舶通导及信息化行业十分熟悉，对产品相关的软硬件技术较为精通，曾主持过船舶操舵仪、舵角指示器、桥楼值班报警系统，电子海图显示及信息系统、航迹控制系统、综合导航系统及船舶远程监控管理系统的研制开发，并主持过新产品的市场推广活动，对市场有很深的认识和了解。</w:t>
      </w:r>
    </w:p>
    <w:p>
      <w:pPr>
        <w:autoSpaceDE w:val="0"/>
        <w:autoSpaceDN w:val="0"/>
        <w:adjustRightInd w:val="0"/>
        <w:spacing w:before="0" w:after="0"/>
        <w:ind w:firstLine="482"/>
        <w:jc w:val="left"/>
        <w:rPr>
          <w:rFonts w:eastAsia="Times New Roman"/>
          <w:kern w:val="0"/>
          <w:sz w:val="21"/>
          <w:szCs w:val="21"/>
          <w:lang w:val="zh-CN"/>
        </w:rPr>
      </w:pPr>
      <w:r>
        <w:rPr>
          <w:rFonts w:hint="eastAsia" w:ascii="宋体" w:hAnsi="宋体" w:cs="宋体"/>
          <w:b/>
          <w:kern w:val="0"/>
          <w:sz w:val="21"/>
          <w:szCs w:val="21"/>
          <w:lang w:val="zh-CN"/>
        </w:rPr>
        <w:t>石桂华</w:t>
      </w:r>
      <w:r>
        <w:rPr>
          <w:rFonts w:hint="eastAsia" w:ascii="宋体" w:hAnsi="宋体" w:cs="宋体"/>
          <w:kern w:val="0"/>
          <w:sz w:val="21"/>
          <w:szCs w:val="21"/>
          <w:lang w:val="zh-CN"/>
        </w:rPr>
        <w:t>，女，出生于</w:t>
      </w:r>
      <w:r>
        <w:rPr>
          <w:rFonts w:eastAsia="Times New Roman"/>
          <w:kern w:val="0"/>
          <w:sz w:val="21"/>
          <w:szCs w:val="21"/>
          <w:lang w:val="zh-CN"/>
        </w:rPr>
        <w:t>1967</w:t>
      </w:r>
      <w:r>
        <w:rPr>
          <w:rFonts w:hint="eastAsia" w:ascii="宋体" w:hAnsi="宋体" w:cs="宋体"/>
          <w:kern w:val="0"/>
          <w:sz w:val="21"/>
          <w:szCs w:val="21"/>
          <w:lang w:val="zh-CN"/>
        </w:rPr>
        <w:t>年</w:t>
      </w:r>
      <w:r>
        <w:rPr>
          <w:rFonts w:eastAsia="Times New Roman"/>
          <w:kern w:val="0"/>
          <w:sz w:val="21"/>
          <w:szCs w:val="21"/>
          <w:lang w:val="zh-CN"/>
        </w:rPr>
        <w:t>10</w:t>
      </w:r>
      <w:r>
        <w:rPr>
          <w:rFonts w:hint="eastAsia" w:ascii="宋体" w:hAnsi="宋体" w:cs="宋体"/>
          <w:kern w:val="0"/>
          <w:sz w:val="21"/>
          <w:szCs w:val="21"/>
          <w:lang w:val="zh-CN"/>
        </w:rPr>
        <w:t>月，毕业于天津大学电化学工学专业，注册质量师、美国</w:t>
      </w:r>
      <w:r>
        <w:rPr>
          <w:rFonts w:eastAsia="Times New Roman"/>
          <w:kern w:val="0"/>
          <w:sz w:val="21"/>
          <w:szCs w:val="21"/>
          <w:lang w:val="zh-CN"/>
        </w:rPr>
        <w:t>AQI</w:t>
      </w:r>
      <w:r>
        <w:rPr>
          <w:rFonts w:hint="eastAsia" w:ascii="宋体" w:hAnsi="宋体" w:cs="宋体"/>
          <w:kern w:val="0"/>
          <w:sz w:val="21"/>
          <w:szCs w:val="21"/>
          <w:lang w:val="zh-CN"/>
        </w:rPr>
        <w:t>认证质量总监。</w:t>
      </w:r>
      <w:r>
        <w:rPr>
          <w:rFonts w:eastAsia="Times New Roman"/>
          <w:kern w:val="0"/>
          <w:sz w:val="21"/>
          <w:szCs w:val="21"/>
          <w:lang w:val="zh-CN"/>
        </w:rPr>
        <w:t>1989</w:t>
      </w:r>
      <w:r>
        <w:rPr>
          <w:rFonts w:hint="eastAsia" w:ascii="宋体" w:hAnsi="宋体" w:cs="宋体"/>
          <w:kern w:val="0"/>
          <w:sz w:val="21"/>
          <w:szCs w:val="21"/>
          <w:lang w:val="zh-CN"/>
        </w:rPr>
        <w:t>年</w:t>
      </w:r>
      <w:r>
        <w:rPr>
          <w:rFonts w:eastAsia="Times New Roman"/>
          <w:kern w:val="0"/>
          <w:sz w:val="21"/>
          <w:szCs w:val="21"/>
          <w:lang w:val="zh-CN"/>
        </w:rPr>
        <w:t>7</w:t>
      </w:r>
      <w:r>
        <w:rPr>
          <w:rFonts w:hint="eastAsia" w:ascii="宋体" w:hAnsi="宋体" w:cs="宋体"/>
          <w:kern w:val="0"/>
          <w:sz w:val="21"/>
          <w:szCs w:val="21"/>
          <w:lang w:val="zh-CN"/>
        </w:rPr>
        <w:t>月至</w:t>
      </w:r>
      <w:r>
        <w:rPr>
          <w:rFonts w:eastAsia="Times New Roman"/>
          <w:kern w:val="0"/>
          <w:sz w:val="21"/>
          <w:szCs w:val="21"/>
          <w:lang w:val="zh-CN"/>
        </w:rPr>
        <w:t>1996</w:t>
      </w:r>
      <w:r>
        <w:rPr>
          <w:rFonts w:hint="eastAsia" w:ascii="宋体" w:hAnsi="宋体" w:cs="宋体"/>
          <w:kern w:val="0"/>
          <w:sz w:val="21"/>
          <w:szCs w:val="21"/>
          <w:lang w:val="zh-CN"/>
        </w:rPr>
        <w:t>年</w:t>
      </w:r>
      <w:r>
        <w:rPr>
          <w:rFonts w:eastAsia="Times New Roman"/>
          <w:kern w:val="0"/>
          <w:sz w:val="21"/>
          <w:szCs w:val="21"/>
          <w:lang w:val="zh-CN"/>
        </w:rPr>
        <w:t>5</w:t>
      </w:r>
      <w:r>
        <w:rPr>
          <w:rFonts w:hint="eastAsia" w:ascii="宋体" w:hAnsi="宋体" w:cs="宋体"/>
          <w:kern w:val="0"/>
          <w:sz w:val="21"/>
          <w:szCs w:val="21"/>
          <w:lang w:val="zh-CN"/>
        </w:rPr>
        <w:t>月，就职于北京东方电子集团</w:t>
      </w:r>
      <w:r>
        <w:rPr>
          <w:rFonts w:eastAsia="Times New Roman"/>
          <w:kern w:val="0"/>
          <w:sz w:val="21"/>
          <w:szCs w:val="21"/>
          <w:lang w:val="zh-CN"/>
        </w:rPr>
        <w:t>LCD</w:t>
      </w:r>
      <w:r>
        <w:rPr>
          <w:rFonts w:hint="eastAsia" w:ascii="宋体" w:hAnsi="宋体" w:cs="宋体"/>
          <w:kern w:val="0"/>
          <w:sz w:val="21"/>
          <w:szCs w:val="21"/>
          <w:lang w:val="zh-CN"/>
        </w:rPr>
        <w:t>事业部；</w:t>
      </w:r>
      <w:r>
        <w:rPr>
          <w:rFonts w:eastAsia="Times New Roman"/>
          <w:kern w:val="0"/>
          <w:sz w:val="21"/>
          <w:szCs w:val="21"/>
          <w:lang w:val="zh-CN"/>
        </w:rPr>
        <w:t>1996</w:t>
      </w:r>
      <w:r>
        <w:rPr>
          <w:rFonts w:hint="eastAsia" w:ascii="宋体" w:hAnsi="宋体" w:cs="宋体"/>
          <w:kern w:val="0"/>
          <w:sz w:val="21"/>
          <w:szCs w:val="21"/>
          <w:lang w:val="zh-CN"/>
        </w:rPr>
        <w:t>月</w:t>
      </w:r>
      <w:r>
        <w:rPr>
          <w:rFonts w:eastAsia="Times New Roman"/>
          <w:kern w:val="0"/>
          <w:sz w:val="21"/>
          <w:szCs w:val="21"/>
          <w:lang w:val="zh-CN"/>
        </w:rPr>
        <w:t xml:space="preserve">6 </w:t>
      </w:r>
      <w:r>
        <w:rPr>
          <w:rFonts w:hint="eastAsia" w:ascii="宋体" w:hAnsi="宋体" w:cs="宋体"/>
          <w:kern w:val="0"/>
          <w:sz w:val="21"/>
          <w:szCs w:val="21"/>
          <w:lang w:val="zh-CN"/>
        </w:rPr>
        <w:t>月至</w:t>
      </w:r>
      <w:r>
        <w:rPr>
          <w:rFonts w:eastAsia="Times New Roman"/>
          <w:kern w:val="0"/>
          <w:sz w:val="21"/>
          <w:szCs w:val="21"/>
          <w:lang w:val="zh-CN"/>
        </w:rPr>
        <w:t>2001</w:t>
      </w:r>
      <w:r>
        <w:rPr>
          <w:rFonts w:hint="eastAsia" w:ascii="宋体" w:hAnsi="宋体" w:cs="宋体"/>
          <w:kern w:val="0"/>
          <w:sz w:val="21"/>
          <w:szCs w:val="21"/>
          <w:lang w:val="zh-CN"/>
        </w:rPr>
        <w:t>年</w:t>
      </w:r>
      <w:r>
        <w:rPr>
          <w:rFonts w:eastAsia="Times New Roman"/>
          <w:kern w:val="0"/>
          <w:sz w:val="21"/>
          <w:szCs w:val="21"/>
          <w:lang w:val="zh-CN"/>
        </w:rPr>
        <w:t>5</w:t>
      </w:r>
      <w:r>
        <w:rPr>
          <w:rFonts w:hint="eastAsia" w:ascii="宋体" w:hAnsi="宋体" w:cs="宋体"/>
          <w:kern w:val="0"/>
          <w:sz w:val="21"/>
          <w:szCs w:val="21"/>
          <w:lang w:val="zh-CN"/>
        </w:rPr>
        <w:t>月，就职于北京鼎嘉维集团从事智能仪表软硬件研发工作；</w:t>
      </w:r>
      <w:r>
        <w:rPr>
          <w:rFonts w:eastAsia="Times New Roman"/>
          <w:kern w:val="0"/>
          <w:sz w:val="21"/>
          <w:szCs w:val="21"/>
          <w:lang w:val="zh-CN"/>
        </w:rPr>
        <w:t>2001</w:t>
      </w:r>
      <w:r>
        <w:rPr>
          <w:rFonts w:hint="eastAsia" w:ascii="宋体" w:hAnsi="宋体" w:cs="宋体"/>
          <w:kern w:val="0"/>
          <w:sz w:val="21"/>
          <w:szCs w:val="21"/>
          <w:lang w:val="zh-CN"/>
        </w:rPr>
        <w:t>年</w:t>
      </w:r>
      <w:r>
        <w:rPr>
          <w:rFonts w:eastAsia="Times New Roman"/>
          <w:kern w:val="0"/>
          <w:sz w:val="21"/>
          <w:szCs w:val="21"/>
          <w:lang w:val="zh-CN"/>
        </w:rPr>
        <w:t>5</w:t>
      </w:r>
      <w:r>
        <w:rPr>
          <w:rFonts w:hint="eastAsia" w:ascii="宋体" w:hAnsi="宋体" w:cs="宋体"/>
          <w:kern w:val="0"/>
          <w:sz w:val="21"/>
          <w:szCs w:val="21"/>
          <w:lang w:val="zh-CN"/>
        </w:rPr>
        <w:t>月</w:t>
      </w:r>
      <w:r>
        <w:rPr>
          <w:rFonts w:eastAsia="Times New Roman"/>
          <w:kern w:val="0"/>
          <w:sz w:val="21"/>
          <w:szCs w:val="21"/>
          <w:lang w:val="zh-CN"/>
        </w:rPr>
        <w:t>16</w:t>
      </w:r>
      <w:r>
        <w:rPr>
          <w:rFonts w:hint="eastAsia" w:ascii="宋体" w:hAnsi="宋体" w:cs="宋体"/>
          <w:kern w:val="0"/>
          <w:sz w:val="21"/>
          <w:szCs w:val="21"/>
          <w:lang w:val="zh-CN"/>
        </w:rPr>
        <w:t>日至今就职于本公司，历任研发工程师、技术部经理、质量部经理、运营中心总经理、总裁助理，现任本公司副总经理、公司海洋事业部总经理、海兰盈华总经理。</w:t>
      </w:r>
    </w:p>
    <w:p>
      <w:pPr>
        <w:autoSpaceDE w:val="0"/>
        <w:autoSpaceDN w:val="0"/>
        <w:adjustRightInd w:val="0"/>
        <w:spacing w:before="0" w:after="0"/>
        <w:ind w:firstLine="482"/>
        <w:jc w:val="left"/>
        <w:rPr>
          <w:rFonts w:eastAsia="Times New Roman"/>
          <w:kern w:val="0"/>
          <w:sz w:val="21"/>
          <w:szCs w:val="21"/>
          <w:lang w:val="zh-CN"/>
        </w:rPr>
      </w:pPr>
      <w:r>
        <w:rPr>
          <w:rFonts w:hint="eastAsia" w:ascii="宋体" w:hAnsi="宋体" w:cs="宋体"/>
          <w:b/>
          <w:kern w:val="0"/>
          <w:sz w:val="21"/>
          <w:szCs w:val="21"/>
          <w:lang w:val="zh-CN"/>
        </w:rPr>
        <w:t>姜楠</w:t>
      </w:r>
      <w:r>
        <w:rPr>
          <w:rFonts w:hint="eastAsia" w:ascii="宋体" w:hAnsi="宋体" w:cs="宋体"/>
          <w:kern w:val="0"/>
          <w:sz w:val="21"/>
          <w:szCs w:val="21"/>
          <w:lang w:val="zh-CN"/>
        </w:rPr>
        <w:t>，女，中国国籍，无境外居留权，出生于</w:t>
      </w:r>
      <w:r>
        <w:rPr>
          <w:rFonts w:eastAsia="Times New Roman"/>
          <w:kern w:val="0"/>
          <w:sz w:val="21"/>
          <w:szCs w:val="21"/>
          <w:lang w:val="zh-CN"/>
        </w:rPr>
        <w:t>1981</w:t>
      </w:r>
      <w:r>
        <w:rPr>
          <w:rFonts w:hint="eastAsia" w:ascii="宋体" w:hAnsi="宋体" w:cs="宋体"/>
          <w:kern w:val="0"/>
          <w:sz w:val="21"/>
          <w:szCs w:val="21"/>
          <w:lang w:val="zh-CN"/>
        </w:rPr>
        <w:t>年</w:t>
      </w:r>
      <w:r>
        <w:rPr>
          <w:rFonts w:eastAsia="Times New Roman"/>
          <w:kern w:val="0"/>
          <w:sz w:val="21"/>
          <w:szCs w:val="21"/>
          <w:lang w:val="zh-CN"/>
        </w:rPr>
        <w:t>8</w:t>
      </w:r>
      <w:r>
        <w:rPr>
          <w:rFonts w:hint="eastAsia" w:ascii="宋体" w:hAnsi="宋体" w:cs="宋体"/>
          <w:kern w:val="0"/>
          <w:sz w:val="21"/>
          <w:szCs w:val="21"/>
          <w:lang w:val="zh-CN"/>
        </w:rPr>
        <w:t>月，毕业于清华大学经济管理学院，获工商管理硕士学位。</w:t>
      </w:r>
      <w:r>
        <w:rPr>
          <w:rFonts w:eastAsia="Times New Roman"/>
          <w:kern w:val="0"/>
          <w:sz w:val="21"/>
          <w:szCs w:val="21"/>
          <w:lang w:val="zh-CN"/>
        </w:rPr>
        <w:t>2007</w:t>
      </w:r>
      <w:r>
        <w:rPr>
          <w:rFonts w:hint="eastAsia" w:ascii="宋体" w:hAnsi="宋体" w:cs="宋体"/>
          <w:kern w:val="0"/>
          <w:sz w:val="21"/>
          <w:szCs w:val="21"/>
          <w:lang w:val="zh-CN"/>
        </w:rPr>
        <w:t>年</w:t>
      </w:r>
      <w:r>
        <w:rPr>
          <w:rFonts w:eastAsia="Times New Roman"/>
          <w:kern w:val="0"/>
          <w:sz w:val="21"/>
          <w:szCs w:val="21"/>
          <w:lang w:val="zh-CN"/>
        </w:rPr>
        <w:t>6</w:t>
      </w:r>
      <w:r>
        <w:rPr>
          <w:rFonts w:hint="eastAsia" w:ascii="宋体" w:hAnsi="宋体" w:cs="宋体"/>
          <w:kern w:val="0"/>
          <w:sz w:val="21"/>
          <w:szCs w:val="21"/>
          <w:lang w:val="zh-CN"/>
        </w:rPr>
        <w:t>月至今一直就职于本公司，曾先后就职于公司发展部、业务发展部、企划部、董事会办公室。</w:t>
      </w:r>
      <w:r>
        <w:rPr>
          <w:rFonts w:eastAsia="Times New Roman"/>
          <w:kern w:val="0"/>
          <w:sz w:val="21"/>
          <w:szCs w:val="21"/>
          <w:lang w:val="zh-CN"/>
        </w:rPr>
        <w:t>2015</w:t>
      </w:r>
      <w:r>
        <w:rPr>
          <w:rFonts w:hint="eastAsia" w:ascii="宋体" w:hAnsi="宋体" w:cs="宋体"/>
          <w:kern w:val="0"/>
          <w:sz w:val="21"/>
          <w:szCs w:val="21"/>
          <w:lang w:val="zh-CN"/>
        </w:rPr>
        <w:t>年</w:t>
      </w:r>
      <w:r>
        <w:rPr>
          <w:rFonts w:eastAsia="Times New Roman"/>
          <w:kern w:val="0"/>
          <w:sz w:val="21"/>
          <w:szCs w:val="21"/>
          <w:lang w:val="zh-CN"/>
        </w:rPr>
        <w:t>5</w:t>
      </w:r>
      <w:r>
        <w:rPr>
          <w:rFonts w:hint="eastAsia" w:ascii="宋体" w:hAnsi="宋体" w:cs="宋体"/>
          <w:kern w:val="0"/>
          <w:sz w:val="21"/>
          <w:szCs w:val="21"/>
          <w:lang w:val="zh-CN"/>
        </w:rPr>
        <w:t>月取得深圳证券交易所董事会秘书任职资格，</w:t>
      </w:r>
      <w:r>
        <w:rPr>
          <w:rFonts w:eastAsia="Times New Roman"/>
          <w:kern w:val="0"/>
          <w:sz w:val="21"/>
          <w:szCs w:val="21"/>
          <w:lang w:val="zh-CN"/>
        </w:rPr>
        <w:t>2015</w:t>
      </w:r>
      <w:r>
        <w:rPr>
          <w:rFonts w:hint="eastAsia" w:ascii="宋体" w:hAnsi="宋体" w:cs="宋体"/>
          <w:kern w:val="0"/>
          <w:sz w:val="21"/>
          <w:szCs w:val="21"/>
          <w:lang w:val="zh-CN"/>
        </w:rPr>
        <w:t>年</w:t>
      </w:r>
      <w:r>
        <w:rPr>
          <w:rFonts w:eastAsia="Times New Roman"/>
          <w:kern w:val="0"/>
          <w:sz w:val="21"/>
          <w:szCs w:val="21"/>
          <w:lang w:val="zh-CN"/>
        </w:rPr>
        <w:t>10</w:t>
      </w:r>
      <w:r>
        <w:rPr>
          <w:rFonts w:hint="eastAsia" w:ascii="宋体" w:hAnsi="宋体" w:cs="宋体"/>
          <w:kern w:val="0"/>
          <w:sz w:val="21"/>
          <w:szCs w:val="21"/>
          <w:lang w:val="zh-CN"/>
        </w:rPr>
        <w:t>月起任公司董事会秘书。</w:t>
      </w:r>
    </w:p>
    <w:p>
      <w:pPr>
        <w:jc w:val="left"/>
        <w:rPr>
          <w:szCs w:val="24"/>
        </w:rPr>
      </w:pPr>
      <w:r>
        <w:rPr>
          <w:rFonts w:hint="eastAsia"/>
          <w:szCs w:val="24"/>
        </w:rPr>
        <w:t>在股东单位任职情况</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tbl>
      <w:tblPr>
        <w:tblStyle w:val="8"/>
        <w:tblW w:w="9568" w:type="dxa"/>
        <w:tblInd w:w="28" w:type="dxa"/>
        <w:tblLayout w:type="fixed"/>
        <w:tblCellMar>
          <w:top w:w="0" w:type="dxa"/>
          <w:left w:w="28" w:type="dxa"/>
          <w:bottom w:w="0" w:type="dxa"/>
          <w:right w:w="28" w:type="dxa"/>
        </w:tblCellMar>
      </w:tblPr>
      <w:tblGrid>
        <w:gridCol w:w="1201"/>
        <w:gridCol w:w="3189"/>
        <w:gridCol w:w="1064"/>
        <w:gridCol w:w="1196"/>
        <w:gridCol w:w="1330"/>
        <w:gridCol w:w="1588"/>
      </w:tblGrid>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任职人员姓名</w:t>
            </w:r>
          </w:p>
        </w:tc>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股东单位名称</w:t>
            </w:r>
          </w:p>
        </w:tc>
        <w:tc>
          <w:tcPr>
            <w:tcW w:w="106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在股东单位担任的职务</w:t>
            </w:r>
          </w:p>
        </w:tc>
        <w:tc>
          <w:tcPr>
            <w:tcW w:w="119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任期起始日期</w:t>
            </w:r>
          </w:p>
        </w:tc>
        <w:tc>
          <w:tcPr>
            <w:tcW w:w="133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任期终止日期</w:t>
            </w:r>
          </w:p>
        </w:tc>
        <w:tc>
          <w:tcPr>
            <w:tcW w:w="1588"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在股东单位是否领取报酬津贴</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申万秋</w:t>
            </w: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上海言盛投资合伙企业</w:t>
            </w:r>
          </w:p>
        </w:tc>
        <w:tc>
          <w:tcPr>
            <w:tcW w:w="106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执行事务合伙人</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2015</w:t>
            </w:r>
            <w:r>
              <w:rPr>
                <w:rFonts w:hint="eastAsia"/>
                <w:szCs w:val="24"/>
              </w:rPr>
              <w:t>年</w:t>
            </w:r>
            <w:r>
              <w:rPr>
                <w:szCs w:val="24"/>
              </w:rPr>
              <w:t>05</w:t>
            </w:r>
            <w:r>
              <w:rPr>
                <w:rFonts w:hint="eastAsia"/>
                <w:szCs w:val="24"/>
              </w:rPr>
              <w:t>月</w:t>
            </w:r>
            <w:r>
              <w:rPr>
                <w:szCs w:val="24"/>
              </w:rPr>
              <w:t>15</w:t>
            </w:r>
            <w:r>
              <w:rPr>
                <w:rFonts w:hint="eastAsia"/>
                <w:szCs w:val="24"/>
              </w:rPr>
              <w:t>日</w:t>
            </w:r>
          </w:p>
        </w:tc>
        <w:tc>
          <w:tcPr>
            <w:tcW w:w="133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8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bl>
    <w:p>
      <w:pPr>
        <w:jc w:val="left"/>
        <w:rPr>
          <w:szCs w:val="24"/>
        </w:rPr>
      </w:pPr>
      <w:r>
        <w:rPr>
          <w:rFonts w:hint="eastAsia"/>
          <w:szCs w:val="24"/>
        </w:rPr>
        <w:t>在其他单位任职情况</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tbl>
      <w:tblPr>
        <w:tblStyle w:val="8"/>
        <w:tblW w:w="9568" w:type="dxa"/>
        <w:tblInd w:w="28" w:type="dxa"/>
        <w:tblLayout w:type="fixed"/>
        <w:tblCellMar>
          <w:top w:w="0" w:type="dxa"/>
          <w:left w:w="28" w:type="dxa"/>
          <w:bottom w:w="0" w:type="dxa"/>
          <w:right w:w="28" w:type="dxa"/>
        </w:tblCellMar>
      </w:tblPr>
      <w:tblGrid>
        <w:gridCol w:w="1201"/>
        <w:gridCol w:w="3190"/>
        <w:gridCol w:w="1063"/>
        <w:gridCol w:w="1196"/>
        <w:gridCol w:w="1324"/>
        <w:gridCol w:w="1594"/>
      </w:tblGrid>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任职人员姓名</w:t>
            </w:r>
          </w:p>
        </w:tc>
        <w:tc>
          <w:tcPr>
            <w:tcW w:w="319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其他单位名称</w:t>
            </w:r>
          </w:p>
        </w:tc>
        <w:tc>
          <w:tcPr>
            <w:tcW w:w="106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在其他单位担任的职务</w:t>
            </w:r>
          </w:p>
        </w:tc>
        <w:tc>
          <w:tcPr>
            <w:tcW w:w="119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任期起始日期</w:t>
            </w:r>
          </w:p>
        </w:tc>
        <w:tc>
          <w:tcPr>
            <w:tcW w:w="132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任期终止日期</w:t>
            </w:r>
          </w:p>
        </w:tc>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在其他单位是否领取报酬津贴</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申万秋</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上海海兰劳雷海洋科技有限公司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董事长</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2015</w:t>
            </w:r>
            <w:r>
              <w:rPr>
                <w:rFonts w:hint="eastAsia"/>
                <w:szCs w:val="24"/>
              </w:rPr>
              <w:t>年</w:t>
            </w:r>
            <w:r>
              <w:rPr>
                <w:szCs w:val="24"/>
              </w:rPr>
              <w:t>05</w:t>
            </w:r>
            <w:r>
              <w:rPr>
                <w:rFonts w:hint="eastAsia"/>
                <w:szCs w:val="24"/>
              </w:rPr>
              <w:t>月</w:t>
            </w:r>
            <w:r>
              <w:rPr>
                <w:szCs w:val="24"/>
              </w:rPr>
              <w:t>25</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申万秋</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劳雷海洋系统有限公司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董事长</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2014</w:t>
            </w:r>
            <w:r>
              <w:rPr>
                <w:rFonts w:hint="eastAsia"/>
                <w:szCs w:val="24"/>
              </w:rPr>
              <w:t>年</w:t>
            </w:r>
            <w:r>
              <w:rPr>
                <w:szCs w:val="24"/>
              </w:rPr>
              <w:t>08</w:t>
            </w:r>
            <w:r>
              <w:rPr>
                <w:rFonts w:hint="eastAsia"/>
                <w:szCs w:val="24"/>
              </w:rPr>
              <w:t>月</w:t>
            </w:r>
            <w:r>
              <w:rPr>
                <w:szCs w:val="24"/>
              </w:rPr>
              <w:t>25</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申万秋</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Summerview Company Limited</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董事长</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2009</w:t>
            </w:r>
            <w:r>
              <w:rPr>
                <w:rFonts w:hint="eastAsia"/>
                <w:szCs w:val="24"/>
              </w:rPr>
              <w:t>年</w:t>
            </w:r>
            <w:r>
              <w:rPr>
                <w:szCs w:val="24"/>
              </w:rPr>
              <w:t>02</w:t>
            </w:r>
            <w:r>
              <w:rPr>
                <w:rFonts w:hint="eastAsia"/>
                <w:szCs w:val="24"/>
              </w:rPr>
              <w:t>月</w:t>
            </w:r>
            <w:r>
              <w:rPr>
                <w:szCs w:val="24"/>
              </w:rPr>
              <w:t>05</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申万秋</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北京劳雷海洋仪器有限公司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董事长</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06</w:t>
            </w:r>
            <w:r>
              <w:rPr>
                <w:rFonts w:hint="eastAsia"/>
                <w:szCs w:val="24"/>
              </w:rPr>
              <w:t>月</w:t>
            </w:r>
            <w:r>
              <w:rPr>
                <w:szCs w:val="24"/>
              </w:rPr>
              <w:t>28</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申万秋</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三沙海兰信海洋信息科技有限公司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董事长</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2013</w:t>
            </w:r>
            <w:r>
              <w:rPr>
                <w:rFonts w:hint="eastAsia"/>
                <w:szCs w:val="24"/>
              </w:rPr>
              <w:t>年</w:t>
            </w:r>
            <w:r>
              <w:rPr>
                <w:szCs w:val="24"/>
              </w:rPr>
              <w:t>07</w:t>
            </w:r>
            <w:r>
              <w:rPr>
                <w:rFonts w:hint="eastAsia"/>
                <w:szCs w:val="24"/>
              </w:rPr>
              <w:t>月</w:t>
            </w:r>
            <w:r>
              <w:rPr>
                <w:szCs w:val="24"/>
              </w:rPr>
              <w:t>16</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申万秋</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江苏海兰船舶电气系统科技有限公司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董事长</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2011</w:t>
            </w:r>
            <w:r>
              <w:rPr>
                <w:rFonts w:hint="eastAsia"/>
                <w:szCs w:val="24"/>
              </w:rPr>
              <w:t>年</w:t>
            </w:r>
            <w:r>
              <w:rPr>
                <w:szCs w:val="24"/>
              </w:rPr>
              <w:t>03</w:t>
            </w:r>
            <w:r>
              <w:rPr>
                <w:rFonts w:hint="eastAsia"/>
                <w:szCs w:val="24"/>
              </w:rPr>
              <w:t>月</w:t>
            </w:r>
            <w:r>
              <w:rPr>
                <w:szCs w:val="24"/>
              </w:rPr>
              <w:t>01</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申万秋</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香港海兰船舶电气系统科技有限公司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董事长</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2011</w:t>
            </w:r>
            <w:r>
              <w:rPr>
                <w:rFonts w:hint="eastAsia"/>
                <w:szCs w:val="24"/>
              </w:rPr>
              <w:t>年</w:t>
            </w:r>
            <w:r>
              <w:rPr>
                <w:szCs w:val="24"/>
              </w:rPr>
              <w:t>04</w:t>
            </w:r>
            <w:r>
              <w:rPr>
                <w:rFonts w:hint="eastAsia"/>
                <w:szCs w:val="24"/>
              </w:rPr>
              <w:t>月</w:t>
            </w:r>
            <w:r>
              <w:rPr>
                <w:szCs w:val="24"/>
              </w:rPr>
              <w:t>07</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申万秋</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成都海兰天澄科技有限公司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董事长</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2014</w:t>
            </w:r>
            <w:r>
              <w:rPr>
                <w:rFonts w:hint="eastAsia"/>
                <w:szCs w:val="24"/>
              </w:rPr>
              <w:t>年</w:t>
            </w:r>
            <w:r>
              <w:rPr>
                <w:szCs w:val="24"/>
              </w:rPr>
              <w:t>07</w:t>
            </w:r>
            <w:r>
              <w:rPr>
                <w:rFonts w:hint="eastAsia"/>
                <w:szCs w:val="24"/>
              </w:rPr>
              <w:t>月</w:t>
            </w:r>
            <w:r>
              <w:rPr>
                <w:szCs w:val="24"/>
              </w:rPr>
              <w:t>28</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申万秋</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广东蓝图信息技术有限公司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董事长</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12</w:t>
            </w:r>
            <w:r>
              <w:rPr>
                <w:rFonts w:hint="eastAsia"/>
                <w:szCs w:val="24"/>
              </w:rPr>
              <w:t>月</w:t>
            </w:r>
            <w:r>
              <w:rPr>
                <w:szCs w:val="24"/>
              </w:rPr>
              <w:t>09</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申万秋</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北京海兰信船舶设备有限公司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董事长</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2004</w:t>
            </w:r>
            <w:r>
              <w:rPr>
                <w:rFonts w:hint="eastAsia"/>
                <w:szCs w:val="24"/>
              </w:rPr>
              <w:t>年</w:t>
            </w:r>
            <w:r>
              <w:rPr>
                <w:szCs w:val="24"/>
              </w:rPr>
              <w:t>05</w:t>
            </w:r>
            <w:r>
              <w:rPr>
                <w:rFonts w:hint="eastAsia"/>
                <w:szCs w:val="24"/>
              </w:rPr>
              <w:t>月</w:t>
            </w:r>
            <w:r>
              <w:rPr>
                <w:szCs w:val="24"/>
              </w:rPr>
              <w:t>25</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申万秋</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江苏海兰信船舶设备有限公司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董事长</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2013</w:t>
            </w:r>
            <w:r>
              <w:rPr>
                <w:rFonts w:hint="eastAsia"/>
                <w:szCs w:val="24"/>
              </w:rPr>
              <w:t>年</w:t>
            </w:r>
            <w:r>
              <w:rPr>
                <w:szCs w:val="24"/>
              </w:rPr>
              <w:t>11</w:t>
            </w:r>
            <w:r>
              <w:rPr>
                <w:rFonts w:hint="eastAsia"/>
                <w:szCs w:val="24"/>
              </w:rPr>
              <w:t>月</w:t>
            </w:r>
            <w:r>
              <w:rPr>
                <w:szCs w:val="24"/>
              </w:rPr>
              <w:t>15</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申万秋</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海兰信（香港）航海科技有限公司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董事长</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2008</w:t>
            </w:r>
            <w:r>
              <w:rPr>
                <w:rFonts w:hint="eastAsia"/>
                <w:szCs w:val="24"/>
              </w:rPr>
              <w:t>年</w:t>
            </w:r>
            <w:r>
              <w:rPr>
                <w:szCs w:val="24"/>
              </w:rPr>
              <w:t>10</w:t>
            </w:r>
            <w:r>
              <w:rPr>
                <w:rFonts w:hint="eastAsia"/>
                <w:szCs w:val="24"/>
              </w:rPr>
              <w:t>月</w:t>
            </w:r>
            <w:r>
              <w:rPr>
                <w:szCs w:val="24"/>
              </w:rPr>
              <w:t>08</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申万秋</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江苏海兰信海洋工程技术开发有限公司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董事长</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2014</w:t>
            </w:r>
            <w:r>
              <w:rPr>
                <w:rFonts w:hint="eastAsia"/>
                <w:szCs w:val="24"/>
              </w:rPr>
              <w:t>年</w:t>
            </w:r>
            <w:r>
              <w:rPr>
                <w:szCs w:val="24"/>
              </w:rPr>
              <w:t>11</w:t>
            </w:r>
            <w:r>
              <w:rPr>
                <w:rFonts w:hint="eastAsia"/>
                <w:szCs w:val="24"/>
              </w:rPr>
              <w:t>月</w:t>
            </w:r>
            <w:r>
              <w:rPr>
                <w:szCs w:val="24"/>
              </w:rPr>
              <w:t>26</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申万秋</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香港海兰信海洋工程技术开发有限公司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董事长</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2015</w:t>
            </w:r>
            <w:r>
              <w:rPr>
                <w:rFonts w:hint="eastAsia"/>
                <w:szCs w:val="24"/>
              </w:rPr>
              <w:t>年</w:t>
            </w:r>
            <w:r>
              <w:rPr>
                <w:szCs w:val="24"/>
              </w:rPr>
              <w:t>07</w:t>
            </w:r>
            <w:r>
              <w:rPr>
                <w:rFonts w:hint="eastAsia"/>
                <w:szCs w:val="24"/>
              </w:rPr>
              <w:t>月</w:t>
            </w:r>
            <w:r>
              <w:rPr>
                <w:szCs w:val="24"/>
              </w:rPr>
              <w:t>07</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申万秋</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北京蓝鲸众合投资管理有限公司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董事长</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2013</w:t>
            </w:r>
            <w:r>
              <w:rPr>
                <w:rFonts w:hint="eastAsia"/>
                <w:szCs w:val="24"/>
              </w:rPr>
              <w:t>年</w:t>
            </w:r>
            <w:r>
              <w:rPr>
                <w:szCs w:val="24"/>
              </w:rPr>
              <w:t>04</w:t>
            </w:r>
            <w:r>
              <w:rPr>
                <w:rFonts w:hint="eastAsia"/>
                <w:szCs w:val="24"/>
              </w:rPr>
              <w:t>月</w:t>
            </w:r>
            <w:r>
              <w:rPr>
                <w:szCs w:val="24"/>
              </w:rPr>
              <w:t>18</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申万秋</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上海言盛投资合伙企业（有限合伙）</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执行事务合伙人</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2015</w:t>
            </w:r>
            <w:r>
              <w:rPr>
                <w:rFonts w:hint="eastAsia"/>
                <w:szCs w:val="24"/>
              </w:rPr>
              <w:t>年</w:t>
            </w:r>
            <w:r>
              <w:rPr>
                <w:szCs w:val="24"/>
              </w:rPr>
              <w:t>05</w:t>
            </w:r>
            <w:r>
              <w:rPr>
                <w:rFonts w:hint="eastAsia"/>
                <w:szCs w:val="24"/>
              </w:rPr>
              <w:t>月</w:t>
            </w:r>
            <w:r>
              <w:rPr>
                <w:szCs w:val="24"/>
              </w:rPr>
              <w:t>15</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申万秋</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无锡言盛投资合伙企业（有限合伙）</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合伙人</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08</w:t>
            </w:r>
            <w:r>
              <w:rPr>
                <w:rFonts w:hint="eastAsia"/>
                <w:szCs w:val="24"/>
              </w:rPr>
              <w:t>月</w:t>
            </w:r>
            <w:r>
              <w:rPr>
                <w:szCs w:val="24"/>
              </w:rPr>
              <w:t>11</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申万秋</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无锡深蓝投资合伙企业（有限合伙）</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合伙人</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08</w:t>
            </w:r>
            <w:r>
              <w:rPr>
                <w:rFonts w:hint="eastAsia"/>
                <w:szCs w:val="24"/>
              </w:rPr>
              <w:t>月</w:t>
            </w:r>
            <w:r>
              <w:rPr>
                <w:szCs w:val="24"/>
              </w:rPr>
              <w:t>11</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申万秋</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无锡欧特海洋科技有限公司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董事长</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08</w:t>
            </w:r>
            <w:r>
              <w:rPr>
                <w:rFonts w:hint="eastAsia"/>
                <w:szCs w:val="24"/>
              </w:rPr>
              <w:t>月</w:t>
            </w:r>
            <w:r>
              <w:rPr>
                <w:szCs w:val="24"/>
              </w:rPr>
              <w:t>17</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申万秋</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香港联合海洋科技有限公司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董事长</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08</w:t>
            </w:r>
            <w:r>
              <w:rPr>
                <w:rFonts w:hint="eastAsia"/>
                <w:szCs w:val="24"/>
              </w:rPr>
              <w:t>月</w:t>
            </w:r>
            <w:r>
              <w:rPr>
                <w:szCs w:val="24"/>
              </w:rPr>
              <w:t>25</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申万秋</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OCEANWORKS HOLDING CO., LTD.</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董事长</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08</w:t>
            </w:r>
            <w:r>
              <w:rPr>
                <w:rFonts w:hint="eastAsia"/>
                <w:szCs w:val="24"/>
              </w:rPr>
              <w:t>月</w:t>
            </w:r>
            <w:r>
              <w:rPr>
                <w:szCs w:val="24"/>
              </w:rPr>
              <w:t>30</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申万秋</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OCEANWORKS INTERNATIONAL CORPORATION</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董事长</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10</w:t>
            </w:r>
            <w:r>
              <w:rPr>
                <w:rFonts w:hint="eastAsia"/>
                <w:szCs w:val="24"/>
              </w:rPr>
              <w:t>月</w:t>
            </w:r>
            <w:r>
              <w:rPr>
                <w:szCs w:val="24"/>
              </w:rPr>
              <w:t>13</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仓梓剑</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深圳合御投资发展有限公司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董事总经理</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12</w:t>
            </w:r>
            <w:r>
              <w:rPr>
                <w:rFonts w:hint="eastAsia"/>
                <w:szCs w:val="24"/>
              </w:rPr>
              <w:t>月</w:t>
            </w:r>
            <w:r>
              <w:rPr>
                <w:szCs w:val="24"/>
              </w:rPr>
              <w:t>01</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是</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孙陶然</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拉卡拉支付股份有限公司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董事长</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2005</w:t>
            </w:r>
            <w:r>
              <w:rPr>
                <w:rFonts w:hint="eastAsia"/>
                <w:szCs w:val="24"/>
              </w:rPr>
              <w:t>年</w:t>
            </w:r>
            <w:r>
              <w:rPr>
                <w:szCs w:val="24"/>
              </w:rPr>
              <w:t>01</w:t>
            </w:r>
            <w:r>
              <w:rPr>
                <w:rFonts w:hint="eastAsia"/>
                <w:szCs w:val="24"/>
              </w:rPr>
              <w:t>月</w:t>
            </w:r>
            <w:r>
              <w:rPr>
                <w:szCs w:val="24"/>
              </w:rPr>
              <w:t>01</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是</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孙陶然</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北京旋极信息技术股份有限公司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2015</w:t>
            </w:r>
            <w:r>
              <w:rPr>
                <w:rFonts w:hint="eastAsia"/>
                <w:szCs w:val="24"/>
              </w:rPr>
              <w:t>年</w:t>
            </w:r>
            <w:r>
              <w:rPr>
                <w:szCs w:val="24"/>
              </w:rPr>
              <w:t>01</w:t>
            </w:r>
            <w:r>
              <w:rPr>
                <w:rFonts w:hint="eastAsia"/>
                <w:szCs w:val="24"/>
              </w:rPr>
              <w:t>月</w:t>
            </w:r>
            <w:r>
              <w:rPr>
                <w:szCs w:val="24"/>
              </w:rPr>
              <w:t>27</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2018</w:t>
            </w:r>
            <w:r>
              <w:rPr>
                <w:rFonts w:hint="eastAsia"/>
                <w:szCs w:val="24"/>
              </w:rPr>
              <w:t>年</w:t>
            </w:r>
            <w:r>
              <w:rPr>
                <w:szCs w:val="24"/>
              </w:rPr>
              <w:t>01</w:t>
            </w:r>
            <w:r>
              <w:rPr>
                <w:rFonts w:hint="eastAsia"/>
                <w:szCs w:val="24"/>
              </w:rPr>
              <w:t>月</w:t>
            </w:r>
            <w:r>
              <w:rPr>
                <w:szCs w:val="24"/>
              </w:rPr>
              <w:t>26</w:t>
            </w:r>
            <w:r>
              <w:rPr>
                <w:rFonts w:hint="eastAsia"/>
                <w:szCs w:val="24"/>
              </w:rPr>
              <w:t>日</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是</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孙陶然</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广联达科技股份有限公司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独立董事</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2014</w:t>
            </w:r>
            <w:r>
              <w:rPr>
                <w:rFonts w:hint="eastAsia"/>
                <w:szCs w:val="24"/>
              </w:rPr>
              <w:t>年</w:t>
            </w:r>
            <w:r>
              <w:rPr>
                <w:szCs w:val="24"/>
              </w:rPr>
              <w:t>01</w:t>
            </w:r>
            <w:r>
              <w:rPr>
                <w:rFonts w:hint="eastAsia"/>
                <w:szCs w:val="24"/>
              </w:rPr>
              <w:t>月</w:t>
            </w:r>
            <w:r>
              <w:rPr>
                <w:szCs w:val="24"/>
              </w:rPr>
              <w:t>01</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是</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孙陶然</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北京北陆药业股份有限公司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独立董事</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2015</w:t>
            </w:r>
            <w:r>
              <w:rPr>
                <w:rFonts w:hint="eastAsia"/>
                <w:szCs w:val="24"/>
              </w:rPr>
              <w:t>年</w:t>
            </w:r>
            <w:r>
              <w:rPr>
                <w:szCs w:val="24"/>
              </w:rPr>
              <w:t>01</w:t>
            </w:r>
            <w:r>
              <w:rPr>
                <w:rFonts w:hint="eastAsia"/>
                <w:szCs w:val="24"/>
              </w:rPr>
              <w:t>月</w:t>
            </w:r>
            <w:r>
              <w:rPr>
                <w:szCs w:val="24"/>
              </w:rPr>
              <w:t>01</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是</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孙陶然</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北京联想金服科技有限公司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孙陶然</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西藏考拉金科网络科技服务有限公司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孙陶然</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西藏考拉科技发展有限公司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董事长</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孙陶然</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天津昆仑互联网资产交易中心有限责任公司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执行董事</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孙陶然</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拉卡拉科技发展有限公司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执行董事</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孙陶然</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拉卡拉信用管理有限公司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执行董事</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孙陶然</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考拉征信服务有限公司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执行董事、经理</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孙陶然</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北京昆仑瑞才科技有限公司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执行董事</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孙陶然</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昆仑天地科技发展有限公司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经理</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孙陶然</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北京未名雅集文化发展有限公司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2011</w:t>
            </w:r>
            <w:r>
              <w:rPr>
                <w:rFonts w:hint="eastAsia"/>
                <w:szCs w:val="24"/>
              </w:rPr>
              <w:t>年</w:t>
            </w:r>
            <w:r>
              <w:rPr>
                <w:szCs w:val="24"/>
              </w:rPr>
              <w:t>01</w:t>
            </w:r>
            <w:r>
              <w:rPr>
                <w:rFonts w:hint="eastAsia"/>
                <w:szCs w:val="24"/>
              </w:rPr>
              <w:t>月</w:t>
            </w:r>
            <w:r>
              <w:rPr>
                <w:szCs w:val="24"/>
              </w:rPr>
              <w:t>01</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孙陶然</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颐年康盛咨询服务（北京）有限公司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副董事长</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孙陶然</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广州市拉卡拉互联网金融信息服务有限公司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监事</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孙陶然</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北京蓝色光标公关顾问有限公司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监事</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孙陶然</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北京慧谷家族文化传媒有限公司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孙陶然</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Lakala Limited</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孙陶然</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Capitalsino Management Limited</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孙陶然</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Empangi Investments Limited</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李焰</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中国人民大学</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教授</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1996</w:t>
            </w:r>
            <w:r>
              <w:rPr>
                <w:rFonts w:hint="eastAsia"/>
                <w:szCs w:val="24"/>
              </w:rPr>
              <w:t>年</w:t>
            </w:r>
            <w:r>
              <w:rPr>
                <w:szCs w:val="24"/>
              </w:rPr>
              <w:t>01</w:t>
            </w:r>
            <w:r>
              <w:rPr>
                <w:rFonts w:hint="eastAsia"/>
                <w:szCs w:val="24"/>
              </w:rPr>
              <w:t>月</w:t>
            </w:r>
            <w:r>
              <w:rPr>
                <w:szCs w:val="24"/>
              </w:rPr>
              <w:t>01</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是</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罗茁</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启迪创业投资管理（北京）有限公司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2007</w:t>
            </w:r>
            <w:r>
              <w:rPr>
                <w:rFonts w:hint="eastAsia"/>
                <w:szCs w:val="24"/>
              </w:rPr>
              <w:t>年</w:t>
            </w:r>
            <w:r>
              <w:rPr>
                <w:szCs w:val="24"/>
              </w:rPr>
              <w:t>07</w:t>
            </w:r>
            <w:r>
              <w:rPr>
                <w:rFonts w:hint="eastAsia"/>
                <w:szCs w:val="24"/>
              </w:rPr>
              <w:t>月</w:t>
            </w:r>
            <w:r>
              <w:rPr>
                <w:szCs w:val="24"/>
              </w:rPr>
              <w:t>01</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罗茁</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北京启迪明德创业投资有限公司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总经理</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2009</w:t>
            </w:r>
            <w:r>
              <w:rPr>
                <w:rFonts w:hint="eastAsia"/>
                <w:szCs w:val="24"/>
              </w:rPr>
              <w:t>年</w:t>
            </w:r>
            <w:r>
              <w:rPr>
                <w:szCs w:val="24"/>
              </w:rPr>
              <w:t>03</w:t>
            </w:r>
            <w:r>
              <w:rPr>
                <w:rFonts w:hint="eastAsia"/>
                <w:szCs w:val="24"/>
              </w:rPr>
              <w:t>月</w:t>
            </w:r>
            <w:r>
              <w:rPr>
                <w:szCs w:val="24"/>
              </w:rPr>
              <w:t>01</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罗茁</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北京启迪汇德创业投资有限公司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总经理</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2010</w:t>
            </w:r>
            <w:r>
              <w:rPr>
                <w:rFonts w:hint="eastAsia"/>
                <w:szCs w:val="24"/>
              </w:rPr>
              <w:t>年</w:t>
            </w:r>
            <w:r>
              <w:rPr>
                <w:szCs w:val="24"/>
              </w:rPr>
              <w:t>08</w:t>
            </w:r>
            <w:r>
              <w:rPr>
                <w:rFonts w:hint="eastAsia"/>
                <w:szCs w:val="24"/>
              </w:rPr>
              <w:t>月</w:t>
            </w:r>
            <w:r>
              <w:rPr>
                <w:szCs w:val="24"/>
              </w:rPr>
              <w:t>01</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罗茁</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启迪创新（天津）股权投资基金合伙企业</w:t>
            </w:r>
            <w:r>
              <w:rPr>
                <w:szCs w:val="24"/>
              </w:rPr>
              <w:t>(</w:t>
            </w:r>
            <w:r>
              <w:rPr>
                <w:rFonts w:hint="eastAsia"/>
                <w:szCs w:val="24"/>
              </w:rPr>
              <w:t>有限合伙）</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执行事务合伙人委派代表</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2011</w:t>
            </w:r>
            <w:r>
              <w:rPr>
                <w:rFonts w:hint="eastAsia"/>
                <w:szCs w:val="24"/>
              </w:rPr>
              <w:t>年</w:t>
            </w:r>
            <w:r>
              <w:rPr>
                <w:szCs w:val="24"/>
              </w:rPr>
              <w:t>12</w:t>
            </w:r>
            <w:r>
              <w:rPr>
                <w:rFonts w:hint="eastAsia"/>
                <w:szCs w:val="24"/>
              </w:rPr>
              <w:t>月</w:t>
            </w:r>
            <w:r>
              <w:rPr>
                <w:szCs w:val="24"/>
              </w:rPr>
              <w:t>01</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罗茁</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启迪银杏投资管理（北京）有限公司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董事长</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2012</w:t>
            </w:r>
            <w:r>
              <w:rPr>
                <w:rFonts w:hint="eastAsia"/>
                <w:szCs w:val="24"/>
              </w:rPr>
              <w:t>年</w:t>
            </w:r>
            <w:r>
              <w:rPr>
                <w:szCs w:val="24"/>
              </w:rPr>
              <w:t>05</w:t>
            </w:r>
            <w:r>
              <w:rPr>
                <w:rFonts w:hint="eastAsia"/>
                <w:szCs w:val="24"/>
              </w:rPr>
              <w:t>月</w:t>
            </w:r>
            <w:r>
              <w:rPr>
                <w:szCs w:val="24"/>
              </w:rPr>
              <w:t>01</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罗茁</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清控银杏创业投资管理（北京）有限公司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董事长</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04</w:t>
            </w:r>
            <w:r>
              <w:rPr>
                <w:rFonts w:hint="eastAsia"/>
                <w:szCs w:val="24"/>
              </w:rPr>
              <w:t>月</w:t>
            </w:r>
            <w:r>
              <w:rPr>
                <w:szCs w:val="24"/>
              </w:rPr>
              <w:t>01</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罗茁</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北京荷华投资管理有限公司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董事长</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2015</w:t>
            </w:r>
            <w:r>
              <w:rPr>
                <w:rFonts w:hint="eastAsia"/>
                <w:szCs w:val="24"/>
              </w:rPr>
              <w:t>年</w:t>
            </w:r>
            <w:r>
              <w:rPr>
                <w:szCs w:val="24"/>
              </w:rPr>
              <w:t>10</w:t>
            </w:r>
            <w:r>
              <w:rPr>
                <w:rFonts w:hint="eastAsia"/>
                <w:szCs w:val="24"/>
              </w:rPr>
              <w:t>月</w:t>
            </w:r>
            <w:r>
              <w:rPr>
                <w:szCs w:val="24"/>
              </w:rPr>
              <w:t>01</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是</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罗茁</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银杏自清（天津）创业投资合伙企业（有限合伙）</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执行事务合伙人委派代表</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2015</w:t>
            </w:r>
            <w:r>
              <w:rPr>
                <w:rFonts w:hint="eastAsia"/>
                <w:szCs w:val="24"/>
              </w:rPr>
              <w:t>年</w:t>
            </w:r>
            <w:r>
              <w:rPr>
                <w:szCs w:val="24"/>
              </w:rPr>
              <w:t>12</w:t>
            </w:r>
            <w:r>
              <w:rPr>
                <w:rFonts w:hint="eastAsia"/>
                <w:szCs w:val="24"/>
              </w:rPr>
              <w:t>月</w:t>
            </w:r>
            <w:r>
              <w:rPr>
                <w:szCs w:val="24"/>
              </w:rPr>
              <w:t>01</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罗茁</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北京银杏博清创业投资合伙企业（有限合伙）</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执行事务合伙人委派代表</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2015</w:t>
            </w:r>
            <w:r>
              <w:rPr>
                <w:rFonts w:hint="eastAsia"/>
                <w:szCs w:val="24"/>
              </w:rPr>
              <w:t>年</w:t>
            </w:r>
            <w:r>
              <w:rPr>
                <w:szCs w:val="24"/>
              </w:rPr>
              <w:t>12</w:t>
            </w:r>
            <w:r>
              <w:rPr>
                <w:rFonts w:hint="eastAsia"/>
                <w:szCs w:val="24"/>
              </w:rPr>
              <w:t>月</w:t>
            </w:r>
            <w:r>
              <w:rPr>
                <w:szCs w:val="24"/>
              </w:rPr>
              <w:t>01</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罗茁</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中小企业发展基金（江苏南通有限合伙）</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执行事务合伙人委派代表</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12</w:t>
            </w:r>
            <w:r>
              <w:rPr>
                <w:rFonts w:hint="eastAsia"/>
                <w:szCs w:val="24"/>
              </w:rPr>
              <w:t>月</w:t>
            </w:r>
            <w:r>
              <w:rPr>
                <w:szCs w:val="24"/>
              </w:rPr>
              <w:t>01</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罗茁</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北京华创策源投资管理有限公司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总经理</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2014</w:t>
            </w:r>
            <w:r>
              <w:rPr>
                <w:rFonts w:hint="eastAsia"/>
                <w:szCs w:val="24"/>
              </w:rPr>
              <w:t>年</w:t>
            </w:r>
            <w:r>
              <w:rPr>
                <w:szCs w:val="24"/>
              </w:rPr>
              <w:t>12</w:t>
            </w:r>
            <w:r>
              <w:rPr>
                <w:rFonts w:hint="eastAsia"/>
                <w:szCs w:val="24"/>
              </w:rPr>
              <w:t>月</w:t>
            </w:r>
            <w:r>
              <w:rPr>
                <w:szCs w:val="24"/>
              </w:rPr>
              <w:t>01</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罗茁</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广州银杏投资管理有限公司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董事长</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2015</w:t>
            </w:r>
            <w:r>
              <w:rPr>
                <w:rFonts w:hint="eastAsia"/>
                <w:szCs w:val="24"/>
              </w:rPr>
              <w:t>年</w:t>
            </w:r>
            <w:r>
              <w:rPr>
                <w:szCs w:val="24"/>
              </w:rPr>
              <w:t>12</w:t>
            </w:r>
            <w:r>
              <w:rPr>
                <w:rFonts w:hint="eastAsia"/>
                <w:szCs w:val="24"/>
              </w:rPr>
              <w:t>月</w:t>
            </w:r>
            <w:r>
              <w:rPr>
                <w:szCs w:val="24"/>
              </w:rPr>
              <w:t>01</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罗茁</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北京德鑫泉物联网科技股份有限公司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2010</w:t>
            </w:r>
            <w:r>
              <w:rPr>
                <w:rFonts w:hint="eastAsia"/>
                <w:szCs w:val="24"/>
              </w:rPr>
              <w:t>年</w:t>
            </w:r>
            <w:r>
              <w:rPr>
                <w:szCs w:val="24"/>
              </w:rPr>
              <w:t>05</w:t>
            </w:r>
            <w:r>
              <w:rPr>
                <w:rFonts w:hint="eastAsia"/>
                <w:szCs w:val="24"/>
              </w:rPr>
              <w:t>月</w:t>
            </w:r>
            <w:r>
              <w:rPr>
                <w:szCs w:val="24"/>
              </w:rPr>
              <w:t>01</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罗茁</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北京兆易创新科技股份有限公司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副董事长</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2011</w:t>
            </w:r>
            <w:r>
              <w:rPr>
                <w:rFonts w:hint="eastAsia"/>
                <w:szCs w:val="24"/>
              </w:rPr>
              <w:t>年</w:t>
            </w:r>
            <w:r>
              <w:rPr>
                <w:szCs w:val="24"/>
              </w:rPr>
              <w:t>08</w:t>
            </w:r>
            <w:r>
              <w:rPr>
                <w:rFonts w:hint="eastAsia"/>
                <w:szCs w:val="24"/>
              </w:rPr>
              <w:t>月</w:t>
            </w:r>
            <w:r>
              <w:rPr>
                <w:szCs w:val="24"/>
              </w:rPr>
              <w:t>01</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罗茁</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北京汉邦高科数字技术股份有限公司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2008</w:t>
            </w:r>
            <w:r>
              <w:rPr>
                <w:rFonts w:hint="eastAsia"/>
                <w:szCs w:val="24"/>
              </w:rPr>
              <w:t>年</w:t>
            </w:r>
            <w:r>
              <w:rPr>
                <w:szCs w:val="24"/>
              </w:rPr>
              <w:t>05</w:t>
            </w:r>
            <w:r>
              <w:rPr>
                <w:rFonts w:hint="eastAsia"/>
                <w:szCs w:val="24"/>
              </w:rPr>
              <w:t>月</w:t>
            </w:r>
            <w:r>
              <w:rPr>
                <w:szCs w:val="24"/>
              </w:rPr>
              <w:t>01</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罗茁</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北京煦联得节能科技股份有限公司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2010</w:t>
            </w:r>
            <w:r>
              <w:rPr>
                <w:rFonts w:hint="eastAsia"/>
                <w:szCs w:val="24"/>
              </w:rPr>
              <w:t>年</w:t>
            </w:r>
            <w:r>
              <w:rPr>
                <w:szCs w:val="24"/>
              </w:rPr>
              <w:t>11</w:t>
            </w:r>
            <w:r>
              <w:rPr>
                <w:rFonts w:hint="eastAsia"/>
                <w:szCs w:val="24"/>
              </w:rPr>
              <w:t>月</w:t>
            </w:r>
            <w:r>
              <w:rPr>
                <w:szCs w:val="24"/>
              </w:rPr>
              <w:t>01</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罗茁</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北京青青树动漫科技有限公司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2008</w:t>
            </w:r>
            <w:r>
              <w:rPr>
                <w:rFonts w:hint="eastAsia"/>
                <w:szCs w:val="24"/>
              </w:rPr>
              <w:t>年</w:t>
            </w:r>
            <w:r>
              <w:rPr>
                <w:szCs w:val="24"/>
              </w:rPr>
              <w:t>01</w:t>
            </w:r>
            <w:r>
              <w:rPr>
                <w:rFonts w:hint="eastAsia"/>
                <w:szCs w:val="24"/>
              </w:rPr>
              <w:t>月</w:t>
            </w:r>
            <w:r>
              <w:rPr>
                <w:szCs w:val="24"/>
              </w:rPr>
              <w:t>01</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罗茁</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北京依科曼生物技术股份有限公司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2012</w:t>
            </w:r>
            <w:r>
              <w:rPr>
                <w:rFonts w:hint="eastAsia"/>
                <w:szCs w:val="24"/>
              </w:rPr>
              <w:t>年</w:t>
            </w:r>
            <w:r>
              <w:rPr>
                <w:szCs w:val="24"/>
              </w:rPr>
              <w:t>05</w:t>
            </w:r>
            <w:r>
              <w:rPr>
                <w:rFonts w:hint="eastAsia"/>
                <w:szCs w:val="24"/>
              </w:rPr>
              <w:t>月</w:t>
            </w:r>
            <w:r>
              <w:rPr>
                <w:szCs w:val="24"/>
              </w:rPr>
              <w:t>01</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罗茁</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江苏汉印机电科技股份有限公司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2013</w:t>
            </w:r>
            <w:r>
              <w:rPr>
                <w:rFonts w:hint="eastAsia"/>
                <w:szCs w:val="24"/>
              </w:rPr>
              <w:t>年</w:t>
            </w:r>
            <w:r>
              <w:rPr>
                <w:szCs w:val="24"/>
              </w:rPr>
              <w:t>02</w:t>
            </w:r>
            <w:r>
              <w:rPr>
                <w:rFonts w:hint="eastAsia"/>
                <w:szCs w:val="24"/>
              </w:rPr>
              <w:t>月</w:t>
            </w:r>
            <w:r>
              <w:rPr>
                <w:szCs w:val="24"/>
              </w:rPr>
              <w:t>01</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罗茁</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杭州宽云视讯科技有限公司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2014</w:t>
            </w:r>
            <w:r>
              <w:rPr>
                <w:rFonts w:hint="eastAsia"/>
                <w:szCs w:val="24"/>
              </w:rPr>
              <w:t>年</w:t>
            </w:r>
            <w:r>
              <w:rPr>
                <w:szCs w:val="24"/>
              </w:rPr>
              <w:t>07</w:t>
            </w:r>
            <w:r>
              <w:rPr>
                <w:rFonts w:hint="eastAsia"/>
                <w:szCs w:val="24"/>
              </w:rPr>
              <w:t>月</w:t>
            </w:r>
            <w:r>
              <w:rPr>
                <w:szCs w:val="24"/>
              </w:rPr>
              <w:t>01</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罗茁</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深圳市比欧特光电有限公司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2014</w:t>
            </w:r>
            <w:r>
              <w:rPr>
                <w:rFonts w:hint="eastAsia"/>
                <w:szCs w:val="24"/>
              </w:rPr>
              <w:t>年</w:t>
            </w:r>
            <w:r>
              <w:rPr>
                <w:szCs w:val="24"/>
              </w:rPr>
              <w:t>03</w:t>
            </w:r>
            <w:r>
              <w:rPr>
                <w:rFonts w:hint="eastAsia"/>
                <w:szCs w:val="24"/>
              </w:rPr>
              <w:t>月</w:t>
            </w:r>
            <w:r>
              <w:rPr>
                <w:szCs w:val="24"/>
              </w:rPr>
              <w:t>01</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罗茁</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北京九九互娱营销顾问股份有限公司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2015</w:t>
            </w:r>
            <w:r>
              <w:rPr>
                <w:rFonts w:hint="eastAsia"/>
                <w:szCs w:val="24"/>
              </w:rPr>
              <w:t>年</w:t>
            </w:r>
            <w:r>
              <w:rPr>
                <w:szCs w:val="24"/>
              </w:rPr>
              <w:t>06</w:t>
            </w:r>
            <w:r>
              <w:rPr>
                <w:rFonts w:hint="eastAsia"/>
                <w:szCs w:val="24"/>
              </w:rPr>
              <w:t>月</w:t>
            </w:r>
            <w:r>
              <w:rPr>
                <w:szCs w:val="24"/>
              </w:rPr>
              <w:t>01</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刘建云</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深圳清源投资管理股份有限公司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总裁兼执行合伙人</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2015</w:t>
            </w:r>
            <w:r>
              <w:rPr>
                <w:rFonts w:hint="eastAsia"/>
                <w:szCs w:val="24"/>
              </w:rPr>
              <w:t>年</w:t>
            </w:r>
            <w:r>
              <w:rPr>
                <w:szCs w:val="24"/>
              </w:rPr>
              <w:t>07</w:t>
            </w:r>
            <w:r>
              <w:rPr>
                <w:rFonts w:hint="eastAsia"/>
                <w:szCs w:val="24"/>
              </w:rPr>
              <w:t>月</w:t>
            </w:r>
            <w:r>
              <w:rPr>
                <w:szCs w:val="24"/>
              </w:rPr>
              <w:t>01</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2018</w:t>
            </w:r>
            <w:r>
              <w:rPr>
                <w:rFonts w:hint="eastAsia"/>
                <w:szCs w:val="24"/>
              </w:rPr>
              <w:t>年</w:t>
            </w:r>
            <w:r>
              <w:rPr>
                <w:szCs w:val="24"/>
              </w:rPr>
              <w:t>07</w:t>
            </w:r>
            <w:r>
              <w:rPr>
                <w:rFonts w:hint="eastAsia"/>
                <w:szCs w:val="24"/>
              </w:rPr>
              <w:t>月</w:t>
            </w:r>
            <w:r>
              <w:rPr>
                <w:szCs w:val="24"/>
              </w:rPr>
              <w:t>01</w:t>
            </w:r>
            <w:r>
              <w:rPr>
                <w:rFonts w:hint="eastAsia"/>
                <w:szCs w:val="24"/>
              </w:rPr>
              <w:t>日</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刘建云</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西安利雅得电气股份有限公司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2014</w:t>
            </w:r>
            <w:r>
              <w:rPr>
                <w:rFonts w:hint="eastAsia"/>
                <w:szCs w:val="24"/>
              </w:rPr>
              <w:t>年</w:t>
            </w:r>
            <w:r>
              <w:rPr>
                <w:szCs w:val="24"/>
              </w:rPr>
              <w:t>07</w:t>
            </w:r>
            <w:r>
              <w:rPr>
                <w:rFonts w:hint="eastAsia"/>
                <w:szCs w:val="24"/>
              </w:rPr>
              <w:t>月</w:t>
            </w:r>
            <w:r>
              <w:rPr>
                <w:szCs w:val="24"/>
              </w:rPr>
              <w:t>01</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2017</w:t>
            </w:r>
            <w:r>
              <w:rPr>
                <w:rFonts w:hint="eastAsia"/>
                <w:szCs w:val="24"/>
              </w:rPr>
              <w:t>年</w:t>
            </w:r>
            <w:r>
              <w:rPr>
                <w:szCs w:val="24"/>
              </w:rPr>
              <w:t>07</w:t>
            </w:r>
            <w:r>
              <w:rPr>
                <w:rFonts w:hint="eastAsia"/>
                <w:szCs w:val="24"/>
              </w:rPr>
              <w:t>月</w:t>
            </w:r>
            <w:r>
              <w:rPr>
                <w:szCs w:val="24"/>
              </w:rPr>
              <w:t>01</w:t>
            </w:r>
            <w:r>
              <w:rPr>
                <w:rFonts w:hint="eastAsia"/>
                <w:szCs w:val="24"/>
              </w:rPr>
              <w:t>日</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刘建云</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龙信数据（北京）有限公司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05</w:t>
            </w:r>
            <w:r>
              <w:rPr>
                <w:rFonts w:hint="eastAsia"/>
                <w:szCs w:val="24"/>
              </w:rPr>
              <w:t>月</w:t>
            </w:r>
            <w:r>
              <w:rPr>
                <w:szCs w:val="24"/>
              </w:rPr>
              <w:t>01</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2019</w:t>
            </w:r>
            <w:r>
              <w:rPr>
                <w:rFonts w:hint="eastAsia"/>
                <w:szCs w:val="24"/>
              </w:rPr>
              <w:t>年</w:t>
            </w:r>
            <w:r>
              <w:rPr>
                <w:szCs w:val="24"/>
              </w:rPr>
              <w:t>05</w:t>
            </w:r>
            <w:r>
              <w:rPr>
                <w:rFonts w:hint="eastAsia"/>
                <w:szCs w:val="24"/>
              </w:rPr>
              <w:t>月</w:t>
            </w:r>
            <w:r>
              <w:rPr>
                <w:szCs w:val="24"/>
              </w:rPr>
              <w:t>01</w:t>
            </w:r>
            <w:r>
              <w:rPr>
                <w:rFonts w:hint="eastAsia"/>
                <w:szCs w:val="24"/>
              </w:rPr>
              <w:t>日</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刘建云</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北京中视瑞德文化传媒股份有限公司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01</w:t>
            </w:r>
            <w:r>
              <w:rPr>
                <w:rFonts w:hint="eastAsia"/>
                <w:szCs w:val="24"/>
              </w:rPr>
              <w:t>月</w:t>
            </w:r>
            <w:r>
              <w:rPr>
                <w:szCs w:val="24"/>
              </w:rPr>
              <w:t>01</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2019</w:t>
            </w:r>
            <w:r>
              <w:rPr>
                <w:rFonts w:hint="eastAsia"/>
                <w:szCs w:val="24"/>
              </w:rPr>
              <w:t>年</w:t>
            </w:r>
            <w:r>
              <w:rPr>
                <w:szCs w:val="24"/>
              </w:rPr>
              <w:t>01</w:t>
            </w:r>
            <w:r>
              <w:rPr>
                <w:rFonts w:hint="eastAsia"/>
                <w:szCs w:val="24"/>
              </w:rPr>
              <w:t>月</w:t>
            </w:r>
            <w:r>
              <w:rPr>
                <w:szCs w:val="24"/>
              </w:rPr>
              <w:t>01</w:t>
            </w:r>
            <w:r>
              <w:rPr>
                <w:rFonts w:hint="eastAsia"/>
                <w:szCs w:val="24"/>
              </w:rPr>
              <w:t>日</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刘建云</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深圳市铁汉生态环境股份有限公司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2015</w:t>
            </w:r>
            <w:r>
              <w:rPr>
                <w:rFonts w:hint="eastAsia"/>
                <w:szCs w:val="24"/>
              </w:rPr>
              <w:t>年</w:t>
            </w:r>
            <w:r>
              <w:rPr>
                <w:szCs w:val="24"/>
              </w:rPr>
              <w:t>09</w:t>
            </w:r>
            <w:r>
              <w:rPr>
                <w:rFonts w:hint="eastAsia"/>
                <w:szCs w:val="24"/>
              </w:rPr>
              <w:t>月</w:t>
            </w:r>
            <w:r>
              <w:rPr>
                <w:szCs w:val="24"/>
              </w:rPr>
              <w:t>01</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2018</w:t>
            </w:r>
            <w:r>
              <w:rPr>
                <w:rFonts w:hint="eastAsia"/>
                <w:szCs w:val="24"/>
              </w:rPr>
              <w:t>年</w:t>
            </w:r>
            <w:r>
              <w:rPr>
                <w:szCs w:val="24"/>
              </w:rPr>
              <w:t>09</w:t>
            </w:r>
            <w:r>
              <w:rPr>
                <w:rFonts w:hint="eastAsia"/>
                <w:szCs w:val="24"/>
              </w:rPr>
              <w:t>月</w:t>
            </w:r>
            <w:r>
              <w:rPr>
                <w:szCs w:val="24"/>
              </w:rPr>
              <w:t>01</w:t>
            </w:r>
            <w:r>
              <w:rPr>
                <w:rFonts w:hint="eastAsia"/>
                <w:szCs w:val="24"/>
              </w:rPr>
              <w:t>日</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刘建云</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上海百胜软件股份有限公司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2015</w:t>
            </w:r>
            <w:r>
              <w:rPr>
                <w:rFonts w:hint="eastAsia"/>
                <w:szCs w:val="24"/>
              </w:rPr>
              <w:t>年</w:t>
            </w:r>
            <w:r>
              <w:rPr>
                <w:szCs w:val="24"/>
              </w:rPr>
              <w:t>02</w:t>
            </w:r>
            <w:r>
              <w:rPr>
                <w:rFonts w:hint="eastAsia"/>
                <w:szCs w:val="24"/>
              </w:rPr>
              <w:t>月</w:t>
            </w:r>
            <w:r>
              <w:rPr>
                <w:szCs w:val="24"/>
              </w:rPr>
              <w:t>01</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2018</w:t>
            </w:r>
            <w:r>
              <w:rPr>
                <w:rFonts w:hint="eastAsia"/>
                <w:szCs w:val="24"/>
              </w:rPr>
              <w:t>年</w:t>
            </w:r>
            <w:r>
              <w:rPr>
                <w:szCs w:val="24"/>
              </w:rPr>
              <w:t>02</w:t>
            </w:r>
            <w:r>
              <w:rPr>
                <w:rFonts w:hint="eastAsia"/>
                <w:szCs w:val="24"/>
              </w:rPr>
              <w:t>月</w:t>
            </w:r>
            <w:r>
              <w:rPr>
                <w:szCs w:val="24"/>
              </w:rPr>
              <w:t>01</w:t>
            </w:r>
            <w:r>
              <w:rPr>
                <w:rFonts w:hint="eastAsia"/>
                <w:szCs w:val="24"/>
              </w:rPr>
              <w:t>日</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刘建云</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西安思坦仪器股份有限公司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2014</w:t>
            </w:r>
            <w:r>
              <w:rPr>
                <w:rFonts w:hint="eastAsia"/>
                <w:szCs w:val="24"/>
              </w:rPr>
              <w:t>年</w:t>
            </w:r>
            <w:r>
              <w:rPr>
                <w:szCs w:val="24"/>
              </w:rPr>
              <w:t>08</w:t>
            </w:r>
            <w:r>
              <w:rPr>
                <w:rFonts w:hint="eastAsia"/>
                <w:szCs w:val="24"/>
              </w:rPr>
              <w:t>月</w:t>
            </w:r>
            <w:r>
              <w:rPr>
                <w:szCs w:val="24"/>
              </w:rPr>
              <w:t>01</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2017</w:t>
            </w:r>
            <w:r>
              <w:rPr>
                <w:rFonts w:hint="eastAsia"/>
                <w:szCs w:val="24"/>
              </w:rPr>
              <w:t>年</w:t>
            </w:r>
            <w:r>
              <w:rPr>
                <w:szCs w:val="24"/>
              </w:rPr>
              <w:t>08</w:t>
            </w:r>
            <w:r>
              <w:rPr>
                <w:rFonts w:hint="eastAsia"/>
                <w:szCs w:val="24"/>
              </w:rPr>
              <w:t>月</w:t>
            </w:r>
            <w:r>
              <w:rPr>
                <w:szCs w:val="24"/>
              </w:rPr>
              <w:t>01</w:t>
            </w:r>
            <w:r>
              <w:rPr>
                <w:rFonts w:hint="eastAsia"/>
                <w:szCs w:val="24"/>
              </w:rPr>
              <w:t>日</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刘建云</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北京天易门窗幕墙股份有限公司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2014</w:t>
            </w:r>
            <w:r>
              <w:rPr>
                <w:rFonts w:hint="eastAsia"/>
                <w:szCs w:val="24"/>
              </w:rPr>
              <w:t>年</w:t>
            </w:r>
            <w:r>
              <w:rPr>
                <w:szCs w:val="24"/>
              </w:rPr>
              <w:t>06</w:t>
            </w:r>
            <w:r>
              <w:rPr>
                <w:rFonts w:hint="eastAsia"/>
                <w:szCs w:val="24"/>
              </w:rPr>
              <w:t>月</w:t>
            </w:r>
            <w:r>
              <w:rPr>
                <w:szCs w:val="24"/>
              </w:rPr>
              <w:t>01</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2017</w:t>
            </w:r>
            <w:r>
              <w:rPr>
                <w:rFonts w:hint="eastAsia"/>
                <w:szCs w:val="24"/>
              </w:rPr>
              <w:t>年</w:t>
            </w:r>
            <w:r>
              <w:rPr>
                <w:szCs w:val="24"/>
              </w:rPr>
              <w:t>06</w:t>
            </w:r>
            <w:r>
              <w:rPr>
                <w:rFonts w:hint="eastAsia"/>
                <w:szCs w:val="24"/>
              </w:rPr>
              <w:t>月</w:t>
            </w:r>
            <w:r>
              <w:rPr>
                <w:szCs w:val="24"/>
              </w:rPr>
              <w:t>01</w:t>
            </w:r>
            <w:r>
              <w:rPr>
                <w:rFonts w:hint="eastAsia"/>
                <w:szCs w:val="24"/>
              </w:rPr>
              <w:t>日</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刘建云</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上海寰创通信科技股份有限公司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2015</w:t>
            </w:r>
            <w:r>
              <w:rPr>
                <w:rFonts w:hint="eastAsia"/>
                <w:szCs w:val="24"/>
              </w:rPr>
              <w:t>年</w:t>
            </w:r>
            <w:r>
              <w:rPr>
                <w:szCs w:val="24"/>
              </w:rPr>
              <w:t>03</w:t>
            </w:r>
            <w:r>
              <w:rPr>
                <w:rFonts w:hint="eastAsia"/>
                <w:szCs w:val="24"/>
              </w:rPr>
              <w:t>月</w:t>
            </w:r>
            <w:r>
              <w:rPr>
                <w:szCs w:val="24"/>
              </w:rPr>
              <w:t>01</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2018</w:t>
            </w:r>
            <w:r>
              <w:rPr>
                <w:rFonts w:hint="eastAsia"/>
                <w:szCs w:val="24"/>
              </w:rPr>
              <w:t>年</w:t>
            </w:r>
            <w:r>
              <w:rPr>
                <w:szCs w:val="24"/>
              </w:rPr>
              <w:t>03</w:t>
            </w:r>
            <w:r>
              <w:rPr>
                <w:rFonts w:hint="eastAsia"/>
                <w:szCs w:val="24"/>
              </w:rPr>
              <w:t>月</w:t>
            </w:r>
            <w:r>
              <w:rPr>
                <w:szCs w:val="24"/>
              </w:rPr>
              <w:t>01</w:t>
            </w:r>
            <w:r>
              <w:rPr>
                <w:rFonts w:hint="eastAsia"/>
                <w:szCs w:val="24"/>
              </w:rPr>
              <w:t>日</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刘建云</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山东北辰机电设备股份有限公司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2015</w:t>
            </w:r>
            <w:r>
              <w:rPr>
                <w:rFonts w:hint="eastAsia"/>
                <w:szCs w:val="24"/>
              </w:rPr>
              <w:t>年</w:t>
            </w:r>
            <w:r>
              <w:rPr>
                <w:szCs w:val="24"/>
              </w:rPr>
              <w:t>06</w:t>
            </w:r>
            <w:r>
              <w:rPr>
                <w:rFonts w:hint="eastAsia"/>
                <w:szCs w:val="24"/>
              </w:rPr>
              <w:t>月</w:t>
            </w:r>
            <w:r>
              <w:rPr>
                <w:szCs w:val="24"/>
              </w:rPr>
              <w:t>01</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2018</w:t>
            </w:r>
            <w:r>
              <w:rPr>
                <w:rFonts w:hint="eastAsia"/>
                <w:szCs w:val="24"/>
              </w:rPr>
              <w:t>年</w:t>
            </w:r>
            <w:r>
              <w:rPr>
                <w:szCs w:val="24"/>
              </w:rPr>
              <w:t>06</w:t>
            </w:r>
            <w:r>
              <w:rPr>
                <w:rFonts w:hint="eastAsia"/>
                <w:szCs w:val="24"/>
              </w:rPr>
              <w:t>月</w:t>
            </w:r>
            <w:r>
              <w:rPr>
                <w:szCs w:val="24"/>
              </w:rPr>
              <w:t>01</w:t>
            </w:r>
            <w:r>
              <w:rPr>
                <w:rFonts w:hint="eastAsia"/>
                <w:szCs w:val="24"/>
              </w:rPr>
              <w:t>日</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刘建云</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深圳市精智达技术股份有限公司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2015</w:t>
            </w:r>
            <w:r>
              <w:rPr>
                <w:rFonts w:hint="eastAsia"/>
                <w:szCs w:val="24"/>
              </w:rPr>
              <w:t>年</w:t>
            </w:r>
            <w:r>
              <w:rPr>
                <w:szCs w:val="24"/>
              </w:rPr>
              <w:t>11</w:t>
            </w:r>
            <w:r>
              <w:rPr>
                <w:rFonts w:hint="eastAsia"/>
                <w:szCs w:val="24"/>
              </w:rPr>
              <w:t>月</w:t>
            </w:r>
            <w:r>
              <w:rPr>
                <w:szCs w:val="24"/>
              </w:rPr>
              <w:t>01</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2018</w:t>
            </w:r>
            <w:r>
              <w:rPr>
                <w:rFonts w:hint="eastAsia"/>
                <w:szCs w:val="24"/>
              </w:rPr>
              <w:t>年</w:t>
            </w:r>
            <w:r>
              <w:rPr>
                <w:szCs w:val="24"/>
              </w:rPr>
              <w:t>11</w:t>
            </w:r>
            <w:r>
              <w:rPr>
                <w:rFonts w:hint="eastAsia"/>
                <w:szCs w:val="24"/>
              </w:rPr>
              <w:t>月</w:t>
            </w:r>
            <w:r>
              <w:rPr>
                <w:szCs w:val="24"/>
              </w:rPr>
              <w:t>01</w:t>
            </w:r>
            <w:r>
              <w:rPr>
                <w:rFonts w:hint="eastAsia"/>
                <w:szCs w:val="24"/>
              </w:rPr>
              <w:t>日</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刘建云</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深圳市联赢激光股份有限公司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2014</w:t>
            </w:r>
            <w:r>
              <w:rPr>
                <w:rFonts w:hint="eastAsia"/>
                <w:szCs w:val="24"/>
              </w:rPr>
              <w:t>年</w:t>
            </w:r>
            <w:r>
              <w:rPr>
                <w:szCs w:val="24"/>
              </w:rPr>
              <w:t>09</w:t>
            </w:r>
            <w:r>
              <w:rPr>
                <w:rFonts w:hint="eastAsia"/>
                <w:szCs w:val="24"/>
              </w:rPr>
              <w:t>月</w:t>
            </w:r>
            <w:r>
              <w:rPr>
                <w:szCs w:val="24"/>
              </w:rPr>
              <w:t>01</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2017</w:t>
            </w:r>
            <w:r>
              <w:rPr>
                <w:rFonts w:hint="eastAsia"/>
                <w:szCs w:val="24"/>
              </w:rPr>
              <w:t>年</w:t>
            </w:r>
            <w:r>
              <w:rPr>
                <w:szCs w:val="24"/>
              </w:rPr>
              <w:t>09</w:t>
            </w:r>
            <w:r>
              <w:rPr>
                <w:rFonts w:hint="eastAsia"/>
                <w:szCs w:val="24"/>
              </w:rPr>
              <w:t>月</w:t>
            </w:r>
            <w:r>
              <w:rPr>
                <w:szCs w:val="24"/>
              </w:rPr>
              <w:t>01</w:t>
            </w:r>
            <w:r>
              <w:rPr>
                <w:rFonts w:hint="eastAsia"/>
                <w:szCs w:val="24"/>
              </w:rPr>
              <w:t>日</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刘建云</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四川柏狮光电技术有限公司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2014</w:t>
            </w:r>
            <w:r>
              <w:rPr>
                <w:rFonts w:hint="eastAsia"/>
                <w:szCs w:val="24"/>
              </w:rPr>
              <w:t>年</w:t>
            </w:r>
            <w:r>
              <w:rPr>
                <w:szCs w:val="24"/>
              </w:rPr>
              <w:t>04</w:t>
            </w:r>
            <w:r>
              <w:rPr>
                <w:rFonts w:hint="eastAsia"/>
                <w:szCs w:val="24"/>
              </w:rPr>
              <w:t>月</w:t>
            </w:r>
            <w:r>
              <w:rPr>
                <w:szCs w:val="24"/>
              </w:rPr>
              <w:t>01</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2017</w:t>
            </w:r>
            <w:r>
              <w:rPr>
                <w:rFonts w:hint="eastAsia"/>
                <w:szCs w:val="24"/>
              </w:rPr>
              <w:t>年</w:t>
            </w:r>
            <w:r>
              <w:rPr>
                <w:szCs w:val="24"/>
              </w:rPr>
              <w:t>04</w:t>
            </w:r>
            <w:r>
              <w:rPr>
                <w:rFonts w:hint="eastAsia"/>
                <w:szCs w:val="24"/>
              </w:rPr>
              <w:t>月</w:t>
            </w:r>
            <w:r>
              <w:rPr>
                <w:szCs w:val="24"/>
              </w:rPr>
              <w:t>01</w:t>
            </w:r>
            <w:r>
              <w:rPr>
                <w:rFonts w:hint="eastAsia"/>
                <w:szCs w:val="24"/>
              </w:rPr>
              <w:t>日</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刘建云</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苏州硒谷科技有限公司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2013</w:t>
            </w:r>
            <w:r>
              <w:rPr>
                <w:rFonts w:hint="eastAsia"/>
                <w:szCs w:val="24"/>
              </w:rPr>
              <w:t>年</w:t>
            </w:r>
            <w:r>
              <w:rPr>
                <w:szCs w:val="24"/>
              </w:rPr>
              <w:t>06</w:t>
            </w:r>
            <w:r>
              <w:rPr>
                <w:rFonts w:hint="eastAsia"/>
                <w:szCs w:val="24"/>
              </w:rPr>
              <w:t>月</w:t>
            </w:r>
            <w:r>
              <w:rPr>
                <w:szCs w:val="24"/>
              </w:rPr>
              <w:t>01</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刘建云</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深圳市兴耀华实业有限公司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2012</w:t>
            </w:r>
            <w:r>
              <w:rPr>
                <w:rFonts w:hint="eastAsia"/>
                <w:szCs w:val="24"/>
              </w:rPr>
              <w:t>年</w:t>
            </w:r>
            <w:r>
              <w:rPr>
                <w:szCs w:val="24"/>
              </w:rPr>
              <w:t>10</w:t>
            </w:r>
            <w:r>
              <w:rPr>
                <w:rFonts w:hint="eastAsia"/>
                <w:szCs w:val="24"/>
              </w:rPr>
              <w:t>月</w:t>
            </w:r>
            <w:r>
              <w:rPr>
                <w:szCs w:val="24"/>
              </w:rPr>
              <w:t>01</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刘建云</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成都海兰天澄科技有限公司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2011</w:t>
            </w:r>
            <w:r>
              <w:rPr>
                <w:rFonts w:hint="eastAsia"/>
                <w:szCs w:val="24"/>
              </w:rPr>
              <w:t>年</w:t>
            </w:r>
            <w:r>
              <w:rPr>
                <w:szCs w:val="24"/>
              </w:rPr>
              <w:t>03</w:t>
            </w:r>
            <w:r>
              <w:rPr>
                <w:rFonts w:hint="eastAsia"/>
                <w:szCs w:val="24"/>
              </w:rPr>
              <w:t>月</w:t>
            </w:r>
            <w:r>
              <w:rPr>
                <w:szCs w:val="24"/>
              </w:rPr>
              <w:t>01</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刘建云</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广西开元机器制造有限责任公司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2011</w:t>
            </w:r>
            <w:r>
              <w:rPr>
                <w:rFonts w:hint="eastAsia"/>
                <w:szCs w:val="24"/>
              </w:rPr>
              <w:t>年</w:t>
            </w:r>
            <w:r>
              <w:rPr>
                <w:szCs w:val="24"/>
              </w:rPr>
              <w:t>08</w:t>
            </w:r>
            <w:r>
              <w:rPr>
                <w:rFonts w:hint="eastAsia"/>
                <w:szCs w:val="24"/>
              </w:rPr>
              <w:t>月</w:t>
            </w:r>
            <w:r>
              <w:rPr>
                <w:szCs w:val="24"/>
              </w:rPr>
              <w:t>01</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石桂华</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北京海兰盈华科技有限公司</w:t>
            </w:r>
          </w:p>
        </w:tc>
        <w:tc>
          <w:tcPr>
            <w:tcW w:w="10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总经理</w:t>
            </w:r>
          </w:p>
        </w:tc>
        <w:tc>
          <w:tcPr>
            <w:tcW w:w="11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01</w:t>
            </w:r>
            <w:r>
              <w:rPr>
                <w:rFonts w:hint="eastAsia"/>
                <w:szCs w:val="24"/>
              </w:rPr>
              <w:t>月</w:t>
            </w:r>
            <w:r>
              <w:rPr>
                <w:szCs w:val="24"/>
              </w:rPr>
              <w:t>01</w:t>
            </w:r>
            <w:r>
              <w:rPr>
                <w:rFonts w:hint="eastAsia"/>
                <w:szCs w:val="24"/>
              </w:rPr>
              <w:t>日</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bl>
    <w:p>
      <w:pPr>
        <w:jc w:val="left"/>
        <w:rPr>
          <w:szCs w:val="24"/>
        </w:rPr>
      </w:pPr>
      <w:r>
        <w:rPr>
          <w:rFonts w:hint="eastAsia"/>
          <w:szCs w:val="24"/>
        </w:rPr>
        <w:t>公司现任及报告期内离任董事、监事和高级管理人员近三年证券监管机构处罚的情况</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pStyle w:val="10"/>
        <w:outlineLvl w:val="1"/>
        <w:rPr>
          <w:bCs w:val="0"/>
        </w:rPr>
      </w:pPr>
      <w:r>
        <w:rPr>
          <w:rFonts w:hint="eastAsia"/>
          <w:bCs w:val="0"/>
        </w:rPr>
        <w:t>四、董事、监事、高级管理人员报酬情况</w:t>
      </w:r>
    </w:p>
    <w:p>
      <w:pPr>
        <w:jc w:val="left"/>
        <w:rPr>
          <w:szCs w:val="24"/>
        </w:rPr>
      </w:pPr>
      <w:r>
        <w:rPr>
          <w:rFonts w:hint="eastAsia"/>
          <w:szCs w:val="24"/>
        </w:rPr>
        <w:t>董事、监事、高级管理人员报酬的决策程序、确定依据、实际支付情况</w:t>
      </w:r>
    </w:p>
    <w:p>
      <w:pPr>
        <w:autoSpaceDE w:val="0"/>
        <w:autoSpaceDN w:val="0"/>
        <w:adjustRightInd w:val="0"/>
        <w:ind w:firstLine="361"/>
        <w:rPr>
          <w:rFonts w:eastAsia="Times New Roman"/>
          <w:kern w:val="0"/>
          <w:sz w:val="21"/>
          <w:szCs w:val="24"/>
          <w:lang w:val="zh-CN"/>
        </w:rPr>
      </w:pPr>
      <w:r>
        <w:rPr>
          <w:rFonts w:hint="eastAsia" w:ascii="宋体" w:hAnsi="宋体" w:cs="宋体"/>
          <w:b/>
          <w:kern w:val="0"/>
          <w:sz w:val="21"/>
          <w:szCs w:val="24"/>
          <w:lang w:val="zh-CN"/>
        </w:rPr>
        <w:t>决策程序</w:t>
      </w:r>
      <w:r>
        <w:rPr>
          <w:rFonts w:hint="eastAsia" w:ascii="宋体" w:hAnsi="宋体" w:cs="宋体"/>
          <w:kern w:val="0"/>
          <w:sz w:val="21"/>
          <w:szCs w:val="24"/>
          <w:lang w:val="zh-CN"/>
        </w:rPr>
        <w:t>：董事、监事津贴分别经董事会监事会审议通过后提交股东大会审议；高级管理人员报酬根据公司《高级管理人员薪酬及绩效考核管理制度》执行，公司董事会决议确定的薪酬范围后，由董事会薪酬与考核委员会组织并考核。</w:t>
      </w:r>
    </w:p>
    <w:p>
      <w:pPr>
        <w:autoSpaceDE w:val="0"/>
        <w:autoSpaceDN w:val="0"/>
        <w:adjustRightInd w:val="0"/>
        <w:ind w:firstLine="361"/>
        <w:rPr>
          <w:rFonts w:eastAsia="Times New Roman"/>
          <w:kern w:val="0"/>
          <w:sz w:val="21"/>
          <w:szCs w:val="24"/>
          <w:lang w:val="zh-CN"/>
        </w:rPr>
      </w:pPr>
      <w:r>
        <w:rPr>
          <w:rFonts w:hint="eastAsia" w:ascii="宋体" w:hAnsi="宋体" w:cs="宋体"/>
          <w:b/>
          <w:kern w:val="0"/>
          <w:sz w:val="21"/>
          <w:szCs w:val="24"/>
          <w:lang w:val="zh-CN"/>
        </w:rPr>
        <w:t>确定依据</w:t>
      </w:r>
      <w:r>
        <w:rPr>
          <w:rFonts w:hint="eastAsia" w:ascii="宋体" w:hAnsi="宋体" w:cs="宋体"/>
          <w:kern w:val="0"/>
          <w:sz w:val="21"/>
          <w:szCs w:val="24"/>
          <w:lang w:val="zh-CN"/>
        </w:rPr>
        <w:t>：依据公司盈利水平及各董事、监事、高级管理人员的分工及履行情况确定。</w:t>
      </w:r>
    </w:p>
    <w:p>
      <w:pPr>
        <w:autoSpaceDE w:val="0"/>
        <w:autoSpaceDN w:val="0"/>
        <w:adjustRightInd w:val="0"/>
        <w:ind w:firstLine="361"/>
        <w:rPr>
          <w:rFonts w:eastAsia="Times New Roman"/>
          <w:kern w:val="0"/>
          <w:sz w:val="21"/>
          <w:szCs w:val="24"/>
          <w:lang w:val="zh-CN"/>
        </w:rPr>
      </w:pPr>
      <w:r>
        <w:rPr>
          <w:rFonts w:hint="eastAsia" w:ascii="宋体" w:hAnsi="宋体" w:cs="宋体"/>
          <w:b/>
          <w:kern w:val="0"/>
          <w:sz w:val="21"/>
          <w:szCs w:val="24"/>
          <w:lang w:val="zh-CN"/>
        </w:rPr>
        <w:t>实际支付情况</w:t>
      </w:r>
      <w:r>
        <w:rPr>
          <w:rFonts w:hint="eastAsia" w:ascii="宋体" w:hAnsi="宋体" w:cs="宋体"/>
          <w:kern w:val="0"/>
          <w:sz w:val="21"/>
          <w:szCs w:val="24"/>
          <w:lang w:val="zh-CN"/>
        </w:rPr>
        <w:t>：工资次月发放；津贴、奖金延后发放；详见下表。</w:t>
      </w:r>
    </w:p>
    <w:p>
      <w:pPr>
        <w:jc w:val="left"/>
        <w:rPr>
          <w:szCs w:val="24"/>
        </w:rPr>
      </w:pPr>
      <w:r>
        <w:rPr>
          <w:rFonts w:hint="eastAsia"/>
          <w:szCs w:val="24"/>
        </w:rPr>
        <w:t>公司报告期内董事、监事和高级管理人员报酬情况</w:t>
      </w:r>
    </w:p>
    <w:p>
      <w:pPr>
        <w:jc w:val="right"/>
        <w:rPr>
          <w:szCs w:val="24"/>
        </w:rPr>
      </w:pPr>
      <w:r>
        <w:rPr>
          <w:rFonts w:hint="eastAsia"/>
          <w:szCs w:val="24"/>
        </w:rPr>
        <w:t>单位：万元</w:t>
      </w:r>
    </w:p>
    <w:tbl>
      <w:tblPr>
        <w:tblStyle w:val="8"/>
        <w:tblW w:w="9571" w:type="dxa"/>
        <w:tblInd w:w="28" w:type="dxa"/>
        <w:tblLayout w:type="fixed"/>
        <w:tblCellMar>
          <w:top w:w="0" w:type="dxa"/>
          <w:left w:w="28" w:type="dxa"/>
          <w:bottom w:w="0" w:type="dxa"/>
          <w:right w:w="28" w:type="dxa"/>
        </w:tblCellMar>
      </w:tblPr>
      <w:tblGrid>
        <w:gridCol w:w="1369"/>
        <w:gridCol w:w="1367"/>
        <w:gridCol w:w="1367"/>
        <w:gridCol w:w="1367"/>
        <w:gridCol w:w="1367"/>
        <w:gridCol w:w="1367"/>
        <w:gridCol w:w="1367"/>
      </w:tblGrid>
      <w:tr>
        <w:tblPrEx>
          <w:tblLayout w:type="fixed"/>
          <w:tblCellMar>
            <w:top w:w="0" w:type="dxa"/>
            <w:left w:w="28" w:type="dxa"/>
            <w:bottom w:w="0" w:type="dxa"/>
            <w:right w:w="28" w:type="dxa"/>
          </w:tblCellMar>
        </w:tblPrEx>
        <w:tc>
          <w:tcPr>
            <w:tcW w:w="136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姓名</w:t>
            </w:r>
          </w:p>
        </w:tc>
        <w:tc>
          <w:tcPr>
            <w:tcW w:w="136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职务</w:t>
            </w:r>
          </w:p>
        </w:tc>
        <w:tc>
          <w:tcPr>
            <w:tcW w:w="136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性别</w:t>
            </w:r>
          </w:p>
        </w:tc>
        <w:tc>
          <w:tcPr>
            <w:tcW w:w="136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年龄</w:t>
            </w:r>
          </w:p>
        </w:tc>
        <w:tc>
          <w:tcPr>
            <w:tcW w:w="136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任职状态</w:t>
            </w:r>
          </w:p>
        </w:tc>
        <w:tc>
          <w:tcPr>
            <w:tcW w:w="136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从公司获得的税前报酬总额</w:t>
            </w:r>
          </w:p>
        </w:tc>
        <w:tc>
          <w:tcPr>
            <w:tcW w:w="136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是否在公司关联方获取报酬</w:t>
            </w:r>
          </w:p>
        </w:tc>
      </w:tr>
      <w:tr>
        <w:tblPrEx>
          <w:tblLayout w:type="fixed"/>
          <w:tblCellMar>
            <w:top w:w="0" w:type="dxa"/>
            <w:left w:w="28" w:type="dxa"/>
            <w:bottom w:w="0" w:type="dxa"/>
            <w:right w:w="28" w:type="dxa"/>
          </w:tblCellMar>
        </w:tblPrEx>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申万秋</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董事长；总经理</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男</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46</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现任</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50.41</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唐军武</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男</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51</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现任</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54.37</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仓梓剑</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男</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43</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现任</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6.32</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孙陶然</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独立董事</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男</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47</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现任</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6.32</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李焰</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独立董事</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女</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60</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现任</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6.32</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罗茁</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监事会主席</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男</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54</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现任</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刘建云</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监事</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男</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46</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现任</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陈冬冬</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职工监事</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男</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30</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现任</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19.84</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柳丽华</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财务总监</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女</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41</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现任</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49.64</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石桂华</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副总经理</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女</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49</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现任</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50.34</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高晋占</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副总经理</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男</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70</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现任</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11.3</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覃善兴</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副总经理</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男</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36</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现任</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41.47</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姜楠</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董事会秘书</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女</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35</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现任</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32.81</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高照杰</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董事</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男</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65</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离任</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陈炜</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副总经理</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男</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41</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离任</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36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合计</w:t>
            </w:r>
          </w:p>
        </w:tc>
        <w:tc>
          <w:tcPr>
            <w:tcW w:w="136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136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136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136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329.14</w:t>
            </w:r>
          </w:p>
        </w:tc>
        <w:tc>
          <w:tcPr>
            <w:tcW w:w="136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szCs w:val="24"/>
              </w:rPr>
              <w:t>--</w:t>
            </w:r>
          </w:p>
        </w:tc>
      </w:tr>
    </w:tbl>
    <w:p>
      <w:pPr>
        <w:jc w:val="left"/>
        <w:rPr>
          <w:szCs w:val="24"/>
        </w:rPr>
      </w:pPr>
      <w:r>
        <w:rPr>
          <w:rFonts w:hint="eastAsia"/>
          <w:szCs w:val="24"/>
        </w:rPr>
        <w:t>公司董事、高级管理人员报告期内被授予的股权激励情况</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pStyle w:val="10"/>
        <w:outlineLvl w:val="1"/>
        <w:rPr>
          <w:bCs w:val="0"/>
        </w:rPr>
      </w:pPr>
      <w:r>
        <w:rPr>
          <w:rFonts w:hint="eastAsia"/>
          <w:bCs w:val="0"/>
        </w:rPr>
        <w:t>五、公司员工情况</w:t>
      </w:r>
    </w:p>
    <w:p>
      <w:pPr>
        <w:pStyle w:val="11"/>
        <w:outlineLvl w:val="2"/>
        <w:rPr>
          <w:bCs w:val="0"/>
          <w:szCs w:val="24"/>
        </w:rPr>
      </w:pPr>
      <w:r>
        <w:rPr>
          <w:bCs w:val="0"/>
          <w:szCs w:val="24"/>
        </w:rPr>
        <w:t>1</w:t>
      </w:r>
      <w:r>
        <w:rPr>
          <w:rFonts w:hint="eastAsia"/>
          <w:bCs w:val="0"/>
          <w:szCs w:val="24"/>
        </w:rPr>
        <w:t>、员工数量、专业构成及教育程度</w:t>
      </w:r>
    </w:p>
    <w:tbl>
      <w:tblPr>
        <w:tblStyle w:val="8"/>
        <w:tblW w:w="9568" w:type="dxa"/>
        <w:tblInd w:w="28" w:type="dxa"/>
        <w:tblLayout w:type="fixed"/>
        <w:tblCellMar>
          <w:top w:w="0" w:type="dxa"/>
          <w:left w:w="28" w:type="dxa"/>
          <w:bottom w:w="0" w:type="dxa"/>
          <w:right w:w="28" w:type="dxa"/>
        </w:tblCellMar>
      </w:tblPr>
      <w:tblGrid>
        <w:gridCol w:w="4784"/>
        <w:gridCol w:w="4784"/>
      </w:tblGrid>
      <w:tr>
        <w:tblPrEx>
          <w:tblLayout w:type="fixed"/>
          <w:tblCellMar>
            <w:top w:w="0" w:type="dxa"/>
            <w:left w:w="28" w:type="dxa"/>
            <w:bottom w:w="0" w:type="dxa"/>
            <w:right w:w="28" w:type="dxa"/>
          </w:tblCellMar>
        </w:tblPrEx>
        <w:tc>
          <w:tcPr>
            <w:tcW w:w="478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t>母公司在职员工的数量（人）</w:t>
            </w:r>
          </w:p>
        </w:tc>
        <w:tc>
          <w:tcPr>
            <w:tcW w:w="47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166</w:t>
            </w:r>
          </w:p>
        </w:tc>
      </w:tr>
      <w:tr>
        <w:tblPrEx>
          <w:tblLayout w:type="fixed"/>
          <w:tblCellMar>
            <w:top w:w="0" w:type="dxa"/>
            <w:left w:w="28" w:type="dxa"/>
            <w:bottom w:w="0" w:type="dxa"/>
            <w:right w:w="28" w:type="dxa"/>
          </w:tblCellMar>
        </w:tblPrEx>
        <w:tc>
          <w:tcPr>
            <w:tcW w:w="478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t>主要子公司在职员工的数量（人）</w:t>
            </w:r>
          </w:p>
        </w:tc>
        <w:tc>
          <w:tcPr>
            <w:tcW w:w="47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337</w:t>
            </w:r>
          </w:p>
        </w:tc>
      </w:tr>
      <w:tr>
        <w:tblPrEx>
          <w:tblLayout w:type="fixed"/>
          <w:tblCellMar>
            <w:top w:w="0" w:type="dxa"/>
            <w:left w:w="28" w:type="dxa"/>
            <w:bottom w:w="0" w:type="dxa"/>
            <w:right w:w="28" w:type="dxa"/>
          </w:tblCellMar>
        </w:tblPrEx>
        <w:tc>
          <w:tcPr>
            <w:tcW w:w="478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t>在职员工的数量合计（人）</w:t>
            </w:r>
          </w:p>
        </w:tc>
        <w:tc>
          <w:tcPr>
            <w:tcW w:w="47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503</w:t>
            </w:r>
          </w:p>
        </w:tc>
      </w:tr>
      <w:tr>
        <w:tblPrEx>
          <w:tblLayout w:type="fixed"/>
          <w:tblCellMar>
            <w:top w:w="0" w:type="dxa"/>
            <w:left w:w="28" w:type="dxa"/>
            <w:bottom w:w="0" w:type="dxa"/>
            <w:right w:w="28" w:type="dxa"/>
          </w:tblCellMar>
        </w:tblPrEx>
        <w:tc>
          <w:tcPr>
            <w:tcW w:w="478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t>当期领取薪酬员工总人数（人）</w:t>
            </w:r>
          </w:p>
        </w:tc>
        <w:tc>
          <w:tcPr>
            <w:tcW w:w="47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503</w:t>
            </w:r>
          </w:p>
        </w:tc>
      </w:tr>
      <w:tr>
        <w:tblPrEx>
          <w:tblLayout w:type="fixed"/>
          <w:tblCellMar>
            <w:top w:w="0" w:type="dxa"/>
            <w:left w:w="28" w:type="dxa"/>
            <w:bottom w:w="0" w:type="dxa"/>
            <w:right w:w="28" w:type="dxa"/>
          </w:tblCellMar>
        </w:tblPrEx>
        <w:tc>
          <w:tcPr>
            <w:tcW w:w="478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t>母公司及主要子公司需承担费用的离退休职工人数（人）</w:t>
            </w:r>
          </w:p>
        </w:tc>
        <w:tc>
          <w:tcPr>
            <w:tcW w:w="47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0</w:t>
            </w:r>
          </w:p>
        </w:tc>
      </w:tr>
      <w:tr>
        <w:tblPrEx>
          <w:tblLayout w:type="fixed"/>
          <w:tblCellMar>
            <w:top w:w="0" w:type="dxa"/>
            <w:left w:w="28" w:type="dxa"/>
            <w:bottom w:w="0" w:type="dxa"/>
            <w:right w:w="28" w:type="dxa"/>
          </w:tblCellMar>
        </w:tblPrEx>
        <w:tc>
          <w:tcPr>
            <w:tcW w:w="9568"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t>专业构成</w:t>
            </w:r>
          </w:p>
        </w:tc>
      </w:tr>
      <w:tr>
        <w:tblPrEx>
          <w:tblLayout w:type="fixed"/>
          <w:tblCellMar>
            <w:top w:w="0" w:type="dxa"/>
            <w:left w:w="28" w:type="dxa"/>
            <w:bottom w:w="0" w:type="dxa"/>
            <w:right w:w="28" w:type="dxa"/>
          </w:tblCellMar>
        </w:tblPrEx>
        <w:tc>
          <w:tcPr>
            <w:tcW w:w="478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t>专业构成类别</w:t>
            </w:r>
          </w:p>
        </w:tc>
        <w:tc>
          <w:tcPr>
            <w:tcW w:w="478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t>专业构成人数（人）</w:t>
            </w:r>
          </w:p>
        </w:tc>
      </w:tr>
      <w:tr>
        <w:tblPrEx>
          <w:tblLayout w:type="fixed"/>
          <w:tblCellMar>
            <w:top w:w="0" w:type="dxa"/>
            <w:left w:w="28" w:type="dxa"/>
            <w:bottom w:w="0" w:type="dxa"/>
            <w:right w:w="28" w:type="dxa"/>
          </w:tblCellMar>
        </w:tblPrEx>
        <w:tc>
          <w:tcPr>
            <w:tcW w:w="478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t>生产人员</w:t>
            </w:r>
          </w:p>
        </w:tc>
        <w:tc>
          <w:tcPr>
            <w:tcW w:w="47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126</w:t>
            </w:r>
          </w:p>
        </w:tc>
      </w:tr>
      <w:tr>
        <w:tblPrEx>
          <w:tblLayout w:type="fixed"/>
          <w:tblCellMar>
            <w:top w:w="0" w:type="dxa"/>
            <w:left w:w="28" w:type="dxa"/>
            <w:bottom w:w="0" w:type="dxa"/>
            <w:right w:w="28" w:type="dxa"/>
          </w:tblCellMar>
        </w:tblPrEx>
        <w:tc>
          <w:tcPr>
            <w:tcW w:w="478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t>销售人员</w:t>
            </w:r>
          </w:p>
        </w:tc>
        <w:tc>
          <w:tcPr>
            <w:tcW w:w="47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61</w:t>
            </w:r>
          </w:p>
        </w:tc>
      </w:tr>
      <w:tr>
        <w:tblPrEx>
          <w:tblLayout w:type="fixed"/>
          <w:tblCellMar>
            <w:top w:w="0" w:type="dxa"/>
            <w:left w:w="28" w:type="dxa"/>
            <w:bottom w:w="0" w:type="dxa"/>
            <w:right w:w="28" w:type="dxa"/>
          </w:tblCellMar>
        </w:tblPrEx>
        <w:tc>
          <w:tcPr>
            <w:tcW w:w="478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t>技术人员</w:t>
            </w:r>
          </w:p>
        </w:tc>
        <w:tc>
          <w:tcPr>
            <w:tcW w:w="47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217</w:t>
            </w:r>
          </w:p>
        </w:tc>
      </w:tr>
      <w:tr>
        <w:tblPrEx>
          <w:tblLayout w:type="fixed"/>
          <w:tblCellMar>
            <w:top w:w="0" w:type="dxa"/>
            <w:left w:w="28" w:type="dxa"/>
            <w:bottom w:w="0" w:type="dxa"/>
            <w:right w:w="28" w:type="dxa"/>
          </w:tblCellMar>
        </w:tblPrEx>
        <w:tc>
          <w:tcPr>
            <w:tcW w:w="478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t>财务人员</w:t>
            </w:r>
          </w:p>
        </w:tc>
        <w:tc>
          <w:tcPr>
            <w:tcW w:w="47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22</w:t>
            </w:r>
          </w:p>
        </w:tc>
      </w:tr>
      <w:tr>
        <w:tblPrEx>
          <w:tblLayout w:type="fixed"/>
          <w:tblCellMar>
            <w:top w:w="0" w:type="dxa"/>
            <w:left w:w="28" w:type="dxa"/>
            <w:bottom w:w="0" w:type="dxa"/>
            <w:right w:w="28" w:type="dxa"/>
          </w:tblCellMar>
        </w:tblPrEx>
        <w:tc>
          <w:tcPr>
            <w:tcW w:w="478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t>行政人员</w:t>
            </w:r>
          </w:p>
        </w:tc>
        <w:tc>
          <w:tcPr>
            <w:tcW w:w="47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77</w:t>
            </w:r>
          </w:p>
        </w:tc>
      </w:tr>
      <w:tr>
        <w:tblPrEx>
          <w:tblLayout w:type="fixed"/>
          <w:tblCellMar>
            <w:top w:w="0" w:type="dxa"/>
            <w:left w:w="28" w:type="dxa"/>
            <w:bottom w:w="0" w:type="dxa"/>
            <w:right w:w="28" w:type="dxa"/>
          </w:tblCellMar>
        </w:tblPrEx>
        <w:tc>
          <w:tcPr>
            <w:tcW w:w="478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t>合计</w:t>
            </w:r>
          </w:p>
        </w:tc>
        <w:tc>
          <w:tcPr>
            <w:tcW w:w="4784" w:type="dxa"/>
            <w:tcBorders>
              <w:top w:val="single" w:color="auto" w:sz="4" w:space="0"/>
              <w:left w:val="single" w:color="auto" w:sz="4" w:space="0"/>
              <w:bottom w:val="single" w:color="auto" w:sz="4" w:space="0"/>
              <w:right w:val="single" w:color="auto" w:sz="4" w:space="0"/>
            </w:tcBorders>
            <w:vAlign w:val="center"/>
          </w:tcPr>
          <w:p>
            <w:pPr>
              <w:jc w:val="right"/>
            </w:pPr>
            <w:r>
              <w:t>503</w:t>
            </w:r>
          </w:p>
        </w:tc>
      </w:tr>
      <w:tr>
        <w:tblPrEx>
          <w:tblLayout w:type="fixed"/>
          <w:tblCellMar>
            <w:top w:w="0" w:type="dxa"/>
            <w:left w:w="28" w:type="dxa"/>
            <w:bottom w:w="0" w:type="dxa"/>
            <w:right w:w="28" w:type="dxa"/>
          </w:tblCellMar>
        </w:tblPrEx>
        <w:tc>
          <w:tcPr>
            <w:tcW w:w="9568"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pPr>
            <w:r>
              <w:t>教育程度</w:t>
            </w:r>
          </w:p>
        </w:tc>
      </w:tr>
      <w:tr>
        <w:tblPrEx>
          <w:tblLayout w:type="fixed"/>
          <w:tblCellMar>
            <w:top w:w="0" w:type="dxa"/>
            <w:left w:w="28" w:type="dxa"/>
            <w:bottom w:w="0" w:type="dxa"/>
            <w:right w:w="28" w:type="dxa"/>
          </w:tblCellMar>
        </w:tblPrEx>
        <w:tc>
          <w:tcPr>
            <w:tcW w:w="478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t>教育程度类别</w:t>
            </w:r>
          </w:p>
        </w:tc>
        <w:tc>
          <w:tcPr>
            <w:tcW w:w="478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t>数量（人）</w:t>
            </w:r>
          </w:p>
        </w:tc>
      </w:tr>
      <w:tr>
        <w:tblPrEx>
          <w:tblLayout w:type="fixed"/>
          <w:tblCellMar>
            <w:top w:w="0" w:type="dxa"/>
            <w:left w:w="28" w:type="dxa"/>
            <w:bottom w:w="0" w:type="dxa"/>
            <w:right w:w="28" w:type="dxa"/>
          </w:tblCellMar>
        </w:tblPrEx>
        <w:tc>
          <w:tcPr>
            <w:tcW w:w="47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t>硕士及以上学历</w:t>
            </w:r>
          </w:p>
        </w:tc>
        <w:tc>
          <w:tcPr>
            <w:tcW w:w="47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84</w:t>
            </w:r>
          </w:p>
        </w:tc>
      </w:tr>
      <w:tr>
        <w:tblPrEx>
          <w:tblLayout w:type="fixed"/>
          <w:tblCellMar>
            <w:top w:w="0" w:type="dxa"/>
            <w:left w:w="28" w:type="dxa"/>
            <w:bottom w:w="0" w:type="dxa"/>
            <w:right w:w="28" w:type="dxa"/>
          </w:tblCellMar>
        </w:tblPrEx>
        <w:tc>
          <w:tcPr>
            <w:tcW w:w="47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t>大学本科学历</w:t>
            </w:r>
          </w:p>
        </w:tc>
        <w:tc>
          <w:tcPr>
            <w:tcW w:w="47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233</w:t>
            </w:r>
          </w:p>
        </w:tc>
      </w:tr>
      <w:tr>
        <w:tblPrEx>
          <w:tblLayout w:type="fixed"/>
          <w:tblCellMar>
            <w:top w:w="0" w:type="dxa"/>
            <w:left w:w="28" w:type="dxa"/>
            <w:bottom w:w="0" w:type="dxa"/>
            <w:right w:w="28" w:type="dxa"/>
          </w:tblCellMar>
        </w:tblPrEx>
        <w:tc>
          <w:tcPr>
            <w:tcW w:w="47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t>大专学历</w:t>
            </w:r>
          </w:p>
        </w:tc>
        <w:tc>
          <w:tcPr>
            <w:tcW w:w="47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143</w:t>
            </w:r>
          </w:p>
        </w:tc>
      </w:tr>
      <w:tr>
        <w:tblPrEx>
          <w:tblLayout w:type="fixed"/>
          <w:tblCellMar>
            <w:top w:w="0" w:type="dxa"/>
            <w:left w:w="28" w:type="dxa"/>
            <w:bottom w:w="0" w:type="dxa"/>
            <w:right w:w="28" w:type="dxa"/>
          </w:tblCellMar>
        </w:tblPrEx>
        <w:tc>
          <w:tcPr>
            <w:tcW w:w="47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t>中专及以下</w:t>
            </w:r>
          </w:p>
        </w:tc>
        <w:tc>
          <w:tcPr>
            <w:tcW w:w="47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43</w:t>
            </w:r>
          </w:p>
        </w:tc>
      </w:tr>
      <w:tr>
        <w:tblPrEx>
          <w:tblLayout w:type="fixed"/>
          <w:tblCellMar>
            <w:top w:w="0" w:type="dxa"/>
            <w:left w:w="28" w:type="dxa"/>
            <w:bottom w:w="0" w:type="dxa"/>
            <w:right w:w="28" w:type="dxa"/>
          </w:tblCellMar>
        </w:tblPrEx>
        <w:tc>
          <w:tcPr>
            <w:tcW w:w="478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t>合计</w:t>
            </w:r>
          </w:p>
        </w:tc>
        <w:tc>
          <w:tcPr>
            <w:tcW w:w="4784" w:type="dxa"/>
            <w:tcBorders>
              <w:top w:val="single" w:color="auto" w:sz="4" w:space="0"/>
              <w:left w:val="single" w:color="auto" w:sz="4" w:space="0"/>
              <w:bottom w:val="single" w:color="auto" w:sz="4" w:space="0"/>
              <w:right w:val="single" w:color="auto" w:sz="4" w:space="0"/>
            </w:tcBorders>
            <w:vAlign w:val="center"/>
          </w:tcPr>
          <w:p>
            <w:pPr>
              <w:jc w:val="right"/>
            </w:pPr>
            <w:r>
              <w:t>503</w:t>
            </w:r>
          </w:p>
        </w:tc>
      </w:tr>
    </w:tbl>
    <w:p>
      <w:pPr>
        <w:pStyle w:val="11"/>
        <w:outlineLvl w:val="2"/>
        <w:rPr>
          <w:bCs w:val="0"/>
          <w:szCs w:val="24"/>
        </w:rPr>
      </w:pPr>
      <w:r>
        <w:rPr>
          <w:bCs w:val="0"/>
          <w:szCs w:val="24"/>
        </w:rPr>
        <w:t>2</w:t>
      </w:r>
      <w:r>
        <w:rPr>
          <w:rFonts w:hint="eastAsia"/>
          <w:bCs w:val="0"/>
          <w:szCs w:val="24"/>
        </w:rPr>
        <w:t>、薪酬政策</w:t>
      </w:r>
    </w:p>
    <w:p>
      <w:pPr>
        <w:autoSpaceDE w:val="0"/>
        <w:autoSpaceDN w:val="0"/>
        <w:adjustRightInd w:val="0"/>
        <w:spacing w:before="0" w:after="0"/>
        <w:ind w:firstLine="420"/>
        <w:jc w:val="left"/>
        <w:rPr>
          <w:rFonts w:eastAsia="Times New Roman"/>
          <w:kern w:val="0"/>
          <w:sz w:val="21"/>
          <w:szCs w:val="24"/>
          <w:lang w:val="zh-CN"/>
        </w:rPr>
      </w:pPr>
      <w:r>
        <w:rPr>
          <w:rFonts w:hint="eastAsia" w:ascii="宋体" w:hAnsi="宋体" w:cs="宋体"/>
          <w:kern w:val="0"/>
          <w:sz w:val="21"/>
          <w:szCs w:val="24"/>
          <w:lang w:val="zh-CN"/>
        </w:rPr>
        <w:t>公司根据员工贡献、能力、责任及行业薪酬水平等因素作为判定员工薪酬的依据，通过建立公平、公正的薪酬管理体系，发挥薪酬的激励作用，调动员工的工作积极性，促进员工和企业的共同发展。公司员工薪酬由固定工资、绩效工资、工龄工资、福利、奖金、员工持股激励等部分组成，其中固定工资包括基本工资、岗位工资、保密工资，而岗位工资是视员工所在岗位工资序列对应的岗位级别而定，公司岗位工资序列分为市场销售序列岗位、研发岗位序列、管理岗位序列、生产岗位序列、服务岗位序列等五个岗位序列。</w:t>
      </w:r>
    </w:p>
    <w:p>
      <w:pPr>
        <w:pStyle w:val="11"/>
        <w:outlineLvl w:val="2"/>
        <w:rPr>
          <w:bCs w:val="0"/>
          <w:szCs w:val="24"/>
        </w:rPr>
      </w:pPr>
      <w:r>
        <w:rPr>
          <w:bCs w:val="0"/>
          <w:szCs w:val="24"/>
        </w:rPr>
        <w:t>3</w:t>
      </w:r>
      <w:r>
        <w:rPr>
          <w:rFonts w:hint="eastAsia"/>
          <w:bCs w:val="0"/>
          <w:szCs w:val="24"/>
        </w:rPr>
        <w:t>、培训计划</w:t>
      </w:r>
    </w:p>
    <w:p>
      <w:pPr>
        <w:autoSpaceDE w:val="0"/>
        <w:autoSpaceDN w:val="0"/>
        <w:adjustRightInd w:val="0"/>
        <w:spacing w:before="0" w:after="0"/>
        <w:ind w:firstLine="420"/>
        <w:jc w:val="left"/>
        <w:rPr>
          <w:rFonts w:eastAsia="Times New Roman"/>
          <w:kern w:val="0"/>
          <w:sz w:val="21"/>
          <w:szCs w:val="24"/>
          <w:lang w:val="zh-CN"/>
        </w:rPr>
      </w:pPr>
      <w:r>
        <w:rPr>
          <w:rFonts w:hint="eastAsia" w:ascii="宋体" w:hAnsi="宋体" w:cs="宋体"/>
          <w:kern w:val="0"/>
          <w:sz w:val="21"/>
          <w:szCs w:val="24"/>
          <w:lang w:val="zh-CN"/>
        </w:rPr>
        <w:t>公司建立了完善的培训体系，每年会制定完整的培训计划，培训类型分为新员工培训、业务培训、后备人才培训、中高层人员培训、专项培训等；培训方式为内外部培训相结合，为此公司建立了内部培训导师机制及外部学习交流的渠道。此外，为进一步拓展培训的有效性，公司建立了</w:t>
      </w:r>
      <w:r>
        <w:rPr>
          <w:rFonts w:eastAsia="Times New Roman"/>
          <w:kern w:val="0"/>
          <w:sz w:val="21"/>
          <w:szCs w:val="24"/>
          <w:lang w:val="zh-CN"/>
        </w:rPr>
        <w:t>“</w:t>
      </w:r>
      <w:r>
        <w:rPr>
          <w:rFonts w:hint="eastAsia" w:ascii="宋体" w:hAnsi="宋体" w:cs="宋体"/>
          <w:kern w:val="0"/>
          <w:sz w:val="21"/>
          <w:szCs w:val="24"/>
          <w:lang w:val="zh-CN"/>
        </w:rPr>
        <w:t>项目化</w:t>
      </w:r>
      <w:r>
        <w:rPr>
          <w:rFonts w:eastAsia="Times New Roman"/>
          <w:kern w:val="0"/>
          <w:sz w:val="21"/>
          <w:szCs w:val="24"/>
          <w:lang w:val="zh-CN"/>
        </w:rPr>
        <w:t>”</w:t>
      </w:r>
      <w:r>
        <w:rPr>
          <w:rFonts w:hint="eastAsia" w:ascii="宋体" w:hAnsi="宋体" w:cs="宋体"/>
          <w:kern w:val="0"/>
          <w:sz w:val="21"/>
          <w:szCs w:val="24"/>
          <w:lang w:val="zh-CN"/>
        </w:rPr>
        <w:t>工作机制，将项目分级，使每位员工都有做项目经理的机会和参与项目的机会，通过项目的运行最大程度地使员工在实践中学习、成长。</w:t>
      </w:r>
    </w:p>
    <w:p>
      <w:pPr>
        <w:pStyle w:val="11"/>
        <w:outlineLvl w:val="2"/>
        <w:rPr>
          <w:bCs w:val="0"/>
          <w:szCs w:val="24"/>
        </w:rPr>
      </w:pPr>
      <w:r>
        <w:rPr>
          <w:bCs w:val="0"/>
          <w:szCs w:val="24"/>
        </w:rPr>
        <w:t>4</w:t>
      </w:r>
      <w:r>
        <w:rPr>
          <w:rFonts w:hint="eastAsia"/>
          <w:bCs w:val="0"/>
          <w:szCs w:val="24"/>
        </w:rPr>
        <w:t>、劳务外包情况</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jc w:val="left"/>
        <w:rPr>
          <w:szCs w:val="24"/>
        </w:rPr>
        <w:sectPr>
          <w:pgSz w:w="11906" w:h="16838"/>
          <w:pgMar w:top="1440" w:right="1134" w:bottom="1440" w:left="1134" w:header="851" w:footer="992" w:gutter="0"/>
          <w:cols w:space="425" w:num="1"/>
          <w:docGrid w:type="lines" w:linePitch="312" w:charSpace="0"/>
        </w:sectPr>
      </w:pPr>
    </w:p>
    <w:p>
      <w:pPr>
        <w:pStyle w:val="5"/>
        <w:outlineLvl w:val="0"/>
        <w:rPr>
          <w:bCs w:val="0"/>
          <w:szCs w:val="24"/>
        </w:rPr>
      </w:pPr>
      <w:bookmarkStart w:id="8" w:name="_Toc300000092"/>
      <w:r>
        <w:rPr>
          <w:rFonts w:hint="eastAsia"/>
          <w:bCs w:val="0"/>
          <w:szCs w:val="24"/>
        </w:rPr>
        <w:t>第九节</w:t>
      </w:r>
      <w:r>
        <w:rPr>
          <w:bCs w:val="0"/>
          <w:szCs w:val="24"/>
        </w:rPr>
        <w:t xml:space="preserve"> </w:t>
      </w:r>
      <w:r>
        <w:rPr>
          <w:rFonts w:hint="eastAsia"/>
          <w:bCs w:val="0"/>
          <w:szCs w:val="24"/>
        </w:rPr>
        <w:t>公司治理</w:t>
      </w:r>
      <w:bookmarkEnd w:id="8"/>
    </w:p>
    <w:p>
      <w:pPr>
        <w:pStyle w:val="10"/>
        <w:outlineLvl w:val="1"/>
        <w:rPr>
          <w:bCs w:val="0"/>
        </w:rPr>
      </w:pPr>
      <w:r>
        <w:rPr>
          <w:rFonts w:hint="eastAsia"/>
          <w:bCs w:val="0"/>
        </w:rPr>
        <w:t>一、公司治理的基本状况</w:t>
      </w:r>
    </w:p>
    <w:p>
      <w:pPr>
        <w:autoSpaceDE w:val="0"/>
        <w:autoSpaceDN w:val="0"/>
        <w:adjustRightInd w:val="0"/>
        <w:spacing w:before="0" w:after="0"/>
        <w:ind w:firstLine="420"/>
        <w:jc w:val="left"/>
        <w:rPr>
          <w:rFonts w:eastAsia="Times New Roman"/>
          <w:kern w:val="0"/>
          <w:sz w:val="21"/>
          <w:szCs w:val="24"/>
          <w:lang w:val="zh-CN"/>
        </w:rPr>
      </w:pPr>
      <w:r>
        <w:rPr>
          <w:rFonts w:hint="eastAsia" w:ascii="宋体" w:hAnsi="宋体" w:cs="宋体"/>
          <w:kern w:val="0"/>
          <w:sz w:val="21"/>
          <w:szCs w:val="24"/>
          <w:lang w:val="zh-CN"/>
        </w:rPr>
        <w:t>报告期内，公司积极推进规范化治理，严格按照《公司法》、《证券法》、《上市公司治理准则》、《深圳证券交易所创业板股票上市规则》、《深圳证券交易所创业板上市公司规范运作指引》等法律、法规和中国证监会有关法律法规等的要求，结合公司具体情况不断完善公司的法人治理结构，建立健全各项内部管理和控制制度，发挥了董事会各专门委员会的职能和作用，持续深入开展公司治理活动，进一步规范公司运作，提高公司治理水平，截至报告期末，公司治理的实际状况符合中国证监会和深圳证券交易所发布的有关上市公司治理的规范性文件的要求。</w:t>
      </w:r>
    </w:p>
    <w:p>
      <w:pPr>
        <w:autoSpaceDE w:val="0"/>
        <w:autoSpaceDN w:val="0"/>
        <w:adjustRightInd w:val="0"/>
        <w:spacing w:before="0" w:after="0"/>
        <w:ind w:firstLine="422"/>
        <w:jc w:val="left"/>
        <w:rPr>
          <w:rFonts w:eastAsia="Times New Roman"/>
          <w:b/>
          <w:kern w:val="0"/>
          <w:sz w:val="21"/>
          <w:szCs w:val="24"/>
          <w:lang w:val="zh-CN"/>
        </w:rPr>
      </w:pPr>
      <w:r>
        <w:rPr>
          <w:rFonts w:hint="eastAsia" w:ascii="宋体" w:hAnsi="宋体" w:cs="宋体"/>
          <w:b/>
          <w:kern w:val="0"/>
          <w:sz w:val="21"/>
          <w:szCs w:val="24"/>
          <w:lang w:val="zh-CN"/>
        </w:rPr>
        <w:t>（一）关于股东与股东大会</w:t>
      </w:r>
    </w:p>
    <w:p>
      <w:pPr>
        <w:autoSpaceDE w:val="0"/>
        <w:autoSpaceDN w:val="0"/>
        <w:adjustRightInd w:val="0"/>
        <w:spacing w:before="0" w:after="0"/>
        <w:ind w:firstLine="420"/>
        <w:jc w:val="left"/>
        <w:rPr>
          <w:rFonts w:eastAsia="Times New Roman"/>
          <w:kern w:val="0"/>
          <w:sz w:val="21"/>
          <w:szCs w:val="24"/>
          <w:lang w:val="zh-CN"/>
        </w:rPr>
      </w:pPr>
      <w:r>
        <w:rPr>
          <w:rFonts w:hint="eastAsia" w:ascii="宋体" w:hAnsi="宋体" w:cs="宋体"/>
          <w:kern w:val="0"/>
          <w:sz w:val="21"/>
          <w:szCs w:val="24"/>
          <w:lang w:val="zh-CN"/>
        </w:rPr>
        <w:t>公司严格按照《公司法》、《上市公司股东大会规则》、《公司章程》、《股东大会议事规则》等规定和要求，规范股东大会召集、召开、表决程序，平等对待所有股东，通过多种方式为股东参加股东大会提供便利，使其充分行使股东权利；并通过聘请律师出席见证保证了会议的召集、召开和表决程序的合法性。</w:t>
      </w:r>
    </w:p>
    <w:p>
      <w:pPr>
        <w:autoSpaceDE w:val="0"/>
        <w:autoSpaceDN w:val="0"/>
        <w:adjustRightInd w:val="0"/>
        <w:spacing w:before="0" w:after="0"/>
        <w:ind w:firstLine="422"/>
        <w:jc w:val="left"/>
        <w:rPr>
          <w:rFonts w:eastAsia="Times New Roman"/>
          <w:b/>
          <w:kern w:val="0"/>
          <w:sz w:val="21"/>
          <w:szCs w:val="24"/>
          <w:lang w:val="zh-CN"/>
        </w:rPr>
      </w:pPr>
      <w:r>
        <w:rPr>
          <w:rFonts w:hint="eastAsia" w:ascii="宋体" w:hAnsi="宋体" w:cs="宋体"/>
          <w:b/>
          <w:kern w:val="0"/>
          <w:sz w:val="21"/>
          <w:szCs w:val="24"/>
          <w:lang w:val="zh-CN"/>
        </w:rPr>
        <w:t>（二）关于董事和董事会</w:t>
      </w:r>
    </w:p>
    <w:p>
      <w:pPr>
        <w:autoSpaceDE w:val="0"/>
        <w:autoSpaceDN w:val="0"/>
        <w:adjustRightInd w:val="0"/>
        <w:spacing w:before="0" w:after="0"/>
        <w:ind w:firstLine="420"/>
        <w:jc w:val="left"/>
        <w:rPr>
          <w:rFonts w:eastAsia="Times New Roman"/>
          <w:kern w:val="0"/>
          <w:sz w:val="21"/>
          <w:szCs w:val="24"/>
          <w:lang w:val="zh-CN"/>
        </w:rPr>
      </w:pPr>
      <w:r>
        <w:rPr>
          <w:rFonts w:hint="eastAsia" w:ascii="宋体" w:hAnsi="宋体" w:cs="宋体"/>
          <w:kern w:val="0"/>
          <w:sz w:val="21"/>
          <w:szCs w:val="24"/>
          <w:lang w:val="zh-CN"/>
        </w:rPr>
        <w:t>经公司第二届董事会第二十九次会议提名，</w:t>
      </w:r>
      <w:r>
        <w:rPr>
          <w:rFonts w:eastAsia="Times New Roman"/>
          <w:kern w:val="0"/>
          <w:sz w:val="21"/>
          <w:szCs w:val="24"/>
          <w:lang w:val="zh-CN"/>
        </w:rPr>
        <w:t>2014</w:t>
      </w:r>
      <w:r>
        <w:rPr>
          <w:rFonts w:hint="eastAsia" w:ascii="宋体" w:hAnsi="宋体" w:cs="宋体"/>
          <w:kern w:val="0"/>
          <w:sz w:val="21"/>
          <w:szCs w:val="24"/>
          <w:lang w:val="zh-CN"/>
        </w:rPr>
        <w:t>年第一次临时股东大会选举产生了公司第三届董事会，公司第三届董事会设董事</w:t>
      </w:r>
      <w:r>
        <w:rPr>
          <w:rFonts w:eastAsia="Times New Roman"/>
          <w:kern w:val="0"/>
          <w:sz w:val="21"/>
          <w:szCs w:val="24"/>
          <w:lang w:val="zh-CN"/>
        </w:rPr>
        <w:t>5</w:t>
      </w:r>
      <w:r>
        <w:rPr>
          <w:rFonts w:hint="eastAsia" w:ascii="宋体" w:hAnsi="宋体" w:cs="宋体"/>
          <w:kern w:val="0"/>
          <w:sz w:val="21"/>
          <w:szCs w:val="24"/>
          <w:lang w:val="zh-CN"/>
        </w:rPr>
        <w:t>名，其中独立董事</w:t>
      </w:r>
      <w:r>
        <w:rPr>
          <w:rFonts w:eastAsia="Times New Roman"/>
          <w:kern w:val="0"/>
          <w:sz w:val="21"/>
          <w:szCs w:val="24"/>
          <w:lang w:val="zh-CN"/>
        </w:rPr>
        <w:t>2</w:t>
      </w:r>
      <w:r>
        <w:rPr>
          <w:rFonts w:hint="eastAsia" w:ascii="宋体" w:hAnsi="宋体" w:cs="宋体"/>
          <w:kern w:val="0"/>
          <w:sz w:val="21"/>
          <w:szCs w:val="24"/>
          <w:lang w:val="zh-CN"/>
        </w:rPr>
        <w:t>名，董事会的人数及人员构成符合法律、法规和《公司章程》的要求。报告期内，各位董事能够依据《董事会议事规则》、《独立董事制度》、《深圳证券交易所创业板上市公司规范运作指引》等开展工作，并通过参加相关培训和努力自学，熟悉并掌握相关法律法规，能够依据相关法律、法规开展工作，忠实诚信，勤勉尽责；独立董事严格遵守相关法律、法规独立履行职责，出席董事会和股东大会，对公司重大投资、对外担保、募集资金使用等事项发表独立意见，提高了公司科学决策和规范运作水平，切实保护了公司和股东的利益。董事会下设战略、审计、薪酬与考核、提名等专业委员会，各专业委员会根据各自职责对本公司发展提出相关的专业意见和建议。</w:t>
      </w:r>
    </w:p>
    <w:p>
      <w:pPr>
        <w:autoSpaceDE w:val="0"/>
        <w:autoSpaceDN w:val="0"/>
        <w:adjustRightInd w:val="0"/>
        <w:spacing w:before="0" w:after="0"/>
        <w:ind w:firstLine="422"/>
        <w:jc w:val="left"/>
        <w:rPr>
          <w:rFonts w:eastAsia="Times New Roman"/>
          <w:b/>
          <w:kern w:val="0"/>
          <w:sz w:val="21"/>
          <w:szCs w:val="24"/>
          <w:lang w:val="zh-CN"/>
        </w:rPr>
      </w:pPr>
      <w:r>
        <w:rPr>
          <w:rFonts w:hint="eastAsia" w:ascii="宋体" w:hAnsi="宋体" w:cs="宋体"/>
          <w:b/>
          <w:kern w:val="0"/>
          <w:sz w:val="21"/>
          <w:szCs w:val="24"/>
          <w:lang w:val="zh-CN"/>
        </w:rPr>
        <w:t>（三）关于监事和监事会</w:t>
      </w:r>
    </w:p>
    <w:p>
      <w:pPr>
        <w:autoSpaceDE w:val="0"/>
        <w:autoSpaceDN w:val="0"/>
        <w:adjustRightInd w:val="0"/>
        <w:spacing w:before="0" w:after="0"/>
        <w:ind w:firstLine="420"/>
        <w:jc w:val="left"/>
        <w:rPr>
          <w:rFonts w:eastAsia="Times New Roman"/>
          <w:kern w:val="0"/>
          <w:sz w:val="21"/>
          <w:szCs w:val="24"/>
          <w:lang w:val="zh-CN"/>
        </w:rPr>
      </w:pPr>
      <w:r>
        <w:rPr>
          <w:rFonts w:hint="eastAsia" w:ascii="宋体" w:hAnsi="宋体" w:cs="宋体"/>
          <w:kern w:val="0"/>
          <w:sz w:val="21"/>
          <w:szCs w:val="24"/>
          <w:lang w:val="zh-CN"/>
        </w:rPr>
        <w:t>经公司第二届监事会第十七次会议提名，</w:t>
      </w:r>
      <w:r>
        <w:rPr>
          <w:rFonts w:eastAsia="Times New Roman"/>
          <w:kern w:val="0"/>
          <w:sz w:val="21"/>
          <w:szCs w:val="24"/>
          <w:lang w:val="zh-CN"/>
        </w:rPr>
        <w:t>2014</w:t>
      </w:r>
      <w:r>
        <w:rPr>
          <w:rFonts w:hint="eastAsia" w:ascii="宋体" w:hAnsi="宋体" w:cs="宋体"/>
          <w:kern w:val="0"/>
          <w:sz w:val="21"/>
          <w:szCs w:val="24"/>
          <w:lang w:val="zh-CN"/>
        </w:rPr>
        <w:t>年第一次临时股东大会选举产生了两名监事，与职工代表监事组成了第三届监事会，公司第三届监事会设监事</w:t>
      </w:r>
      <w:r>
        <w:rPr>
          <w:rFonts w:eastAsia="Times New Roman"/>
          <w:kern w:val="0"/>
          <w:sz w:val="21"/>
          <w:szCs w:val="24"/>
          <w:lang w:val="zh-CN"/>
        </w:rPr>
        <w:t>3</w:t>
      </w:r>
      <w:r>
        <w:rPr>
          <w:rFonts w:hint="eastAsia" w:ascii="宋体" w:hAnsi="宋体" w:cs="宋体"/>
          <w:kern w:val="0"/>
          <w:sz w:val="21"/>
          <w:szCs w:val="24"/>
          <w:lang w:val="zh-CN"/>
        </w:rPr>
        <w:t>名，其中职工监事</w:t>
      </w:r>
      <w:r>
        <w:rPr>
          <w:rFonts w:eastAsia="Times New Roman"/>
          <w:kern w:val="0"/>
          <w:sz w:val="21"/>
          <w:szCs w:val="24"/>
          <w:lang w:val="zh-CN"/>
        </w:rPr>
        <w:t>1</w:t>
      </w:r>
      <w:r>
        <w:rPr>
          <w:rFonts w:hint="eastAsia" w:ascii="宋体" w:hAnsi="宋体" w:cs="宋体"/>
          <w:kern w:val="0"/>
          <w:sz w:val="21"/>
          <w:szCs w:val="24"/>
          <w:lang w:val="zh-CN"/>
        </w:rPr>
        <w:t>名，监事的推荐、选举和产生程序符合相关法律、法规的要求，监事会的人数和构成符合法律、法规的要求。各位监事能够按照《公司法》、公司《章程》、《监事会议事规则》的要求，认真履行自己的职责，本着对公司和全体股东负责的精神，积极有效地开展工作，对公司的重大事项、关联交易、财务状况以及董事、高管人员履行职责的合法合规性进行监督。</w:t>
      </w:r>
    </w:p>
    <w:p>
      <w:pPr>
        <w:autoSpaceDE w:val="0"/>
        <w:autoSpaceDN w:val="0"/>
        <w:adjustRightInd w:val="0"/>
        <w:spacing w:before="0" w:after="0"/>
        <w:ind w:firstLine="422"/>
        <w:jc w:val="left"/>
        <w:rPr>
          <w:rFonts w:eastAsia="Times New Roman"/>
          <w:b/>
          <w:kern w:val="0"/>
          <w:sz w:val="21"/>
          <w:szCs w:val="24"/>
          <w:lang w:val="zh-CN"/>
        </w:rPr>
      </w:pPr>
      <w:r>
        <w:rPr>
          <w:rFonts w:hint="eastAsia" w:ascii="宋体" w:hAnsi="宋体" w:cs="宋体"/>
          <w:b/>
          <w:kern w:val="0"/>
          <w:sz w:val="21"/>
          <w:szCs w:val="24"/>
          <w:lang w:val="zh-CN"/>
        </w:rPr>
        <w:t>（四）关于绩效评价与激励约束机制</w:t>
      </w:r>
    </w:p>
    <w:p>
      <w:pPr>
        <w:autoSpaceDE w:val="0"/>
        <w:autoSpaceDN w:val="0"/>
        <w:adjustRightInd w:val="0"/>
        <w:spacing w:before="0" w:after="0"/>
        <w:ind w:firstLine="420"/>
        <w:jc w:val="left"/>
        <w:rPr>
          <w:rFonts w:eastAsia="Times New Roman"/>
          <w:kern w:val="0"/>
          <w:sz w:val="21"/>
          <w:szCs w:val="24"/>
          <w:lang w:val="zh-CN"/>
        </w:rPr>
      </w:pPr>
      <w:r>
        <w:rPr>
          <w:rFonts w:hint="eastAsia" w:ascii="宋体" w:hAnsi="宋体" w:cs="宋体"/>
          <w:kern w:val="0"/>
          <w:sz w:val="21"/>
          <w:szCs w:val="24"/>
          <w:lang w:val="zh-CN"/>
        </w:rPr>
        <w:t>公司强调</w:t>
      </w:r>
      <w:r>
        <w:rPr>
          <w:rFonts w:eastAsia="Times New Roman"/>
          <w:kern w:val="0"/>
          <w:sz w:val="21"/>
          <w:szCs w:val="24"/>
          <w:lang w:val="zh-CN"/>
        </w:rPr>
        <w:t>“</w:t>
      </w:r>
      <w:r>
        <w:rPr>
          <w:rFonts w:hint="eastAsia" w:ascii="宋体" w:hAnsi="宋体" w:cs="宋体"/>
          <w:kern w:val="0"/>
          <w:sz w:val="21"/>
          <w:szCs w:val="24"/>
          <w:lang w:val="zh-CN"/>
        </w:rPr>
        <w:t>重业绩、践承诺</w:t>
      </w:r>
      <w:r>
        <w:rPr>
          <w:rFonts w:eastAsia="Times New Roman"/>
          <w:kern w:val="0"/>
          <w:sz w:val="21"/>
          <w:szCs w:val="24"/>
          <w:lang w:val="zh-CN"/>
        </w:rPr>
        <w:t>”</w:t>
      </w:r>
      <w:r>
        <w:rPr>
          <w:rFonts w:hint="eastAsia" w:ascii="宋体" w:hAnsi="宋体" w:cs="宋体"/>
          <w:kern w:val="0"/>
          <w:sz w:val="21"/>
          <w:szCs w:val="24"/>
          <w:lang w:val="zh-CN"/>
        </w:rPr>
        <w:t>的绩效文化，已建立公正、有效的企业绩效评价激励体系并在不断完善。公司要求对经营目标做好过程复盘检视，通过过程管理发挥绩效目标的引导作用，促进工作目标的完成；董事会薪酬和考核委员会负责对公司的董事、高管人员进行绩效考核并与薪酬挂钩；公司现有的考核及激励约束机制符合公司的发展现状。</w:t>
      </w:r>
    </w:p>
    <w:p>
      <w:pPr>
        <w:autoSpaceDE w:val="0"/>
        <w:autoSpaceDN w:val="0"/>
        <w:adjustRightInd w:val="0"/>
        <w:spacing w:before="0" w:after="0"/>
        <w:ind w:firstLine="422"/>
        <w:jc w:val="left"/>
        <w:rPr>
          <w:rFonts w:eastAsia="Times New Roman"/>
          <w:b/>
          <w:kern w:val="0"/>
          <w:sz w:val="21"/>
          <w:szCs w:val="24"/>
          <w:lang w:val="zh-CN"/>
        </w:rPr>
      </w:pPr>
      <w:r>
        <w:rPr>
          <w:rFonts w:hint="eastAsia" w:ascii="宋体" w:hAnsi="宋体" w:cs="宋体"/>
          <w:b/>
          <w:kern w:val="0"/>
          <w:sz w:val="21"/>
          <w:szCs w:val="24"/>
          <w:lang w:val="zh-CN"/>
        </w:rPr>
        <w:t>（五）关于信息披露与透明度</w:t>
      </w:r>
    </w:p>
    <w:p>
      <w:pPr>
        <w:autoSpaceDE w:val="0"/>
        <w:autoSpaceDN w:val="0"/>
        <w:adjustRightInd w:val="0"/>
        <w:spacing w:before="0" w:after="0"/>
        <w:ind w:firstLine="420"/>
        <w:jc w:val="left"/>
        <w:rPr>
          <w:rFonts w:eastAsia="Times New Roman"/>
          <w:kern w:val="0"/>
          <w:sz w:val="21"/>
          <w:szCs w:val="24"/>
          <w:lang w:val="zh-CN"/>
        </w:rPr>
      </w:pPr>
      <w:r>
        <w:rPr>
          <w:rFonts w:hint="eastAsia" w:ascii="宋体" w:hAnsi="宋体" w:cs="宋体"/>
          <w:kern w:val="0"/>
          <w:sz w:val="21"/>
          <w:szCs w:val="24"/>
          <w:lang w:val="zh-CN"/>
        </w:rPr>
        <w:t>公司严格按照有关法律、法规以及《信息披露管理办法》等的要求，真实、准确、及时、公平、完整地披露有关信息；报告期内，公司修订了《内幕信息知情人登记制度》和《投资者关系管理制度》，使信息披露工作更符合要求、信息更透明。公司指定董事会秘书负责信息披露工作，协调公司与投资者的关系，接待股东来访，回答投资者咨询；并指定《证券时报》和巨潮网（</w:t>
      </w:r>
      <w:r>
        <w:rPr>
          <w:rFonts w:eastAsia="Times New Roman"/>
          <w:kern w:val="0"/>
          <w:sz w:val="21"/>
          <w:szCs w:val="24"/>
          <w:lang w:val="zh-CN"/>
        </w:rPr>
        <w:t>www.cninfo.com.cn</w:t>
      </w:r>
      <w:r>
        <w:rPr>
          <w:rFonts w:hint="eastAsia" w:ascii="宋体" w:hAnsi="宋体" w:cs="宋体"/>
          <w:kern w:val="0"/>
          <w:sz w:val="21"/>
          <w:szCs w:val="24"/>
          <w:lang w:val="zh-CN"/>
        </w:rPr>
        <w:t>）为公司信息披露的报纸和网站，确保公司所有股东能够以平等的机会获得信息。</w:t>
      </w:r>
    </w:p>
    <w:p>
      <w:pPr>
        <w:autoSpaceDE w:val="0"/>
        <w:autoSpaceDN w:val="0"/>
        <w:adjustRightInd w:val="0"/>
        <w:spacing w:before="0" w:after="0"/>
        <w:ind w:firstLine="422"/>
        <w:jc w:val="left"/>
        <w:rPr>
          <w:rFonts w:eastAsia="Times New Roman"/>
          <w:b/>
          <w:kern w:val="0"/>
          <w:sz w:val="21"/>
          <w:szCs w:val="24"/>
          <w:lang w:val="zh-CN"/>
        </w:rPr>
      </w:pPr>
      <w:r>
        <w:rPr>
          <w:rFonts w:hint="eastAsia" w:ascii="宋体" w:hAnsi="宋体" w:cs="宋体"/>
          <w:b/>
          <w:kern w:val="0"/>
          <w:sz w:val="21"/>
          <w:szCs w:val="24"/>
          <w:lang w:val="zh-CN"/>
        </w:rPr>
        <w:t>（六）关于相关利益者</w:t>
      </w:r>
    </w:p>
    <w:p>
      <w:pPr>
        <w:autoSpaceDE w:val="0"/>
        <w:autoSpaceDN w:val="0"/>
        <w:adjustRightInd w:val="0"/>
        <w:spacing w:before="0" w:after="0"/>
        <w:ind w:firstLine="420"/>
        <w:jc w:val="left"/>
        <w:rPr>
          <w:rFonts w:eastAsia="Times New Roman"/>
          <w:kern w:val="0"/>
          <w:sz w:val="21"/>
          <w:szCs w:val="24"/>
          <w:lang w:val="zh-CN"/>
        </w:rPr>
      </w:pPr>
      <w:r>
        <w:rPr>
          <w:rFonts w:hint="eastAsia" w:ascii="宋体" w:hAnsi="宋体" w:cs="宋体"/>
          <w:kern w:val="0"/>
          <w:sz w:val="21"/>
          <w:szCs w:val="24"/>
          <w:lang w:val="zh-CN"/>
        </w:rPr>
        <w:t>公司充分尊重和维护相关利益者的合法权益，诚信对待客户与供应商，坚持互利互信共赢原则，实现股东、员工、社会等各方利益的协调平衡，共同推动公司持续、健康的发展。</w:t>
      </w:r>
    </w:p>
    <w:p>
      <w:pPr>
        <w:autoSpaceDE w:val="0"/>
        <w:autoSpaceDN w:val="0"/>
        <w:adjustRightInd w:val="0"/>
        <w:spacing w:before="0" w:after="0"/>
        <w:ind w:firstLine="422"/>
        <w:jc w:val="left"/>
        <w:rPr>
          <w:rFonts w:eastAsia="Times New Roman"/>
          <w:b/>
          <w:kern w:val="0"/>
          <w:sz w:val="21"/>
          <w:szCs w:val="24"/>
          <w:lang w:val="zh-CN"/>
        </w:rPr>
      </w:pPr>
      <w:r>
        <w:rPr>
          <w:rFonts w:hint="eastAsia" w:ascii="宋体" w:hAnsi="宋体" w:cs="宋体"/>
          <w:b/>
          <w:kern w:val="0"/>
          <w:sz w:val="21"/>
          <w:szCs w:val="24"/>
          <w:lang w:val="zh-CN"/>
        </w:rPr>
        <w:t>（七）内部审计制度的建立和执行情况</w:t>
      </w:r>
    </w:p>
    <w:p>
      <w:pPr>
        <w:autoSpaceDE w:val="0"/>
        <w:autoSpaceDN w:val="0"/>
        <w:adjustRightInd w:val="0"/>
        <w:spacing w:before="0" w:after="0"/>
        <w:ind w:firstLine="420"/>
        <w:jc w:val="left"/>
        <w:rPr>
          <w:rFonts w:eastAsia="Times New Roman"/>
          <w:kern w:val="0"/>
          <w:sz w:val="21"/>
          <w:szCs w:val="24"/>
          <w:lang w:val="zh-CN"/>
        </w:rPr>
      </w:pPr>
      <w:r>
        <w:rPr>
          <w:rFonts w:hint="eastAsia" w:ascii="宋体" w:hAnsi="宋体" w:cs="宋体"/>
          <w:kern w:val="0"/>
          <w:sz w:val="21"/>
          <w:szCs w:val="24"/>
          <w:lang w:val="zh-CN"/>
        </w:rPr>
        <w:t>公司董事会下设审计委员会，主要负责公司内部、外部审计的沟通、监督、会议组织和核查工作。审计委员会下设审计部为日常办事机构，报告期内，审计部积极运作，按照上市公司的要求公司内部控制制度的建立和实施、公司财务信息的真实性和完整性等情况进行检查监督并发表意见，针对应收账款、知识产权、人员变动、核心业务等方面组织了专项审计。</w:t>
      </w:r>
    </w:p>
    <w:p>
      <w:pPr>
        <w:jc w:val="left"/>
        <w:rPr>
          <w:szCs w:val="24"/>
        </w:rPr>
      </w:pPr>
      <w:r>
        <w:rPr>
          <w:rFonts w:hint="eastAsia"/>
          <w:szCs w:val="24"/>
        </w:rPr>
        <w:t>公司治理的实际状况与中国证监会发布的有关上市公司治理的规范性文件是否存在重大差异</w:t>
      </w:r>
    </w:p>
    <w:p>
      <w:pPr>
        <w:jc w:val="left"/>
        <w:rPr>
          <w:szCs w:val="24"/>
        </w:rPr>
      </w:pPr>
      <w:r>
        <w:rPr>
          <w:szCs w:val="24"/>
        </w:rPr>
        <w:t xml:space="preserve">□ </w:t>
      </w:r>
      <w:r>
        <w:rPr>
          <w:rFonts w:hint="eastAsia"/>
          <w:szCs w:val="24"/>
        </w:rPr>
        <w:t>是</w:t>
      </w:r>
      <w:r>
        <w:rPr>
          <w:szCs w:val="24"/>
        </w:rPr>
        <w:t xml:space="preserve"> √ </w:t>
      </w:r>
      <w:r>
        <w:rPr>
          <w:rFonts w:hint="eastAsia"/>
          <w:szCs w:val="24"/>
        </w:rPr>
        <w:t>否</w:t>
      </w:r>
      <w:r>
        <w:rPr>
          <w:szCs w:val="24"/>
        </w:rPr>
        <w:t xml:space="preserve"> </w:t>
      </w:r>
    </w:p>
    <w:p>
      <w:pPr>
        <w:jc w:val="left"/>
        <w:rPr>
          <w:szCs w:val="24"/>
        </w:rPr>
      </w:pPr>
      <w:r>
        <w:rPr>
          <w:rFonts w:hint="eastAsia"/>
          <w:szCs w:val="24"/>
        </w:rPr>
        <w:t>公司治理的实际状况与中国证监会发布的有关上市公司治理的规范性文件不存在重大差异。</w:t>
      </w:r>
    </w:p>
    <w:p>
      <w:pPr>
        <w:pStyle w:val="10"/>
        <w:outlineLvl w:val="1"/>
        <w:rPr>
          <w:bCs w:val="0"/>
        </w:rPr>
      </w:pPr>
      <w:r>
        <w:rPr>
          <w:rFonts w:hint="eastAsia"/>
          <w:bCs w:val="0"/>
        </w:rPr>
        <w:t>二、公司相对于控股股东在业务、人员、资产、机构、财务等方面的独立情况</w:t>
      </w:r>
    </w:p>
    <w:p>
      <w:pPr>
        <w:autoSpaceDE w:val="0"/>
        <w:autoSpaceDN w:val="0"/>
        <w:adjustRightInd w:val="0"/>
        <w:spacing w:before="0" w:after="0"/>
        <w:ind w:firstLine="420"/>
        <w:jc w:val="left"/>
        <w:rPr>
          <w:rFonts w:eastAsia="Times New Roman"/>
          <w:kern w:val="0"/>
          <w:sz w:val="21"/>
          <w:szCs w:val="24"/>
          <w:lang w:val="zh-CN"/>
        </w:rPr>
      </w:pPr>
      <w:r>
        <w:rPr>
          <w:rFonts w:hint="eastAsia" w:ascii="宋体" w:hAnsi="宋体" w:cs="宋体"/>
          <w:kern w:val="0"/>
          <w:sz w:val="21"/>
          <w:szCs w:val="24"/>
          <w:lang w:val="zh-CN"/>
        </w:rPr>
        <w:t>公司严格按照《公司法》、《证券法》、《公司章程》及证券监管部门的有关规定正确处理与控股股东的关系。公司控股股东根据法律法规的要求，严格规范自己的行为，依法行使其权利并承担相应义务，没有超越股东大会直接或间接地干预公司的决策和经营活动。公司拥有独立完整的业务和自主经营能力，在业务、人员、资产、机构、财务上独立于控股股东，公司董事会、监事会和内部机构独立运作。报告期内，公司没有为控股股东及关联企业提供担保，亦不存在控股股东占用上市公司资金的行为。</w:t>
      </w:r>
    </w:p>
    <w:p>
      <w:pPr>
        <w:pStyle w:val="10"/>
        <w:outlineLvl w:val="1"/>
        <w:rPr>
          <w:bCs w:val="0"/>
        </w:rPr>
      </w:pPr>
      <w:r>
        <w:rPr>
          <w:rFonts w:hint="eastAsia"/>
          <w:bCs w:val="0"/>
        </w:rPr>
        <w:t>三、同业竞争情况</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pStyle w:val="10"/>
        <w:outlineLvl w:val="1"/>
        <w:rPr>
          <w:bCs w:val="0"/>
        </w:rPr>
      </w:pPr>
      <w:r>
        <w:rPr>
          <w:rFonts w:hint="eastAsia"/>
          <w:bCs w:val="0"/>
        </w:rPr>
        <w:t>四、报告期内召开的年度股东大会和临时股东大会的有关情况</w:t>
      </w:r>
    </w:p>
    <w:p>
      <w:pPr>
        <w:pStyle w:val="11"/>
        <w:outlineLvl w:val="2"/>
        <w:rPr>
          <w:bCs w:val="0"/>
          <w:szCs w:val="24"/>
        </w:rPr>
      </w:pPr>
      <w:r>
        <w:rPr>
          <w:bCs w:val="0"/>
          <w:szCs w:val="24"/>
        </w:rPr>
        <w:t>1</w:t>
      </w:r>
      <w:r>
        <w:rPr>
          <w:rFonts w:hint="eastAsia"/>
          <w:bCs w:val="0"/>
          <w:szCs w:val="24"/>
        </w:rPr>
        <w:t>、本报告期股东大会情况</w:t>
      </w:r>
    </w:p>
    <w:tbl>
      <w:tblPr>
        <w:tblStyle w:val="8"/>
        <w:tblW w:w="9566" w:type="dxa"/>
        <w:tblInd w:w="28" w:type="dxa"/>
        <w:tblLayout w:type="fixed"/>
        <w:tblCellMar>
          <w:top w:w="0" w:type="dxa"/>
          <w:left w:w="28" w:type="dxa"/>
          <w:bottom w:w="0" w:type="dxa"/>
          <w:right w:w="28" w:type="dxa"/>
        </w:tblCellMar>
      </w:tblPr>
      <w:tblGrid>
        <w:gridCol w:w="1596"/>
        <w:gridCol w:w="1594"/>
        <w:gridCol w:w="1594"/>
        <w:gridCol w:w="1594"/>
        <w:gridCol w:w="1594"/>
        <w:gridCol w:w="1594"/>
      </w:tblGrid>
      <w:tr>
        <w:tblPrEx>
          <w:tblLayout w:type="fixed"/>
          <w:tblCellMar>
            <w:top w:w="0" w:type="dxa"/>
            <w:left w:w="28" w:type="dxa"/>
            <w:bottom w:w="0" w:type="dxa"/>
            <w:right w:w="28" w:type="dxa"/>
          </w:tblCellMar>
        </w:tblPrEx>
        <w:tc>
          <w:tcPr>
            <w:tcW w:w="159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会议届次</w:t>
            </w:r>
          </w:p>
        </w:tc>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会议类型</w:t>
            </w:r>
          </w:p>
        </w:tc>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投资者参与比例</w:t>
            </w:r>
          </w:p>
        </w:tc>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召开日期</w:t>
            </w:r>
          </w:p>
        </w:tc>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披露日期</w:t>
            </w:r>
          </w:p>
        </w:tc>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披露索引</w:t>
            </w:r>
          </w:p>
        </w:tc>
      </w:tr>
      <w:tr>
        <w:tblPrEx>
          <w:tblLayout w:type="fixed"/>
          <w:tblCellMar>
            <w:top w:w="0" w:type="dxa"/>
            <w:left w:w="28" w:type="dxa"/>
            <w:bottom w:w="0" w:type="dxa"/>
            <w:right w:w="28" w:type="dxa"/>
          </w:tblCellMar>
        </w:tblPrEx>
        <w:tc>
          <w:tcPr>
            <w:tcW w:w="159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2015</w:t>
            </w:r>
            <w:r>
              <w:rPr>
                <w:rFonts w:hint="eastAsia"/>
                <w:szCs w:val="24"/>
              </w:rPr>
              <w:t>年度股东大会</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年度股东大会</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42.82%</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04</w:t>
            </w:r>
            <w:r>
              <w:rPr>
                <w:rFonts w:hint="eastAsia"/>
                <w:szCs w:val="24"/>
              </w:rPr>
              <w:t>月</w:t>
            </w:r>
            <w:r>
              <w:rPr>
                <w:szCs w:val="24"/>
              </w:rPr>
              <w:t>21</w:t>
            </w:r>
            <w:r>
              <w:rPr>
                <w:rFonts w:hint="eastAsia"/>
                <w:szCs w:val="24"/>
              </w:rPr>
              <w:t>日</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2016</w:t>
            </w:r>
            <w:r>
              <w:rPr>
                <w:rFonts w:hint="eastAsia"/>
                <w:szCs w:val="24"/>
              </w:rPr>
              <w:t>年</w:t>
            </w:r>
            <w:r>
              <w:rPr>
                <w:szCs w:val="24"/>
              </w:rPr>
              <w:t>04</w:t>
            </w:r>
            <w:r>
              <w:rPr>
                <w:rFonts w:hint="eastAsia"/>
                <w:szCs w:val="24"/>
              </w:rPr>
              <w:t>月</w:t>
            </w:r>
            <w:r>
              <w:rPr>
                <w:szCs w:val="24"/>
              </w:rPr>
              <w:t>21</w:t>
            </w:r>
            <w:r>
              <w:rPr>
                <w:rFonts w:hint="eastAsia"/>
                <w:szCs w:val="24"/>
              </w:rPr>
              <w:t>日</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http://www.cninfo.com.cn</w:t>
            </w:r>
          </w:p>
        </w:tc>
      </w:tr>
    </w:tbl>
    <w:p>
      <w:pPr>
        <w:pStyle w:val="11"/>
        <w:outlineLvl w:val="2"/>
        <w:rPr>
          <w:bCs w:val="0"/>
          <w:szCs w:val="24"/>
        </w:rPr>
      </w:pPr>
      <w:r>
        <w:rPr>
          <w:bCs w:val="0"/>
          <w:szCs w:val="24"/>
        </w:rPr>
        <w:t>2</w:t>
      </w:r>
      <w:r>
        <w:rPr>
          <w:rFonts w:hint="eastAsia"/>
          <w:bCs w:val="0"/>
          <w:szCs w:val="24"/>
        </w:rPr>
        <w:t>、表决权恢复的优先股股东请求召开临时股东大会</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pPr>
        <w:pStyle w:val="10"/>
        <w:outlineLvl w:val="1"/>
        <w:rPr>
          <w:bCs w:val="0"/>
        </w:rPr>
      </w:pPr>
      <w:r>
        <w:rPr>
          <w:rFonts w:hint="eastAsia"/>
          <w:bCs w:val="0"/>
        </w:rPr>
        <w:t>五、报告期内独立董事履行职责的情况</w:t>
      </w:r>
    </w:p>
    <w:p>
      <w:pPr>
        <w:pStyle w:val="11"/>
        <w:outlineLvl w:val="2"/>
        <w:rPr>
          <w:bCs w:val="0"/>
          <w:szCs w:val="24"/>
        </w:rPr>
      </w:pPr>
      <w:r>
        <w:rPr>
          <w:bCs w:val="0"/>
          <w:szCs w:val="24"/>
        </w:rPr>
        <w:t>1</w:t>
      </w:r>
      <w:r>
        <w:rPr>
          <w:rFonts w:hint="eastAsia"/>
          <w:bCs w:val="0"/>
          <w:szCs w:val="24"/>
        </w:rPr>
        <w:t>、独立董事出席董事会及股东大会的情况</w:t>
      </w:r>
    </w:p>
    <w:tbl>
      <w:tblPr>
        <w:tblStyle w:val="8"/>
        <w:tblW w:w="9568" w:type="dxa"/>
        <w:tblInd w:w="28" w:type="dxa"/>
        <w:tblLayout w:type="fixed"/>
        <w:tblCellMar>
          <w:top w:w="0" w:type="dxa"/>
          <w:left w:w="28" w:type="dxa"/>
          <w:bottom w:w="0" w:type="dxa"/>
          <w:right w:w="28" w:type="dxa"/>
        </w:tblCellMar>
      </w:tblPr>
      <w:tblGrid>
        <w:gridCol w:w="1624"/>
        <w:gridCol w:w="1324"/>
        <w:gridCol w:w="1324"/>
        <w:gridCol w:w="1324"/>
        <w:gridCol w:w="1324"/>
        <w:gridCol w:w="1324"/>
        <w:gridCol w:w="1324"/>
      </w:tblGrid>
      <w:tr>
        <w:tblPrEx>
          <w:tblLayout w:type="fixed"/>
          <w:tblCellMar>
            <w:top w:w="0" w:type="dxa"/>
            <w:left w:w="28" w:type="dxa"/>
            <w:bottom w:w="0" w:type="dxa"/>
            <w:right w:w="28" w:type="dxa"/>
          </w:tblCellMar>
        </w:tblPrEx>
        <w:tc>
          <w:tcPr>
            <w:tcW w:w="9568" w:type="dxa"/>
            <w:gridSpan w:val="7"/>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独立董事出席董事会情况</w:t>
            </w:r>
          </w:p>
        </w:tc>
      </w:tr>
      <w:tr>
        <w:tblPrEx>
          <w:tblLayout w:type="fixed"/>
          <w:tblCellMar>
            <w:top w:w="0" w:type="dxa"/>
            <w:left w:w="28" w:type="dxa"/>
            <w:bottom w:w="0" w:type="dxa"/>
            <w:right w:w="28" w:type="dxa"/>
          </w:tblCellMar>
        </w:tblPrEx>
        <w:tc>
          <w:tcPr>
            <w:tcW w:w="162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独立董事姓名</w:t>
            </w:r>
          </w:p>
        </w:tc>
        <w:tc>
          <w:tcPr>
            <w:tcW w:w="132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本报告期应参加董事会次数</w:t>
            </w:r>
          </w:p>
        </w:tc>
        <w:tc>
          <w:tcPr>
            <w:tcW w:w="132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现场出席次数</w:t>
            </w:r>
          </w:p>
        </w:tc>
        <w:tc>
          <w:tcPr>
            <w:tcW w:w="132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以通讯方式参加次数</w:t>
            </w:r>
          </w:p>
        </w:tc>
        <w:tc>
          <w:tcPr>
            <w:tcW w:w="132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委托出席次数</w:t>
            </w:r>
          </w:p>
        </w:tc>
        <w:tc>
          <w:tcPr>
            <w:tcW w:w="132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缺席次数</w:t>
            </w:r>
          </w:p>
        </w:tc>
        <w:tc>
          <w:tcPr>
            <w:tcW w:w="132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是否连续两次未亲自参加会议</w:t>
            </w:r>
          </w:p>
        </w:tc>
      </w:tr>
      <w:tr>
        <w:tblPrEx>
          <w:tblLayout w:type="fixed"/>
          <w:tblCellMar>
            <w:top w:w="0" w:type="dxa"/>
            <w:left w:w="28" w:type="dxa"/>
            <w:bottom w:w="0" w:type="dxa"/>
            <w:right w:w="28" w:type="dxa"/>
          </w:tblCellMar>
        </w:tblPrEx>
        <w:tc>
          <w:tcPr>
            <w:tcW w:w="16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李焰</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6</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6</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16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孙陶然</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6</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5</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c>
          <w:tcPr>
            <w:tcW w:w="1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r>
        <w:tblPrEx>
          <w:tblLayout w:type="fixed"/>
          <w:tblCellMar>
            <w:top w:w="0" w:type="dxa"/>
            <w:left w:w="28" w:type="dxa"/>
            <w:bottom w:w="0" w:type="dxa"/>
            <w:right w:w="28" w:type="dxa"/>
          </w:tblCellMar>
        </w:tblPrEx>
        <w:tc>
          <w:tcPr>
            <w:tcW w:w="2948"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独立董事列席股东大会次数</w:t>
            </w:r>
          </w:p>
        </w:tc>
        <w:tc>
          <w:tcPr>
            <w:tcW w:w="6620" w:type="dxa"/>
            <w:gridSpan w:val="5"/>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w:t>
            </w:r>
          </w:p>
        </w:tc>
      </w:tr>
    </w:tbl>
    <w:p>
      <w:pPr>
        <w:jc w:val="left"/>
        <w:rPr>
          <w:szCs w:val="24"/>
        </w:rPr>
      </w:pPr>
      <w:r>
        <w:rPr>
          <w:rFonts w:hint="eastAsia"/>
          <w:szCs w:val="24"/>
        </w:rPr>
        <w:t>连续两次未亲自出席董事会的说明</w:t>
      </w:r>
    </w:p>
    <w:p>
      <w:pPr>
        <w:pStyle w:val="11"/>
        <w:outlineLvl w:val="2"/>
        <w:rPr>
          <w:bCs w:val="0"/>
          <w:szCs w:val="24"/>
        </w:rPr>
      </w:pPr>
      <w:r>
        <w:rPr>
          <w:bCs w:val="0"/>
          <w:szCs w:val="24"/>
        </w:rPr>
        <w:t>2</w:t>
      </w:r>
      <w:r>
        <w:rPr>
          <w:rFonts w:hint="eastAsia"/>
          <w:bCs w:val="0"/>
          <w:szCs w:val="24"/>
        </w:rPr>
        <w:t>、独立董事对公司有关事项提出异议的情况</w:t>
      </w:r>
    </w:p>
    <w:p>
      <w:pPr>
        <w:jc w:val="left"/>
        <w:rPr>
          <w:szCs w:val="24"/>
        </w:rPr>
      </w:pPr>
      <w:r>
        <w:rPr>
          <w:rFonts w:hint="eastAsia"/>
          <w:szCs w:val="24"/>
        </w:rPr>
        <w:t>独立董事对公司有关事项是否提出异议</w:t>
      </w:r>
    </w:p>
    <w:p>
      <w:pPr>
        <w:jc w:val="left"/>
        <w:rPr>
          <w:szCs w:val="24"/>
        </w:rPr>
      </w:pPr>
      <w:r>
        <w:rPr>
          <w:szCs w:val="24"/>
        </w:rPr>
        <w:t xml:space="preserve">□ </w:t>
      </w:r>
      <w:r>
        <w:rPr>
          <w:rFonts w:hint="eastAsia"/>
          <w:szCs w:val="24"/>
        </w:rPr>
        <w:t>是</w:t>
      </w:r>
      <w:r>
        <w:rPr>
          <w:szCs w:val="24"/>
        </w:rPr>
        <w:t xml:space="preserve"> √ </w:t>
      </w:r>
      <w:r>
        <w:rPr>
          <w:rFonts w:hint="eastAsia"/>
          <w:szCs w:val="24"/>
        </w:rPr>
        <w:t>否</w:t>
      </w:r>
      <w:r>
        <w:rPr>
          <w:szCs w:val="24"/>
        </w:rPr>
        <w:t xml:space="preserve"> </w:t>
      </w:r>
    </w:p>
    <w:p>
      <w:pPr>
        <w:jc w:val="left"/>
        <w:rPr>
          <w:szCs w:val="24"/>
        </w:rPr>
      </w:pPr>
      <w:r>
        <w:rPr>
          <w:rFonts w:hint="eastAsia"/>
          <w:szCs w:val="24"/>
        </w:rPr>
        <w:t>报告期内独立董事对公司有关事项未提出异议。</w:t>
      </w:r>
    </w:p>
    <w:p>
      <w:pPr>
        <w:pStyle w:val="11"/>
        <w:outlineLvl w:val="2"/>
        <w:rPr>
          <w:bCs w:val="0"/>
          <w:szCs w:val="24"/>
        </w:rPr>
      </w:pPr>
      <w:r>
        <w:rPr>
          <w:bCs w:val="0"/>
          <w:szCs w:val="24"/>
        </w:rPr>
        <w:t>3</w:t>
      </w:r>
      <w:r>
        <w:rPr>
          <w:rFonts w:hint="eastAsia"/>
          <w:bCs w:val="0"/>
          <w:szCs w:val="24"/>
        </w:rPr>
        <w:t>、独立董事履行职责的其他说明</w:t>
      </w:r>
    </w:p>
    <w:p>
      <w:pPr>
        <w:jc w:val="left"/>
        <w:rPr>
          <w:szCs w:val="24"/>
        </w:rPr>
      </w:pPr>
      <w:r>
        <w:rPr>
          <w:rFonts w:hint="eastAsia"/>
          <w:szCs w:val="24"/>
        </w:rPr>
        <w:t>独立董事对公司有关建议是否被采纳</w:t>
      </w:r>
    </w:p>
    <w:p>
      <w:pPr>
        <w:jc w:val="left"/>
        <w:rPr>
          <w:szCs w:val="24"/>
        </w:rPr>
      </w:pPr>
      <w:r>
        <w:rPr>
          <w:szCs w:val="24"/>
        </w:rPr>
        <w:t xml:space="preserve">√ </w:t>
      </w:r>
      <w:r>
        <w:rPr>
          <w:rFonts w:hint="eastAsia"/>
          <w:szCs w:val="24"/>
        </w:rPr>
        <w:t>是</w:t>
      </w:r>
      <w:r>
        <w:rPr>
          <w:szCs w:val="24"/>
        </w:rPr>
        <w:t xml:space="preserve"> □ </w:t>
      </w:r>
      <w:r>
        <w:rPr>
          <w:rFonts w:hint="eastAsia"/>
          <w:szCs w:val="24"/>
        </w:rPr>
        <w:t>否</w:t>
      </w:r>
      <w:r>
        <w:rPr>
          <w:szCs w:val="24"/>
        </w:rPr>
        <w:t xml:space="preserve"> </w:t>
      </w:r>
    </w:p>
    <w:p>
      <w:pPr>
        <w:jc w:val="left"/>
        <w:rPr>
          <w:szCs w:val="24"/>
        </w:rPr>
      </w:pPr>
      <w:r>
        <w:rPr>
          <w:rFonts w:hint="eastAsia"/>
          <w:szCs w:val="24"/>
        </w:rPr>
        <w:t>独立董事对公司有关建议被采纳或未被采纳的说明</w:t>
      </w:r>
    </w:p>
    <w:p>
      <w:pPr>
        <w:autoSpaceDE w:val="0"/>
        <w:autoSpaceDN w:val="0"/>
        <w:adjustRightInd w:val="0"/>
        <w:spacing w:before="0" w:after="0"/>
        <w:ind w:firstLine="420"/>
        <w:jc w:val="left"/>
        <w:rPr>
          <w:rFonts w:eastAsia="Times New Roman"/>
          <w:kern w:val="0"/>
          <w:sz w:val="21"/>
          <w:szCs w:val="24"/>
          <w:lang w:val="zh-CN"/>
        </w:rPr>
      </w:pPr>
      <w:r>
        <w:rPr>
          <w:rFonts w:hint="eastAsia" w:ascii="宋体" w:hAnsi="宋体" w:cs="宋体"/>
          <w:kern w:val="0"/>
          <w:sz w:val="21"/>
          <w:szCs w:val="24"/>
          <w:lang w:val="zh-CN"/>
        </w:rPr>
        <w:t>公司独立董事勤勉尽责，严格按照中国证监会的相关规定及《公司章程》、《董事会议事规则》和《独立董事工作制度》开展工作，关注公司运作，独立履行职责，对公司内部控制建设、</w:t>
      </w:r>
      <w:r>
        <w:rPr>
          <w:rFonts w:eastAsia="Times New Roman"/>
          <w:kern w:val="0"/>
          <w:sz w:val="21"/>
          <w:szCs w:val="24"/>
          <w:lang w:val="zh-CN"/>
        </w:rPr>
        <w:t xml:space="preserve"> </w:t>
      </w:r>
      <w:r>
        <w:rPr>
          <w:rFonts w:hint="eastAsia" w:ascii="宋体" w:hAnsi="宋体" w:cs="宋体"/>
          <w:kern w:val="0"/>
          <w:sz w:val="21"/>
          <w:szCs w:val="24"/>
          <w:lang w:val="zh-CN"/>
        </w:rPr>
        <w:t>管理体系建设、人才梯队建设和重大决策等方面提出了很多宝贵的专业性建议，对公司财务及生产经营活动进行了有效监督，提高了公司决策的科学性，为完善公司监督机制，维护公司和全体股东的合法权益发挥了应有的作用。</w:t>
      </w:r>
    </w:p>
    <w:p>
      <w:pPr>
        <w:autoSpaceDE w:val="0"/>
        <w:autoSpaceDN w:val="0"/>
        <w:adjustRightInd w:val="0"/>
        <w:spacing w:before="0" w:after="0"/>
        <w:jc w:val="left"/>
        <w:rPr>
          <w:rFonts w:eastAsia="Times New Roman"/>
          <w:kern w:val="0"/>
          <w:szCs w:val="24"/>
          <w:lang w:val="zh-CN"/>
        </w:rPr>
      </w:pPr>
    </w:p>
    <w:p>
      <w:pPr>
        <w:pStyle w:val="10"/>
        <w:outlineLvl w:val="1"/>
        <w:rPr>
          <w:bCs w:val="0"/>
        </w:rPr>
      </w:pPr>
      <w:r>
        <w:rPr>
          <w:rFonts w:hint="eastAsia"/>
          <w:bCs w:val="0"/>
        </w:rPr>
        <w:t>六、董事会下设专门委员会在报告期内履行职责情况</w:t>
      </w:r>
    </w:p>
    <w:p>
      <w:pPr>
        <w:autoSpaceDE w:val="0"/>
        <w:autoSpaceDN w:val="0"/>
        <w:adjustRightInd w:val="0"/>
        <w:spacing w:before="0" w:after="0"/>
        <w:ind w:firstLine="420"/>
        <w:jc w:val="left"/>
        <w:rPr>
          <w:rFonts w:eastAsia="Times New Roman"/>
          <w:kern w:val="0"/>
          <w:sz w:val="21"/>
          <w:szCs w:val="24"/>
          <w:lang w:val="zh-CN"/>
        </w:rPr>
      </w:pPr>
      <w:r>
        <w:rPr>
          <w:rFonts w:hint="eastAsia" w:ascii="宋体" w:hAnsi="宋体" w:cs="宋体"/>
          <w:kern w:val="0"/>
          <w:sz w:val="21"/>
          <w:szCs w:val="24"/>
          <w:lang w:val="zh-CN"/>
        </w:rPr>
        <w:t>报告期内董事会各专业委员会工作情况如下：</w:t>
      </w:r>
    </w:p>
    <w:p>
      <w:pPr>
        <w:autoSpaceDE w:val="0"/>
        <w:autoSpaceDN w:val="0"/>
        <w:adjustRightInd w:val="0"/>
        <w:spacing w:before="0" w:after="0"/>
        <w:ind w:firstLine="360"/>
        <w:jc w:val="left"/>
        <w:rPr>
          <w:rFonts w:eastAsia="Times New Roman"/>
          <w:b/>
          <w:kern w:val="0"/>
          <w:sz w:val="21"/>
          <w:szCs w:val="24"/>
          <w:lang w:val="zh-CN"/>
        </w:rPr>
      </w:pPr>
      <w:r>
        <w:rPr>
          <w:rFonts w:eastAsia="Times New Roman"/>
          <w:b/>
          <w:kern w:val="0"/>
          <w:sz w:val="21"/>
          <w:szCs w:val="24"/>
          <w:lang w:val="zh-CN"/>
        </w:rPr>
        <w:t>1</w:t>
      </w:r>
      <w:r>
        <w:rPr>
          <w:rFonts w:hint="eastAsia" w:ascii="宋体" w:hAnsi="宋体" w:cs="宋体"/>
          <w:b/>
          <w:kern w:val="0"/>
          <w:sz w:val="21"/>
          <w:szCs w:val="24"/>
          <w:lang w:val="zh-CN"/>
        </w:rPr>
        <w:t>、审计委员会履职情况</w:t>
      </w:r>
      <w:r>
        <w:rPr>
          <w:rFonts w:eastAsia="Times New Roman"/>
          <w:b/>
          <w:kern w:val="0"/>
          <w:sz w:val="21"/>
          <w:szCs w:val="24"/>
          <w:lang w:val="zh-CN"/>
        </w:rPr>
        <w:t xml:space="preserve"> </w:t>
      </w:r>
    </w:p>
    <w:p>
      <w:pPr>
        <w:autoSpaceDE w:val="0"/>
        <w:autoSpaceDN w:val="0"/>
        <w:adjustRightInd w:val="0"/>
        <w:spacing w:before="0" w:after="0"/>
        <w:ind w:firstLine="420"/>
        <w:jc w:val="left"/>
        <w:rPr>
          <w:rFonts w:eastAsia="Times New Roman"/>
          <w:kern w:val="0"/>
          <w:sz w:val="21"/>
          <w:szCs w:val="24"/>
          <w:lang w:val="zh-CN"/>
        </w:rPr>
      </w:pPr>
      <w:r>
        <w:rPr>
          <w:rFonts w:hint="eastAsia" w:ascii="宋体" w:hAnsi="宋体" w:cs="宋体"/>
          <w:kern w:val="0"/>
          <w:sz w:val="21"/>
          <w:szCs w:val="24"/>
          <w:lang w:val="zh-CN"/>
        </w:rPr>
        <w:t>报告期内，董事会审计委员会分别召开会议审议了公司</w:t>
      </w:r>
      <w:r>
        <w:rPr>
          <w:rFonts w:eastAsia="Times New Roman"/>
          <w:kern w:val="0"/>
          <w:sz w:val="21"/>
          <w:szCs w:val="24"/>
          <w:lang w:val="zh-CN"/>
        </w:rPr>
        <w:t>2015</w:t>
      </w:r>
      <w:r>
        <w:rPr>
          <w:rFonts w:hint="eastAsia" w:ascii="宋体" w:hAnsi="宋体" w:cs="宋体"/>
          <w:kern w:val="0"/>
          <w:sz w:val="21"/>
          <w:szCs w:val="24"/>
          <w:lang w:val="zh-CN"/>
        </w:rPr>
        <w:t>年度、</w:t>
      </w:r>
      <w:r>
        <w:rPr>
          <w:rFonts w:eastAsia="Times New Roman"/>
          <w:kern w:val="0"/>
          <w:sz w:val="21"/>
          <w:szCs w:val="24"/>
          <w:lang w:val="zh-CN"/>
        </w:rPr>
        <w:t>2016</w:t>
      </w:r>
      <w:r>
        <w:rPr>
          <w:rFonts w:hint="eastAsia" w:ascii="宋体" w:hAnsi="宋体" w:cs="宋体"/>
          <w:kern w:val="0"/>
          <w:sz w:val="21"/>
          <w:szCs w:val="24"/>
          <w:lang w:val="zh-CN"/>
        </w:rPr>
        <w:t>年一季度、</w:t>
      </w:r>
      <w:r>
        <w:rPr>
          <w:rFonts w:eastAsia="Times New Roman"/>
          <w:kern w:val="0"/>
          <w:sz w:val="21"/>
          <w:szCs w:val="24"/>
          <w:lang w:val="zh-CN"/>
        </w:rPr>
        <w:t>2016</w:t>
      </w:r>
      <w:r>
        <w:rPr>
          <w:rFonts w:hint="eastAsia" w:ascii="宋体" w:hAnsi="宋体" w:cs="宋体"/>
          <w:kern w:val="0"/>
          <w:sz w:val="21"/>
          <w:szCs w:val="24"/>
          <w:lang w:val="zh-CN"/>
        </w:rPr>
        <w:t>年半年度、</w:t>
      </w:r>
      <w:r>
        <w:rPr>
          <w:rFonts w:eastAsia="Times New Roman"/>
          <w:kern w:val="0"/>
          <w:sz w:val="21"/>
          <w:szCs w:val="24"/>
          <w:lang w:val="zh-CN"/>
        </w:rPr>
        <w:t>2016</w:t>
      </w:r>
      <w:r>
        <w:rPr>
          <w:rFonts w:hint="eastAsia" w:ascii="宋体" w:hAnsi="宋体" w:cs="宋体"/>
          <w:kern w:val="0"/>
          <w:sz w:val="21"/>
          <w:szCs w:val="24"/>
          <w:lang w:val="zh-CN"/>
        </w:rPr>
        <w:t>年三季度的财务和经营情况，重点关注审查了公司募集资金使用情况、货币资金内部控制的有效性、关联交易、对外担保、对外投资、事业部日常运营情况等事项。</w:t>
      </w:r>
    </w:p>
    <w:p>
      <w:pPr>
        <w:autoSpaceDE w:val="0"/>
        <w:autoSpaceDN w:val="0"/>
        <w:adjustRightInd w:val="0"/>
        <w:spacing w:before="0" w:after="0"/>
        <w:ind w:firstLine="420"/>
        <w:jc w:val="left"/>
        <w:rPr>
          <w:rFonts w:eastAsia="Times New Roman"/>
          <w:kern w:val="0"/>
          <w:sz w:val="21"/>
          <w:szCs w:val="24"/>
          <w:lang w:val="zh-CN"/>
        </w:rPr>
      </w:pPr>
      <w:r>
        <w:rPr>
          <w:rFonts w:hint="eastAsia" w:ascii="宋体" w:hAnsi="宋体" w:cs="宋体"/>
          <w:kern w:val="0"/>
          <w:sz w:val="21"/>
          <w:szCs w:val="24"/>
          <w:lang w:val="zh-CN"/>
        </w:rPr>
        <w:t>在</w:t>
      </w:r>
      <w:r>
        <w:rPr>
          <w:rFonts w:eastAsia="Times New Roman"/>
          <w:kern w:val="0"/>
          <w:sz w:val="21"/>
          <w:szCs w:val="24"/>
          <w:lang w:val="zh-CN"/>
        </w:rPr>
        <w:t>2015</w:t>
      </w:r>
      <w:r>
        <w:rPr>
          <w:rFonts w:hint="eastAsia" w:ascii="宋体" w:hAnsi="宋体" w:cs="宋体"/>
          <w:kern w:val="0"/>
          <w:sz w:val="21"/>
          <w:szCs w:val="24"/>
          <w:lang w:val="zh-CN"/>
        </w:rPr>
        <w:t>年度财务报告审计过程中，董事会审计委员会认真阅读了会计师事务所人员关于公司</w:t>
      </w:r>
      <w:r>
        <w:rPr>
          <w:rFonts w:eastAsia="Times New Roman"/>
          <w:kern w:val="0"/>
          <w:sz w:val="21"/>
          <w:szCs w:val="24"/>
          <w:lang w:val="zh-CN"/>
        </w:rPr>
        <w:t>2015</w:t>
      </w:r>
      <w:r>
        <w:rPr>
          <w:rFonts w:hint="eastAsia" w:ascii="宋体" w:hAnsi="宋体" w:cs="宋体"/>
          <w:kern w:val="0"/>
          <w:sz w:val="21"/>
          <w:szCs w:val="24"/>
          <w:lang w:val="zh-CN"/>
        </w:rPr>
        <w:t>年度审计工作计划及相关资料，与会计师事务所协商确定了公司</w:t>
      </w:r>
      <w:r>
        <w:rPr>
          <w:rFonts w:eastAsia="Times New Roman"/>
          <w:kern w:val="0"/>
          <w:sz w:val="21"/>
          <w:szCs w:val="24"/>
          <w:lang w:val="zh-CN"/>
        </w:rPr>
        <w:t>2015</w:t>
      </w:r>
      <w:r>
        <w:rPr>
          <w:rFonts w:hint="eastAsia" w:ascii="宋体" w:hAnsi="宋体" w:cs="宋体"/>
          <w:kern w:val="0"/>
          <w:sz w:val="21"/>
          <w:szCs w:val="24"/>
          <w:lang w:val="zh-CN"/>
        </w:rPr>
        <w:t>年度财务报告审计工作的时间安排，主动与会计师事务所就审计过程中发现的问题沟通和交流，在会计师事务所出具</w:t>
      </w:r>
      <w:r>
        <w:rPr>
          <w:rFonts w:eastAsia="Times New Roman"/>
          <w:kern w:val="0"/>
          <w:sz w:val="21"/>
          <w:szCs w:val="24"/>
          <w:lang w:val="zh-CN"/>
        </w:rPr>
        <w:t>2015</w:t>
      </w:r>
      <w:r>
        <w:rPr>
          <w:rFonts w:hint="eastAsia" w:ascii="宋体" w:hAnsi="宋体" w:cs="宋体"/>
          <w:kern w:val="0"/>
          <w:sz w:val="21"/>
          <w:szCs w:val="24"/>
          <w:lang w:val="zh-CN"/>
        </w:rPr>
        <w:t>年度审计报告后，对本年度审计工作进行了总结，听取了会计师事务所的年度审计工作总结报告和公司审计部对会计师事务所年度审计工作的评价总结。</w:t>
      </w:r>
    </w:p>
    <w:p>
      <w:pPr>
        <w:autoSpaceDE w:val="0"/>
        <w:autoSpaceDN w:val="0"/>
        <w:adjustRightInd w:val="0"/>
        <w:spacing w:before="0" w:after="0"/>
        <w:ind w:firstLine="422"/>
        <w:jc w:val="left"/>
        <w:rPr>
          <w:rFonts w:eastAsia="Times New Roman"/>
          <w:b/>
          <w:kern w:val="0"/>
          <w:sz w:val="21"/>
          <w:szCs w:val="24"/>
          <w:lang w:val="zh-CN"/>
        </w:rPr>
      </w:pPr>
      <w:r>
        <w:rPr>
          <w:rFonts w:eastAsia="Times New Roman"/>
          <w:b/>
          <w:kern w:val="0"/>
          <w:sz w:val="21"/>
          <w:szCs w:val="24"/>
          <w:lang w:val="zh-CN"/>
        </w:rPr>
        <w:t>2</w:t>
      </w:r>
      <w:r>
        <w:rPr>
          <w:rFonts w:hint="eastAsia" w:ascii="宋体" w:hAnsi="宋体" w:cs="宋体"/>
          <w:b/>
          <w:kern w:val="0"/>
          <w:sz w:val="21"/>
          <w:szCs w:val="24"/>
          <w:lang w:val="zh-CN"/>
        </w:rPr>
        <w:t>、薪酬与考核委员会履职情况</w:t>
      </w:r>
      <w:r>
        <w:rPr>
          <w:rFonts w:eastAsia="Times New Roman"/>
          <w:b/>
          <w:kern w:val="0"/>
          <w:sz w:val="21"/>
          <w:szCs w:val="24"/>
          <w:lang w:val="zh-CN"/>
        </w:rPr>
        <w:t xml:space="preserve"> </w:t>
      </w:r>
    </w:p>
    <w:p>
      <w:pPr>
        <w:autoSpaceDE w:val="0"/>
        <w:autoSpaceDN w:val="0"/>
        <w:adjustRightInd w:val="0"/>
        <w:spacing w:before="0" w:after="0"/>
        <w:ind w:firstLine="420"/>
        <w:jc w:val="left"/>
        <w:rPr>
          <w:rFonts w:eastAsia="Times New Roman"/>
          <w:kern w:val="0"/>
          <w:sz w:val="21"/>
          <w:szCs w:val="24"/>
          <w:lang w:val="zh-CN"/>
        </w:rPr>
      </w:pPr>
      <w:r>
        <w:rPr>
          <w:rFonts w:hint="eastAsia" w:ascii="宋体" w:hAnsi="宋体" w:cs="宋体"/>
          <w:kern w:val="0"/>
          <w:sz w:val="21"/>
          <w:szCs w:val="24"/>
          <w:lang w:val="zh-CN"/>
        </w:rPr>
        <w:t>报告期内，公司薪酬与考核委员会依据公司</w:t>
      </w:r>
      <w:r>
        <w:rPr>
          <w:rFonts w:eastAsia="Times New Roman"/>
          <w:kern w:val="0"/>
          <w:sz w:val="21"/>
          <w:szCs w:val="24"/>
          <w:lang w:val="zh-CN"/>
        </w:rPr>
        <w:t>2016</w:t>
      </w:r>
      <w:r>
        <w:rPr>
          <w:rFonts w:hint="eastAsia" w:ascii="宋体" w:hAnsi="宋体" w:cs="宋体"/>
          <w:kern w:val="0"/>
          <w:sz w:val="21"/>
          <w:szCs w:val="24"/>
          <w:lang w:val="zh-CN"/>
        </w:rPr>
        <w:t>年初制定的经营目标及主要经济指标和管理指标的完成情况对公司</w:t>
      </w:r>
      <w:r>
        <w:rPr>
          <w:rFonts w:eastAsia="Times New Roman"/>
          <w:kern w:val="0"/>
          <w:sz w:val="21"/>
          <w:szCs w:val="24"/>
          <w:lang w:val="zh-CN"/>
        </w:rPr>
        <w:t>2016</w:t>
      </w:r>
      <w:r>
        <w:rPr>
          <w:rFonts w:hint="eastAsia" w:ascii="宋体" w:hAnsi="宋体" w:cs="宋体"/>
          <w:kern w:val="0"/>
          <w:sz w:val="21"/>
          <w:szCs w:val="24"/>
          <w:lang w:val="zh-CN"/>
        </w:rPr>
        <w:t>年度薪酬和组织绩效考核情况进行了审核。</w:t>
      </w:r>
    </w:p>
    <w:p>
      <w:pPr>
        <w:autoSpaceDE w:val="0"/>
        <w:autoSpaceDN w:val="0"/>
        <w:adjustRightInd w:val="0"/>
        <w:spacing w:before="0" w:after="0"/>
        <w:ind w:firstLine="422"/>
        <w:jc w:val="left"/>
        <w:rPr>
          <w:rFonts w:eastAsia="Times New Roman"/>
          <w:b/>
          <w:kern w:val="0"/>
          <w:sz w:val="21"/>
          <w:szCs w:val="24"/>
          <w:lang w:val="zh-CN"/>
        </w:rPr>
      </w:pPr>
      <w:r>
        <w:rPr>
          <w:rFonts w:eastAsia="Times New Roman"/>
          <w:b/>
          <w:kern w:val="0"/>
          <w:sz w:val="21"/>
          <w:szCs w:val="24"/>
          <w:lang w:val="zh-CN"/>
        </w:rPr>
        <w:t>3</w:t>
      </w:r>
      <w:r>
        <w:rPr>
          <w:rFonts w:hint="eastAsia" w:ascii="宋体" w:hAnsi="宋体" w:cs="宋体"/>
          <w:b/>
          <w:kern w:val="0"/>
          <w:sz w:val="21"/>
          <w:szCs w:val="24"/>
          <w:lang w:val="zh-CN"/>
        </w:rPr>
        <w:t>、提名委员会履职情况</w:t>
      </w:r>
      <w:r>
        <w:rPr>
          <w:rFonts w:eastAsia="Times New Roman"/>
          <w:b/>
          <w:kern w:val="0"/>
          <w:sz w:val="21"/>
          <w:szCs w:val="24"/>
          <w:lang w:val="zh-CN"/>
        </w:rPr>
        <w:t xml:space="preserve"> </w:t>
      </w:r>
    </w:p>
    <w:p>
      <w:pPr>
        <w:autoSpaceDE w:val="0"/>
        <w:autoSpaceDN w:val="0"/>
        <w:adjustRightInd w:val="0"/>
        <w:spacing w:before="0" w:after="0"/>
        <w:ind w:firstLine="420"/>
        <w:jc w:val="left"/>
        <w:rPr>
          <w:rFonts w:eastAsia="Times New Roman"/>
          <w:kern w:val="0"/>
          <w:sz w:val="21"/>
          <w:szCs w:val="24"/>
          <w:lang w:val="zh-CN"/>
        </w:rPr>
      </w:pPr>
      <w:r>
        <w:rPr>
          <w:rFonts w:hint="eastAsia" w:ascii="宋体" w:hAnsi="宋体" w:cs="宋体"/>
          <w:kern w:val="0"/>
          <w:sz w:val="21"/>
          <w:szCs w:val="24"/>
          <w:lang w:val="zh-CN"/>
        </w:rPr>
        <w:t>报告期内，公司提名委员会勤勉尽责地履行职责，对公司董事会人选的提名和高级管理人员聘任的标准和程序提出意见和建议，经过对初选人身份、学历、职业、专业能力等情况的审查，并征求被提名人同意，在第三届董事会第十八次会议提名唐军武先生为第三届公司董事会非独立董事候选人，在第三届董事会第十八次会议提名覃善兴先生为公司副总经理。</w:t>
      </w:r>
    </w:p>
    <w:p>
      <w:pPr>
        <w:autoSpaceDE w:val="0"/>
        <w:autoSpaceDN w:val="0"/>
        <w:adjustRightInd w:val="0"/>
        <w:spacing w:before="0" w:after="0"/>
        <w:ind w:firstLine="422"/>
        <w:jc w:val="left"/>
        <w:rPr>
          <w:rFonts w:eastAsia="Times New Roman"/>
          <w:b/>
          <w:kern w:val="0"/>
          <w:sz w:val="21"/>
          <w:szCs w:val="24"/>
          <w:lang w:val="zh-CN"/>
        </w:rPr>
      </w:pPr>
      <w:r>
        <w:rPr>
          <w:rFonts w:eastAsia="Times New Roman"/>
          <w:b/>
          <w:kern w:val="0"/>
          <w:sz w:val="21"/>
          <w:szCs w:val="24"/>
          <w:lang w:val="zh-CN"/>
        </w:rPr>
        <w:t>4</w:t>
      </w:r>
      <w:r>
        <w:rPr>
          <w:rFonts w:hint="eastAsia" w:ascii="宋体" w:hAnsi="宋体" w:cs="宋体"/>
          <w:b/>
          <w:kern w:val="0"/>
          <w:sz w:val="21"/>
          <w:szCs w:val="24"/>
          <w:lang w:val="zh-CN"/>
        </w:rPr>
        <w:t>、战略委员会履职情况</w:t>
      </w:r>
      <w:r>
        <w:rPr>
          <w:rFonts w:eastAsia="Times New Roman"/>
          <w:b/>
          <w:kern w:val="0"/>
          <w:sz w:val="21"/>
          <w:szCs w:val="24"/>
          <w:lang w:val="zh-CN"/>
        </w:rPr>
        <w:t xml:space="preserve"> </w:t>
      </w:r>
    </w:p>
    <w:p>
      <w:pPr>
        <w:autoSpaceDE w:val="0"/>
        <w:autoSpaceDN w:val="0"/>
        <w:adjustRightInd w:val="0"/>
        <w:spacing w:before="0" w:after="0"/>
        <w:ind w:firstLine="420"/>
        <w:jc w:val="left"/>
        <w:rPr>
          <w:rFonts w:eastAsia="Times New Roman"/>
          <w:kern w:val="0"/>
          <w:sz w:val="21"/>
          <w:szCs w:val="24"/>
          <w:lang w:val="zh-CN"/>
        </w:rPr>
      </w:pPr>
      <w:r>
        <w:rPr>
          <w:rFonts w:hint="eastAsia" w:ascii="宋体" w:hAnsi="宋体" w:cs="宋体"/>
          <w:kern w:val="0"/>
          <w:sz w:val="21"/>
          <w:szCs w:val="24"/>
          <w:lang w:val="zh-CN"/>
        </w:rPr>
        <w:t>报告期内，公司战略委员会勤勉尽责地履行职责，对公司中长期战略规划、公司治理、新业务拓展、重大投资等事项进行深入研究，并提请董事会审议。战略委员会分别召开会议就公司主业规划、年度经营计划及</w:t>
      </w:r>
      <w:r>
        <w:rPr>
          <w:rFonts w:eastAsia="Times New Roman"/>
          <w:kern w:val="0"/>
          <w:sz w:val="21"/>
          <w:szCs w:val="24"/>
          <w:lang w:val="zh-CN"/>
        </w:rPr>
        <w:t>2016</w:t>
      </w:r>
      <w:r>
        <w:rPr>
          <w:rFonts w:hint="eastAsia" w:ascii="宋体" w:hAnsi="宋体" w:cs="宋体"/>
          <w:kern w:val="0"/>
          <w:sz w:val="21"/>
          <w:szCs w:val="24"/>
          <w:lang w:val="zh-CN"/>
        </w:rPr>
        <w:t>工作重点、行业现状分析及行业机会等事宜进行了讨论和审核，为董事会科学决策提供了重要支持。</w:t>
      </w:r>
    </w:p>
    <w:p>
      <w:pPr>
        <w:pStyle w:val="10"/>
        <w:outlineLvl w:val="1"/>
        <w:rPr>
          <w:bCs w:val="0"/>
        </w:rPr>
      </w:pPr>
      <w:r>
        <w:rPr>
          <w:rFonts w:hint="eastAsia"/>
          <w:bCs w:val="0"/>
        </w:rPr>
        <w:t>七、监事会工作情况</w:t>
      </w:r>
    </w:p>
    <w:p>
      <w:pPr>
        <w:jc w:val="left"/>
        <w:rPr>
          <w:szCs w:val="24"/>
        </w:rPr>
      </w:pPr>
      <w:r>
        <w:rPr>
          <w:rFonts w:hint="eastAsia"/>
          <w:szCs w:val="24"/>
        </w:rPr>
        <w:t>监事会在报告期内的监督活动中发现公司是否存在风险</w:t>
      </w:r>
    </w:p>
    <w:p>
      <w:pPr>
        <w:jc w:val="left"/>
        <w:rPr>
          <w:szCs w:val="24"/>
        </w:rPr>
      </w:pPr>
      <w:r>
        <w:rPr>
          <w:szCs w:val="24"/>
        </w:rPr>
        <w:t xml:space="preserve">□ </w:t>
      </w:r>
      <w:r>
        <w:rPr>
          <w:rFonts w:hint="eastAsia"/>
          <w:szCs w:val="24"/>
        </w:rPr>
        <w:t>是</w:t>
      </w:r>
      <w:r>
        <w:rPr>
          <w:szCs w:val="24"/>
        </w:rPr>
        <w:t xml:space="preserve"> √ </w:t>
      </w:r>
      <w:r>
        <w:rPr>
          <w:rFonts w:hint="eastAsia"/>
          <w:szCs w:val="24"/>
        </w:rPr>
        <w:t>否</w:t>
      </w:r>
      <w:r>
        <w:rPr>
          <w:szCs w:val="24"/>
        </w:rPr>
        <w:t xml:space="preserve"> </w:t>
      </w:r>
    </w:p>
    <w:p>
      <w:pPr>
        <w:jc w:val="left"/>
        <w:rPr>
          <w:szCs w:val="24"/>
        </w:rPr>
      </w:pPr>
      <w:r>
        <w:rPr>
          <w:rFonts w:hint="eastAsia"/>
          <w:szCs w:val="24"/>
        </w:rPr>
        <w:t>公司监事会对报告期内的监督事项无异议。</w:t>
      </w:r>
    </w:p>
    <w:p>
      <w:pPr>
        <w:pStyle w:val="10"/>
        <w:outlineLvl w:val="1"/>
        <w:rPr>
          <w:bCs w:val="0"/>
        </w:rPr>
      </w:pPr>
      <w:r>
        <w:rPr>
          <w:rFonts w:hint="eastAsia"/>
          <w:bCs w:val="0"/>
        </w:rPr>
        <w:t>八、高级管理人员的考评及激励情况</w:t>
      </w:r>
    </w:p>
    <w:p>
      <w:pPr>
        <w:autoSpaceDE w:val="0"/>
        <w:autoSpaceDN w:val="0"/>
        <w:adjustRightInd w:val="0"/>
        <w:spacing w:before="0" w:after="0"/>
        <w:ind w:firstLine="420"/>
        <w:jc w:val="left"/>
        <w:rPr>
          <w:rFonts w:eastAsia="Times New Roman"/>
          <w:kern w:val="0"/>
          <w:sz w:val="21"/>
          <w:szCs w:val="24"/>
          <w:lang w:val="zh-CN"/>
        </w:rPr>
      </w:pPr>
      <w:r>
        <w:rPr>
          <w:rFonts w:hint="eastAsia" w:ascii="宋体" w:hAnsi="宋体" w:cs="宋体"/>
          <w:kern w:val="0"/>
          <w:sz w:val="21"/>
          <w:szCs w:val="24"/>
          <w:lang w:val="zh-CN"/>
        </w:rPr>
        <w:t>公司建立了完善的高级管理人员绩效管理体系，明确了高级管理人员考核内容与流程，有效的提升了公司治理水平，进一步完善高级管理人员绩效评价和激励、约束机制，最大限度地调动公司高级管理人员的积极性及创造性，确保公司各项业务的顺利开展，促进了公司业绩稳定持续发展，更好维护广大投资者的根本利益。</w:t>
      </w:r>
    </w:p>
    <w:p>
      <w:pPr>
        <w:pStyle w:val="10"/>
        <w:outlineLvl w:val="1"/>
        <w:rPr>
          <w:bCs w:val="0"/>
        </w:rPr>
      </w:pPr>
      <w:r>
        <w:rPr>
          <w:rFonts w:hint="eastAsia"/>
          <w:bCs w:val="0"/>
        </w:rPr>
        <w:t>九、内部控制评价报告</w:t>
      </w:r>
    </w:p>
    <w:p>
      <w:pPr>
        <w:pStyle w:val="11"/>
        <w:outlineLvl w:val="2"/>
        <w:rPr>
          <w:bCs w:val="0"/>
          <w:szCs w:val="24"/>
        </w:rPr>
      </w:pPr>
      <w:r>
        <w:rPr>
          <w:bCs w:val="0"/>
          <w:szCs w:val="24"/>
        </w:rPr>
        <w:t>1</w:t>
      </w:r>
      <w:r>
        <w:rPr>
          <w:rFonts w:hint="eastAsia"/>
          <w:bCs w:val="0"/>
          <w:szCs w:val="24"/>
        </w:rPr>
        <w:t>、报告期内发现的内部控制重大缺陷的具体情况</w:t>
      </w:r>
    </w:p>
    <w:p>
      <w:pPr>
        <w:jc w:val="left"/>
        <w:rPr>
          <w:szCs w:val="24"/>
        </w:rPr>
      </w:pPr>
      <w:r>
        <w:rPr>
          <w:szCs w:val="24"/>
        </w:rPr>
        <w:t xml:space="preserve">□ </w:t>
      </w:r>
      <w:r>
        <w:rPr>
          <w:rFonts w:hint="eastAsia"/>
          <w:szCs w:val="24"/>
        </w:rPr>
        <w:t>是</w:t>
      </w:r>
      <w:r>
        <w:rPr>
          <w:szCs w:val="24"/>
        </w:rPr>
        <w:t xml:space="preserve"> √ </w:t>
      </w:r>
      <w:r>
        <w:rPr>
          <w:rFonts w:hint="eastAsia"/>
          <w:szCs w:val="24"/>
        </w:rPr>
        <w:t>否</w:t>
      </w:r>
      <w:r>
        <w:rPr>
          <w:szCs w:val="24"/>
        </w:rPr>
        <w:t xml:space="preserve"> </w:t>
      </w:r>
    </w:p>
    <w:p>
      <w:pPr>
        <w:pStyle w:val="11"/>
        <w:outlineLvl w:val="2"/>
        <w:rPr>
          <w:bCs w:val="0"/>
          <w:szCs w:val="24"/>
        </w:rPr>
      </w:pPr>
      <w:r>
        <w:rPr>
          <w:bCs w:val="0"/>
          <w:szCs w:val="24"/>
        </w:rPr>
        <w:t>2</w:t>
      </w:r>
      <w:r>
        <w:rPr>
          <w:rFonts w:hint="eastAsia"/>
          <w:bCs w:val="0"/>
          <w:szCs w:val="24"/>
        </w:rPr>
        <w:t>、内控自我评价报告</w:t>
      </w:r>
    </w:p>
    <w:tbl>
      <w:tblPr>
        <w:tblStyle w:val="8"/>
        <w:tblW w:w="9568" w:type="dxa"/>
        <w:tblInd w:w="28" w:type="dxa"/>
        <w:tblLayout w:type="fixed"/>
        <w:tblCellMar>
          <w:top w:w="0" w:type="dxa"/>
          <w:left w:w="28" w:type="dxa"/>
          <w:bottom w:w="0" w:type="dxa"/>
          <w:right w:w="28" w:type="dxa"/>
        </w:tblCellMar>
      </w:tblPr>
      <w:tblGrid>
        <w:gridCol w:w="3194"/>
        <w:gridCol w:w="3323"/>
        <w:gridCol w:w="3051"/>
      </w:tblGrid>
      <w:tr>
        <w:tblPrEx>
          <w:tblLayout w:type="fixed"/>
          <w:tblCellMar>
            <w:top w:w="0" w:type="dxa"/>
            <w:left w:w="28" w:type="dxa"/>
            <w:bottom w:w="0" w:type="dxa"/>
            <w:right w:w="28" w:type="dxa"/>
          </w:tblCellMar>
        </w:tblPrEx>
        <w:tc>
          <w:tcPr>
            <w:tcW w:w="31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内部控制评价报告全文披露日期</w:t>
            </w:r>
          </w:p>
        </w:tc>
        <w:tc>
          <w:tcPr>
            <w:tcW w:w="6374"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2017</w:t>
            </w:r>
            <w:r>
              <w:rPr>
                <w:rFonts w:hint="eastAsia"/>
                <w:szCs w:val="24"/>
              </w:rPr>
              <w:t>年</w:t>
            </w:r>
            <w:r>
              <w:rPr>
                <w:szCs w:val="24"/>
              </w:rPr>
              <w:t>04</w:t>
            </w:r>
            <w:r>
              <w:rPr>
                <w:rFonts w:hint="eastAsia"/>
                <w:szCs w:val="24"/>
              </w:rPr>
              <w:t>月</w:t>
            </w:r>
            <w:r>
              <w:rPr>
                <w:szCs w:val="24"/>
              </w:rPr>
              <w:t>21</w:t>
            </w:r>
            <w:r>
              <w:rPr>
                <w:rFonts w:hint="eastAsia"/>
                <w:szCs w:val="24"/>
              </w:rPr>
              <w:t>日</w:t>
            </w:r>
          </w:p>
        </w:tc>
      </w:tr>
      <w:tr>
        <w:tblPrEx>
          <w:tblLayout w:type="fixed"/>
          <w:tblCellMar>
            <w:top w:w="0" w:type="dxa"/>
            <w:left w:w="28" w:type="dxa"/>
            <w:bottom w:w="0" w:type="dxa"/>
            <w:right w:w="28" w:type="dxa"/>
          </w:tblCellMar>
        </w:tblPrEx>
        <w:tc>
          <w:tcPr>
            <w:tcW w:w="31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内部控制评价报告全文披露索引</w:t>
            </w:r>
          </w:p>
        </w:tc>
        <w:tc>
          <w:tcPr>
            <w:tcW w:w="6374"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http://www.cninfo.com.cn</w:t>
            </w:r>
          </w:p>
        </w:tc>
      </w:tr>
      <w:tr>
        <w:tblPrEx>
          <w:tblLayout w:type="fixed"/>
          <w:tblCellMar>
            <w:top w:w="0" w:type="dxa"/>
            <w:left w:w="28" w:type="dxa"/>
            <w:bottom w:w="0" w:type="dxa"/>
            <w:right w:w="28" w:type="dxa"/>
          </w:tblCellMar>
        </w:tblPrEx>
        <w:tc>
          <w:tcPr>
            <w:tcW w:w="31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纳入评价范围单位资产总额占公司合并财务报表资产总额的比例</w:t>
            </w:r>
          </w:p>
        </w:tc>
        <w:tc>
          <w:tcPr>
            <w:tcW w:w="6374"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100.00%</w:t>
            </w:r>
          </w:p>
        </w:tc>
      </w:tr>
      <w:tr>
        <w:tblPrEx>
          <w:tblLayout w:type="fixed"/>
          <w:tblCellMar>
            <w:top w:w="0" w:type="dxa"/>
            <w:left w:w="28" w:type="dxa"/>
            <w:bottom w:w="0" w:type="dxa"/>
            <w:right w:w="28" w:type="dxa"/>
          </w:tblCellMar>
        </w:tblPrEx>
        <w:tc>
          <w:tcPr>
            <w:tcW w:w="31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纳入评价范围单位营业收入占公司合并财务报表营业收入的比例</w:t>
            </w:r>
          </w:p>
        </w:tc>
        <w:tc>
          <w:tcPr>
            <w:tcW w:w="6374"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100.00%</w:t>
            </w:r>
          </w:p>
        </w:tc>
      </w:tr>
      <w:tr>
        <w:tblPrEx>
          <w:tblLayout w:type="fixed"/>
          <w:tblCellMar>
            <w:top w:w="0" w:type="dxa"/>
            <w:left w:w="28" w:type="dxa"/>
            <w:bottom w:w="0" w:type="dxa"/>
            <w:right w:w="28" w:type="dxa"/>
          </w:tblCellMar>
        </w:tblPrEx>
        <w:tc>
          <w:tcPr>
            <w:tcW w:w="9568" w:type="dxa"/>
            <w:gridSpan w:val="3"/>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缺陷认定标准</w:t>
            </w:r>
          </w:p>
        </w:tc>
      </w:tr>
      <w:tr>
        <w:tblPrEx>
          <w:tblLayout w:type="fixed"/>
          <w:tblCellMar>
            <w:top w:w="0" w:type="dxa"/>
            <w:left w:w="28" w:type="dxa"/>
            <w:bottom w:w="0" w:type="dxa"/>
            <w:right w:w="28" w:type="dxa"/>
          </w:tblCellMar>
        </w:tblPrEx>
        <w:tc>
          <w:tcPr>
            <w:tcW w:w="319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类别</w:t>
            </w:r>
          </w:p>
        </w:tc>
        <w:tc>
          <w:tcPr>
            <w:tcW w:w="332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财务报告</w:t>
            </w:r>
          </w:p>
        </w:tc>
        <w:tc>
          <w:tcPr>
            <w:tcW w:w="305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非财务报告</w:t>
            </w:r>
          </w:p>
        </w:tc>
      </w:tr>
      <w:tr>
        <w:tblPrEx>
          <w:tblLayout w:type="fixed"/>
          <w:tblCellMar>
            <w:top w:w="0" w:type="dxa"/>
            <w:left w:w="28" w:type="dxa"/>
            <w:bottom w:w="0" w:type="dxa"/>
            <w:right w:w="28" w:type="dxa"/>
          </w:tblCellMar>
        </w:tblPrEx>
        <w:tc>
          <w:tcPr>
            <w:tcW w:w="31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定性标准</w:t>
            </w:r>
          </w:p>
        </w:tc>
        <w:tc>
          <w:tcPr>
            <w:tcW w:w="33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缺陷：是指一个或多个控制缺陷的组合，可能导致企业严重偏离控制目标。出现下列特征的，认定为重大缺陷：（</w:t>
            </w:r>
            <w:r>
              <w:rPr>
                <w:szCs w:val="24"/>
              </w:rPr>
              <w:t>1</w:t>
            </w:r>
            <w:r>
              <w:rPr>
                <w:rFonts w:hint="eastAsia"/>
                <w:szCs w:val="24"/>
              </w:rPr>
              <w:t>）董事、监事和高级管理人员舞弊；（</w:t>
            </w:r>
            <w:r>
              <w:rPr>
                <w:szCs w:val="24"/>
              </w:rPr>
              <w:t>2</w:t>
            </w:r>
            <w:r>
              <w:rPr>
                <w:rFonts w:hint="eastAsia"/>
                <w:szCs w:val="24"/>
              </w:rPr>
              <w:t>）对已经公告的财务报告出现的重大差错进行错报更正（由于政策变化或其他客观因素变化导致的对以前年度的追溯调整除外）；（</w:t>
            </w:r>
            <w:r>
              <w:rPr>
                <w:szCs w:val="24"/>
              </w:rPr>
              <w:t>3</w:t>
            </w:r>
            <w:r>
              <w:rPr>
                <w:rFonts w:hint="eastAsia"/>
                <w:szCs w:val="24"/>
              </w:rPr>
              <w:t>）当期财务报告存在重大错报，而内部控制在运行过程中未能发现该错报；（</w:t>
            </w:r>
            <w:r>
              <w:rPr>
                <w:szCs w:val="24"/>
              </w:rPr>
              <w:t>4</w:t>
            </w:r>
            <w:r>
              <w:rPr>
                <w:rFonts w:hint="eastAsia"/>
                <w:szCs w:val="24"/>
              </w:rPr>
              <w:t>）审计委员会以及内部审计部门对财务报告内部控制监督无效。重要缺陷：是指一个或多个控制缺陷的组合，其严重程度和经济后果低于重大缺陷但仍有可能导致企业偏离控制目标。出现以下特征的，认定为重要缺陷</w:t>
            </w:r>
            <w:r>
              <w:rPr>
                <w:szCs w:val="24"/>
              </w:rPr>
              <w:t>:</w:t>
            </w:r>
            <w:r>
              <w:rPr>
                <w:rFonts w:hint="eastAsia"/>
                <w:szCs w:val="24"/>
              </w:rPr>
              <w:t>（</w:t>
            </w:r>
            <w:r>
              <w:rPr>
                <w:szCs w:val="24"/>
              </w:rPr>
              <w:t>1</w:t>
            </w:r>
            <w:r>
              <w:rPr>
                <w:rFonts w:hint="eastAsia"/>
                <w:szCs w:val="24"/>
              </w:rPr>
              <w:t>）未依照公认会计准则选择和应用会计政策；（</w:t>
            </w:r>
            <w:r>
              <w:rPr>
                <w:szCs w:val="24"/>
              </w:rPr>
              <w:t>2</w:t>
            </w:r>
            <w:r>
              <w:rPr>
                <w:rFonts w:hint="eastAsia"/>
                <w:szCs w:val="24"/>
              </w:rPr>
              <w:t>）未建立反舞弊程序和控制措施；（</w:t>
            </w:r>
            <w:r>
              <w:rPr>
                <w:szCs w:val="24"/>
              </w:rPr>
              <w:t>3</w:t>
            </w:r>
            <w:r>
              <w:rPr>
                <w:rFonts w:hint="eastAsia"/>
                <w:szCs w:val="24"/>
              </w:rPr>
              <w:t>）对于非常规或特殊交易的账务处理没有建立相应的控制机制或没有实施且没有相应的补偿性控制；（</w:t>
            </w:r>
            <w:r>
              <w:rPr>
                <w:szCs w:val="24"/>
              </w:rPr>
              <w:t>4</w:t>
            </w:r>
            <w:r>
              <w:rPr>
                <w:rFonts w:hint="eastAsia"/>
                <w:szCs w:val="24"/>
              </w:rPr>
              <w:t>）对于期末财务报告过程的控制存在一项或多项缺陷且不能合理保证编制的财务报表达到真实、准确的目标。一般缺陷：是指除重大缺陷和重要缺陷之外的其他控制缺陷。</w:t>
            </w:r>
          </w:p>
        </w:tc>
        <w:tc>
          <w:tcPr>
            <w:tcW w:w="305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非财务报告内部控制缺陷评价的定性标准：具有以下特征的缺陷，认定为重大缺陷：（</w:t>
            </w:r>
            <w:r>
              <w:rPr>
                <w:szCs w:val="24"/>
              </w:rPr>
              <w:t>1</w:t>
            </w:r>
            <w:r>
              <w:rPr>
                <w:rFonts w:hint="eastAsia"/>
                <w:szCs w:val="24"/>
              </w:rPr>
              <w:t>）公司决策程序导致重大损失；（</w:t>
            </w:r>
            <w:r>
              <w:rPr>
                <w:szCs w:val="24"/>
              </w:rPr>
              <w:t>2</w:t>
            </w:r>
            <w:r>
              <w:rPr>
                <w:rFonts w:hint="eastAsia"/>
                <w:szCs w:val="24"/>
              </w:rPr>
              <w:t>）严重违反法律、法规；（</w:t>
            </w:r>
            <w:r>
              <w:rPr>
                <w:szCs w:val="24"/>
              </w:rPr>
              <w:t>3</w:t>
            </w:r>
            <w:r>
              <w:rPr>
                <w:rFonts w:hint="eastAsia"/>
                <w:szCs w:val="24"/>
              </w:rPr>
              <w:t>）公司中高级管理人员和高级技术人员流失严重；（</w:t>
            </w:r>
            <w:r>
              <w:rPr>
                <w:szCs w:val="24"/>
              </w:rPr>
              <w:t>4</w:t>
            </w:r>
            <w:r>
              <w:rPr>
                <w:rFonts w:hint="eastAsia"/>
                <w:szCs w:val="24"/>
              </w:rPr>
              <w:t>）媒体频现负面新闻，涉及面广且负面影响一直未能消除；（</w:t>
            </w:r>
            <w:r>
              <w:rPr>
                <w:szCs w:val="24"/>
              </w:rPr>
              <w:t>5</w:t>
            </w:r>
            <w:r>
              <w:rPr>
                <w:rFonts w:hint="eastAsia"/>
                <w:szCs w:val="24"/>
              </w:rPr>
              <w:t>）公司重要业务缺乏制度控制或制度体系失效，重要的经济业务虽有内控制度，但没有有效的运行；（</w:t>
            </w:r>
            <w:r>
              <w:rPr>
                <w:szCs w:val="24"/>
              </w:rPr>
              <w:t>6</w:t>
            </w:r>
            <w:r>
              <w:rPr>
                <w:rFonts w:hint="eastAsia"/>
                <w:szCs w:val="24"/>
              </w:rPr>
              <w:t>）公司内部控制重大或重要缺陷未得到整改；（</w:t>
            </w:r>
            <w:r>
              <w:rPr>
                <w:szCs w:val="24"/>
              </w:rPr>
              <w:t>7</w:t>
            </w:r>
            <w:r>
              <w:rPr>
                <w:rFonts w:hint="eastAsia"/>
                <w:szCs w:val="24"/>
              </w:rPr>
              <w:t>）公司遭受证监会处罚或证券交易所警告。具有以下特征的缺陷，认定为重要缺陷：（</w:t>
            </w:r>
            <w:r>
              <w:rPr>
                <w:szCs w:val="24"/>
              </w:rPr>
              <w:t>1</w:t>
            </w:r>
            <w:r>
              <w:rPr>
                <w:rFonts w:hint="eastAsia"/>
                <w:szCs w:val="24"/>
              </w:rPr>
              <w:t>）公司决策程序导致出现重大失误；（</w:t>
            </w:r>
            <w:r>
              <w:rPr>
                <w:szCs w:val="24"/>
              </w:rPr>
              <w:t>2</w:t>
            </w:r>
            <w:r>
              <w:rPr>
                <w:rFonts w:hint="eastAsia"/>
                <w:szCs w:val="24"/>
              </w:rPr>
              <w:t>）公司关键岗位业务人员流失严重；（</w:t>
            </w:r>
            <w:r>
              <w:rPr>
                <w:szCs w:val="24"/>
              </w:rPr>
              <w:t>3</w:t>
            </w:r>
            <w:r>
              <w:rPr>
                <w:rFonts w:hint="eastAsia"/>
                <w:szCs w:val="24"/>
              </w:rPr>
              <w:t>）媒体出现负面新闻，波及局部区域；（</w:t>
            </w:r>
            <w:r>
              <w:rPr>
                <w:szCs w:val="24"/>
              </w:rPr>
              <w:t>4</w:t>
            </w:r>
            <w:r>
              <w:rPr>
                <w:rFonts w:hint="eastAsia"/>
                <w:szCs w:val="24"/>
              </w:rPr>
              <w:t>）公司重要业务制度或系统存在缺陷；（</w:t>
            </w:r>
            <w:r>
              <w:rPr>
                <w:szCs w:val="24"/>
              </w:rPr>
              <w:t>5</w:t>
            </w:r>
            <w:r>
              <w:rPr>
                <w:rFonts w:hint="eastAsia"/>
                <w:szCs w:val="24"/>
              </w:rPr>
              <w:t>）公司内部控制重要缺陷未在合理期间内得到整改。一般缺陷是指除上述重大缺陷、重要缺陷之外的其他控制缺陷。</w:t>
            </w:r>
          </w:p>
        </w:tc>
      </w:tr>
      <w:tr>
        <w:tblPrEx>
          <w:tblLayout w:type="fixed"/>
          <w:tblCellMar>
            <w:top w:w="0" w:type="dxa"/>
            <w:left w:w="28" w:type="dxa"/>
            <w:bottom w:w="0" w:type="dxa"/>
            <w:right w:w="28" w:type="dxa"/>
          </w:tblCellMar>
        </w:tblPrEx>
        <w:tc>
          <w:tcPr>
            <w:tcW w:w="31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定量标准</w:t>
            </w:r>
          </w:p>
        </w:tc>
        <w:tc>
          <w:tcPr>
            <w:tcW w:w="33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重大缺陷</w:t>
            </w:r>
          </w:p>
        </w:tc>
        <w:tc>
          <w:tcPr>
            <w:tcW w:w="305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错报</w:t>
            </w:r>
            <w:r>
              <w:rPr>
                <w:szCs w:val="24"/>
              </w:rPr>
              <w:t>≥</w:t>
            </w:r>
            <w:r>
              <w:rPr>
                <w:rFonts w:hint="eastAsia"/>
                <w:szCs w:val="24"/>
              </w:rPr>
              <w:t>利润总额的</w:t>
            </w:r>
            <w:r>
              <w:rPr>
                <w:szCs w:val="24"/>
              </w:rPr>
              <w:t>10%</w:t>
            </w:r>
            <w:r>
              <w:rPr>
                <w:rFonts w:hint="eastAsia"/>
                <w:szCs w:val="24"/>
              </w:rPr>
              <w:t>重要缺陷</w:t>
            </w:r>
          </w:p>
        </w:tc>
      </w:tr>
      <w:tr>
        <w:tblPrEx>
          <w:tblLayout w:type="fixed"/>
          <w:tblCellMar>
            <w:top w:w="0" w:type="dxa"/>
            <w:left w:w="28" w:type="dxa"/>
            <w:bottom w:w="0" w:type="dxa"/>
            <w:right w:w="28" w:type="dxa"/>
          </w:tblCellMar>
        </w:tblPrEx>
        <w:tc>
          <w:tcPr>
            <w:tcW w:w="31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财务报告重大缺陷数量（个）</w:t>
            </w:r>
          </w:p>
        </w:tc>
        <w:tc>
          <w:tcPr>
            <w:tcW w:w="6374"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r>
      <w:tr>
        <w:tblPrEx>
          <w:tblLayout w:type="fixed"/>
          <w:tblCellMar>
            <w:top w:w="0" w:type="dxa"/>
            <w:left w:w="28" w:type="dxa"/>
            <w:bottom w:w="0" w:type="dxa"/>
            <w:right w:w="28" w:type="dxa"/>
          </w:tblCellMar>
        </w:tblPrEx>
        <w:tc>
          <w:tcPr>
            <w:tcW w:w="31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非财务报告重大缺陷数量（个）</w:t>
            </w:r>
          </w:p>
        </w:tc>
        <w:tc>
          <w:tcPr>
            <w:tcW w:w="6374"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r>
      <w:tr>
        <w:tblPrEx>
          <w:tblLayout w:type="fixed"/>
          <w:tblCellMar>
            <w:top w:w="0" w:type="dxa"/>
            <w:left w:w="28" w:type="dxa"/>
            <w:bottom w:w="0" w:type="dxa"/>
            <w:right w:w="28" w:type="dxa"/>
          </w:tblCellMar>
        </w:tblPrEx>
        <w:tc>
          <w:tcPr>
            <w:tcW w:w="31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财务报告重要缺陷数量（个）</w:t>
            </w:r>
          </w:p>
        </w:tc>
        <w:tc>
          <w:tcPr>
            <w:tcW w:w="6374"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r>
      <w:tr>
        <w:tblPrEx>
          <w:tblLayout w:type="fixed"/>
          <w:tblCellMar>
            <w:top w:w="0" w:type="dxa"/>
            <w:left w:w="28" w:type="dxa"/>
            <w:bottom w:w="0" w:type="dxa"/>
            <w:right w:w="28" w:type="dxa"/>
          </w:tblCellMar>
        </w:tblPrEx>
        <w:tc>
          <w:tcPr>
            <w:tcW w:w="31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非财务报告重要缺陷数量（个）</w:t>
            </w:r>
          </w:p>
        </w:tc>
        <w:tc>
          <w:tcPr>
            <w:tcW w:w="6374"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Cs w:val="24"/>
              </w:rPr>
            </w:pPr>
            <w:r>
              <w:rPr>
                <w:szCs w:val="24"/>
              </w:rPr>
              <w:t>0</w:t>
            </w:r>
          </w:p>
        </w:tc>
      </w:tr>
    </w:tbl>
    <w:p>
      <w:pPr>
        <w:pStyle w:val="10"/>
        <w:outlineLvl w:val="1"/>
        <w:rPr>
          <w:bCs w:val="0"/>
        </w:rPr>
      </w:pPr>
      <w:r>
        <w:rPr>
          <w:rFonts w:hint="eastAsia"/>
          <w:bCs w:val="0"/>
        </w:rPr>
        <w:t>十、内部控制审计报告或鉴证报告</w:t>
      </w:r>
    </w:p>
    <w:p>
      <w:pPr>
        <w:jc w:val="left"/>
        <w:rPr>
          <w:szCs w:val="24"/>
        </w:rPr>
      </w:pPr>
      <w:r>
        <w:rPr>
          <w:rFonts w:hint="eastAsia"/>
          <w:szCs w:val="24"/>
        </w:rPr>
        <w:t>内部控制鉴证报告</w:t>
      </w:r>
    </w:p>
    <w:tbl>
      <w:tblPr>
        <w:tblStyle w:val="8"/>
        <w:tblW w:w="9568" w:type="dxa"/>
        <w:tblInd w:w="28" w:type="dxa"/>
        <w:tblLayout w:type="fixed"/>
        <w:tblCellMar>
          <w:top w:w="0" w:type="dxa"/>
          <w:left w:w="28" w:type="dxa"/>
          <w:bottom w:w="0" w:type="dxa"/>
          <w:right w:w="28" w:type="dxa"/>
        </w:tblCellMar>
      </w:tblPr>
      <w:tblGrid>
        <w:gridCol w:w="2662"/>
        <w:gridCol w:w="6906"/>
      </w:tblGrid>
      <w:tr>
        <w:tblPrEx>
          <w:tblLayout w:type="fixed"/>
        </w:tblPrEx>
        <w:tc>
          <w:tcPr>
            <w:tcW w:w="9568"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Cs w:val="24"/>
              </w:rPr>
            </w:pPr>
            <w:r>
              <w:rPr>
                <w:rFonts w:hint="eastAsia"/>
                <w:szCs w:val="24"/>
              </w:rPr>
              <w:t>内部控制鉴证报告中的审议意见段</w:t>
            </w:r>
          </w:p>
        </w:tc>
      </w:tr>
      <w:tr>
        <w:tblPrEx>
          <w:tblLayout w:type="fixed"/>
          <w:tblCellMar>
            <w:top w:w="0" w:type="dxa"/>
            <w:left w:w="28" w:type="dxa"/>
            <w:bottom w:w="0" w:type="dxa"/>
            <w:right w:w="28" w:type="dxa"/>
          </w:tblCellMar>
        </w:tblPrEx>
        <w:tc>
          <w:tcPr>
            <w:tcW w:w="9568"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我们认为，海兰信股份公司按照《企业内部控制基本规范》及相关规定于</w:t>
            </w:r>
            <w:r>
              <w:rPr>
                <w:szCs w:val="24"/>
              </w:rPr>
              <w:t>2016</w:t>
            </w:r>
            <w:r>
              <w:rPr>
                <w:rFonts w:hint="eastAsia"/>
                <w:szCs w:val="24"/>
              </w:rPr>
              <w:t>年</w:t>
            </w:r>
            <w:r>
              <w:rPr>
                <w:szCs w:val="24"/>
              </w:rPr>
              <w:t>12</w:t>
            </w:r>
            <w:r>
              <w:rPr>
                <w:rFonts w:hint="eastAsia"/>
                <w:szCs w:val="24"/>
              </w:rPr>
              <w:t>月</w:t>
            </w:r>
            <w:r>
              <w:rPr>
                <w:szCs w:val="24"/>
              </w:rPr>
              <w:t>31</w:t>
            </w:r>
            <w:r>
              <w:rPr>
                <w:rFonts w:hint="eastAsia"/>
                <w:szCs w:val="24"/>
              </w:rPr>
              <w:t>日在所有重大方面保持了与财务报表相关的有效的内部控制。</w:t>
            </w:r>
          </w:p>
        </w:tc>
      </w:tr>
      <w:tr>
        <w:tblPrEx>
          <w:tblLayout w:type="fixed"/>
          <w:tblCellMar>
            <w:top w:w="0" w:type="dxa"/>
            <w:left w:w="28" w:type="dxa"/>
            <w:bottom w:w="0" w:type="dxa"/>
            <w:right w:w="28" w:type="dxa"/>
          </w:tblCellMar>
        </w:tblPrEx>
        <w:tc>
          <w:tcPr>
            <w:tcW w:w="266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内控鉴证报告披露情况</w:t>
            </w:r>
          </w:p>
        </w:tc>
        <w:tc>
          <w:tcPr>
            <w:tcW w:w="690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披露</w:t>
            </w:r>
          </w:p>
        </w:tc>
      </w:tr>
      <w:tr>
        <w:tblPrEx>
          <w:tblLayout w:type="fixed"/>
          <w:tblCellMar>
            <w:top w:w="0" w:type="dxa"/>
            <w:left w:w="28" w:type="dxa"/>
            <w:bottom w:w="0" w:type="dxa"/>
            <w:right w:w="28" w:type="dxa"/>
          </w:tblCellMar>
        </w:tblPrEx>
        <w:tc>
          <w:tcPr>
            <w:tcW w:w="266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内部控制鉴证报告全文披露日期</w:t>
            </w:r>
          </w:p>
        </w:tc>
        <w:tc>
          <w:tcPr>
            <w:tcW w:w="690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2017</w:t>
            </w:r>
            <w:r>
              <w:rPr>
                <w:rFonts w:hint="eastAsia"/>
                <w:szCs w:val="24"/>
              </w:rPr>
              <w:t>年</w:t>
            </w:r>
            <w:r>
              <w:rPr>
                <w:szCs w:val="24"/>
              </w:rPr>
              <w:t>04</w:t>
            </w:r>
            <w:r>
              <w:rPr>
                <w:rFonts w:hint="eastAsia"/>
                <w:szCs w:val="24"/>
              </w:rPr>
              <w:t>月</w:t>
            </w:r>
            <w:r>
              <w:rPr>
                <w:szCs w:val="24"/>
              </w:rPr>
              <w:t>21</w:t>
            </w:r>
            <w:r>
              <w:rPr>
                <w:rFonts w:hint="eastAsia"/>
                <w:szCs w:val="24"/>
              </w:rPr>
              <w:t>日</w:t>
            </w:r>
          </w:p>
        </w:tc>
      </w:tr>
      <w:tr>
        <w:tblPrEx>
          <w:tblLayout w:type="fixed"/>
          <w:tblCellMar>
            <w:top w:w="0" w:type="dxa"/>
            <w:left w:w="28" w:type="dxa"/>
            <w:bottom w:w="0" w:type="dxa"/>
            <w:right w:w="28" w:type="dxa"/>
          </w:tblCellMar>
        </w:tblPrEx>
        <w:tc>
          <w:tcPr>
            <w:tcW w:w="266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内部控制鉴证报告全文披露索引</w:t>
            </w:r>
          </w:p>
        </w:tc>
        <w:tc>
          <w:tcPr>
            <w:tcW w:w="690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szCs w:val="24"/>
              </w:rPr>
              <w:t>http://www.cninfo.com.cn</w:t>
            </w:r>
          </w:p>
        </w:tc>
      </w:tr>
      <w:tr>
        <w:tblPrEx>
          <w:tblLayout w:type="fixed"/>
          <w:tblCellMar>
            <w:top w:w="0" w:type="dxa"/>
            <w:left w:w="28" w:type="dxa"/>
            <w:bottom w:w="0" w:type="dxa"/>
            <w:right w:w="28" w:type="dxa"/>
          </w:tblCellMar>
        </w:tblPrEx>
        <w:tc>
          <w:tcPr>
            <w:tcW w:w="266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内控鉴证报告意见类型</w:t>
            </w:r>
          </w:p>
        </w:tc>
        <w:tc>
          <w:tcPr>
            <w:tcW w:w="690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标准无保留</w:t>
            </w:r>
          </w:p>
        </w:tc>
      </w:tr>
      <w:tr>
        <w:tblPrEx>
          <w:tblLayout w:type="fixed"/>
          <w:tblCellMar>
            <w:top w:w="0" w:type="dxa"/>
            <w:left w:w="28" w:type="dxa"/>
            <w:bottom w:w="0" w:type="dxa"/>
            <w:right w:w="28" w:type="dxa"/>
          </w:tblCellMar>
        </w:tblPrEx>
        <w:tc>
          <w:tcPr>
            <w:tcW w:w="266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Cs w:val="24"/>
              </w:rPr>
            </w:pPr>
            <w:r>
              <w:rPr>
                <w:rFonts w:hint="eastAsia"/>
                <w:szCs w:val="24"/>
              </w:rPr>
              <w:t>非财务报告是否存在重大缺陷</w:t>
            </w:r>
          </w:p>
        </w:tc>
        <w:tc>
          <w:tcPr>
            <w:tcW w:w="690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Cs w:val="24"/>
              </w:rPr>
            </w:pPr>
            <w:r>
              <w:rPr>
                <w:rFonts w:hint="eastAsia"/>
                <w:szCs w:val="24"/>
              </w:rPr>
              <w:t>否</w:t>
            </w:r>
          </w:p>
        </w:tc>
      </w:tr>
    </w:tbl>
    <w:p>
      <w:pPr>
        <w:jc w:val="left"/>
        <w:rPr>
          <w:szCs w:val="24"/>
        </w:rPr>
      </w:pPr>
      <w:r>
        <w:rPr>
          <w:rFonts w:hint="eastAsia"/>
          <w:szCs w:val="24"/>
        </w:rPr>
        <w:t>会计师事务所是否出具非标准意见的内部控制鉴证报告</w:t>
      </w:r>
    </w:p>
    <w:p>
      <w:pPr>
        <w:jc w:val="left"/>
        <w:rPr>
          <w:szCs w:val="24"/>
        </w:rPr>
      </w:pPr>
      <w:r>
        <w:rPr>
          <w:szCs w:val="24"/>
        </w:rPr>
        <w:t xml:space="preserve">□ </w:t>
      </w:r>
      <w:r>
        <w:rPr>
          <w:rFonts w:hint="eastAsia"/>
          <w:szCs w:val="24"/>
        </w:rPr>
        <w:t>是</w:t>
      </w:r>
      <w:r>
        <w:rPr>
          <w:szCs w:val="24"/>
        </w:rPr>
        <w:t xml:space="preserve"> √ </w:t>
      </w:r>
      <w:r>
        <w:rPr>
          <w:rFonts w:hint="eastAsia"/>
          <w:szCs w:val="24"/>
        </w:rPr>
        <w:t>否</w:t>
      </w:r>
      <w:r>
        <w:rPr>
          <w:szCs w:val="24"/>
        </w:rPr>
        <w:t xml:space="preserve"> </w:t>
      </w:r>
    </w:p>
    <w:p>
      <w:pPr>
        <w:jc w:val="left"/>
        <w:rPr>
          <w:szCs w:val="24"/>
        </w:rPr>
      </w:pPr>
      <w:r>
        <w:rPr>
          <w:rFonts w:hint="eastAsia"/>
          <w:szCs w:val="24"/>
        </w:rPr>
        <w:t>会计师事务所出具的内部控制鉴证报告与董事会的自我评价报告意见是否一致</w:t>
      </w:r>
    </w:p>
    <w:p>
      <w:pPr>
        <w:jc w:val="left"/>
        <w:rPr>
          <w:szCs w:val="24"/>
        </w:rPr>
      </w:pPr>
      <w:r>
        <w:rPr>
          <w:szCs w:val="24"/>
        </w:rPr>
        <w:t xml:space="preserve">√ </w:t>
      </w:r>
      <w:r>
        <w:rPr>
          <w:rFonts w:hint="eastAsia"/>
          <w:szCs w:val="24"/>
        </w:rPr>
        <w:t>是</w:t>
      </w:r>
      <w:r>
        <w:rPr>
          <w:szCs w:val="24"/>
        </w:rPr>
        <w:t xml:space="preserve"> □ </w:t>
      </w:r>
      <w:r>
        <w:rPr>
          <w:rFonts w:hint="eastAsia"/>
          <w:szCs w:val="24"/>
        </w:rPr>
        <w:t>否</w:t>
      </w:r>
      <w:r>
        <w:rPr>
          <w:szCs w:val="24"/>
        </w:rPr>
        <w:t xml:space="preserve"> </w:t>
      </w:r>
    </w:p>
    <w:p>
      <w:pPr>
        <w:jc w:val="left"/>
        <w:rPr>
          <w:szCs w:val="24"/>
        </w:rPr>
        <w:sectPr>
          <w:pgSz w:w="11906" w:h="16838"/>
          <w:pgMar w:top="1440" w:right="1134" w:bottom="1440" w:left="1134" w:header="851" w:footer="992" w:gutter="0"/>
          <w:cols w:space="425" w:num="1"/>
          <w:docGrid w:type="lines" w:linePitch="312" w:charSpace="0"/>
        </w:sectPr>
      </w:pPr>
    </w:p>
    <w:p>
      <w:pPr>
        <w:pStyle w:val="5"/>
        <w:outlineLvl w:val="0"/>
        <w:rPr>
          <w:bCs w:val="0"/>
          <w:szCs w:val="24"/>
        </w:rPr>
      </w:pPr>
      <w:bookmarkStart w:id="9" w:name="_Toc300000093"/>
      <w:r>
        <w:rPr>
          <w:rFonts w:hint="eastAsia"/>
          <w:bCs w:val="0"/>
          <w:szCs w:val="24"/>
        </w:rPr>
        <w:t>第十节</w:t>
      </w:r>
      <w:r>
        <w:rPr>
          <w:bCs w:val="0"/>
          <w:szCs w:val="24"/>
        </w:rPr>
        <w:t xml:space="preserve"> </w:t>
      </w:r>
      <w:r>
        <w:rPr>
          <w:rFonts w:hint="eastAsia"/>
          <w:bCs w:val="0"/>
          <w:szCs w:val="24"/>
        </w:rPr>
        <w:t>公司债券相关情况</w:t>
      </w:r>
      <w:bookmarkEnd w:id="9"/>
    </w:p>
    <w:p>
      <w:pPr>
        <w:jc w:val="left"/>
        <w:rPr>
          <w:szCs w:val="24"/>
        </w:rPr>
      </w:pPr>
      <w:r>
        <w:rPr>
          <w:rFonts w:hint="eastAsia"/>
          <w:szCs w:val="24"/>
        </w:rPr>
        <w:t>公司是否存在公开发行并在证券交易所上市，且在年度报告批准报出日未到期或到期未能全额兑付的公司债券</w:t>
      </w:r>
    </w:p>
    <w:p>
      <w:pPr>
        <w:jc w:val="left"/>
        <w:rPr>
          <w:szCs w:val="24"/>
        </w:rPr>
      </w:pPr>
      <w:r>
        <w:rPr>
          <w:rFonts w:hint="eastAsia"/>
          <w:szCs w:val="24"/>
        </w:rPr>
        <w:t>否</w:t>
      </w:r>
    </w:p>
    <w:p>
      <w:pPr>
        <w:jc w:val="left"/>
        <w:rPr>
          <w:szCs w:val="24"/>
        </w:rPr>
        <w:sectPr>
          <w:pgSz w:w="11906" w:h="16838"/>
          <w:pgMar w:top="1440" w:right="1134" w:bottom="1440" w:left="1134" w:header="851" w:footer="992" w:gutter="0"/>
          <w:cols w:space="425" w:num="1"/>
          <w:docGrid w:type="lines" w:linePitch="312" w:charSpace="0"/>
        </w:sectPr>
      </w:pPr>
    </w:p>
    <w:p>
      <w:pPr>
        <w:pStyle w:val="5"/>
        <w:outlineLvl w:val="0"/>
        <w:rPr>
          <w:bCs w:val="0"/>
          <w:szCs w:val="24"/>
        </w:rPr>
      </w:pPr>
      <w:bookmarkStart w:id="10" w:name="_Toc300000094"/>
      <w:r>
        <w:rPr>
          <w:rFonts w:hint="eastAsia"/>
          <w:bCs w:val="0"/>
          <w:szCs w:val="24"/>
        </w:rPr>
        <w:t>第十一节</w:t>
      </w:r>
      <w:r>
        <w:rPr>
          <w:bCs w:val="0"/>
          <w:szCs w:val="24"/>
        </w:rPr>
        <w:t xml:space="preserve"> </w:t>
      </w:r>
      <w:r>
        <w:rPr>
          <w:rFonts w:hint="eastAsia"/>
          <w:bCs w:val="0"/>
          <w:szCs w:val="24"/>
        </w:rPr>
        <w:t>财务报告</w:t>
      </w:r>
      <w:bookmarkEnd w:id="10"/>
    </w:p>
    <w:p>
      <w:pPr>
        <w:pStyle w:val="10"/>
        <w:outlineLvl w:val="1"/>
        <w:rPr>
          <w:bCs w:val="0"/>
        </w:rPr>
      </w:pPr>
      <w:bookmarkStart w:id="11" w:name="_Toc300000095"/>
      <w:r>
        <w:rPr>
          <w:rFonts w:hint="eastAsia"/>
          <w:bCs w:val="0"/>
        </w:rPr>
        <w:t>一、审计报告</w:t>
      </w:r>
    </w:p>
    <w:tbl>
      <w:tblPr>
        <w:tblStyle w:val="8"/>
        <w:tblW w:w="9568" w:type="dxa"/>
        <w:tblInd w:w="28" w:type="dxa"/>
        <w:tblLayout w:type="fixed"/>
        <w:tblCellMar>
          <w:top w:w="0" w:type="dxa"/>
          <w:left w:w="28" w:type="dxa"/>
          <w:bottom w:w="0" w:type="dxa"/>
          <w:right w:w="28" w:type="dxa"/>
        </w:tblCellMar>
      </w:tblPr>
      <w:tblGrid>
        <w:gridCol w:w="4783"/>
        <w:gridCol w:w="4785"/>
      </w:tblGrid>
      <w:tr>
        <w:tblPrEx>
          <w:tblLayout w:type="fixed"/>
          <w:tblCellMar>
            <w:top w:w="0" w:type="dxa"/>
            <w:left w:w="28" w:type="dxa"/>
            <w:bottom w:w="0" w:type="dxa"/>
            <w:right w:w="28" w:type="dxa"/>
          </w:tblCellMar>
        </w:tblPrEx>
        <w:tc>
          <w:tcPr>
            <w:tcW w:w="478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审计意见类型</w:t>
            </w:r>
          </w:p>
        </w:tc>
        <w:tc>
          <w:tcPr>
            <w:tcW w:w="4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标准的无保留意见</w:t>
            </w:r>
          </w:p>
        </w:tc>
      </w:tr>
      <w:tr>
        <w:tblPrEx>
          <w:tblLayout w:type="fixed"/>
          <w:tblCellMar>
            <w:top w:w="0" w:type="dxa"/>
            <w:left w:w="28" w:type="dxa"/>
            <w:bottom w:w="0" w:type="dxa"/>
            <w:right w:w="28" w:type="dxa"/>
          </w:tblCellMar>
        </w:tblPrEx>
        <w:tc>
          <w:tcPr>
            <w:tcW w:w="478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审计报告签署日期</w:t>
            </w:r>
          </w:p>
        </w:tc>
        <w:tc>
          <w:tcPr>
            <w:tcW w:w="4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2017</w:t>
            </w:r>
            <w:r>
              <w:rPr>
                <w:rFonts w:hint="eastAsia"/>
                <w:sz w:val="21"/>
                <w:szCs w:val="21"/>
              </w:rPr>
              <w:t>年</w:t>
            </w:r>
            <w:r>
              <w:rPr>
                <w:sz w:val="21"/>
                <w:szCs w:val="21"/>
              </w:rPr>
              <w:t>04</w:t>
            </w:r>
            <w:r>
              <w:rPr>
                <w:rFonts w:hint="eastAsia"/>
                <w:sz w:val="21"/>
                <w:szCs w:val="21"/>
              </w:rPr>
              <w:t>月</w:t>
            </w:r>
            <w:r>
              <w:rPr>
                <w:sz w:val="21"/>
                <w:szCs w:val="21"/>
              </w:rPr>
              <w:t>21</w:t>
            </w:r>
            <w:r>
              <w:rPr>
                <w:rFonts w:hint="eastAsia"/>
                <w:sz w:val="21"/>
                <w:szCs w:val="21"/>
              </w:rPr>
              <w:t>日</w:t>
            </w:r>
          </w:p>
        </w:tc>
      </w:tr>
      <w:tr>
        <w:tblPrEx>
          <w:tblLayout w:type="fixed"/>
          <w:tblCellMar>
            <w:top w:w="0" w:type="dxa"/>
            <w:left w:w="28" w:type="dxa"/>
            <w:bottom w:w="0" w:type="dxa"/>
            <w:right w:w="28" w:type="dxa"/>
          </w:tblCellMar>
        </w:tblPrEx>
        <w:tc>
          <w:tcPr>
            <w:tcW w:w="478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审计机构名称</w:t>
            </w:r>
          </w:p>
        </w:tc>
        <w:tc>
          <w:tcPr>
            <w:tcW w:w="4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信永中和会计师事务所（特殊普通合伙）</w:t>
            </w:r>
          </w:p>
        </w:tc>
      </w:tr>
      <w:tr>
        <w:tblPrEx>
          <w:tblLayout w:type="fixed"/>
          <w:tblCellMar>
            <w:top w:w="0" w:type="dxa"/>
            <w:left w:w="28" w:type="dxa"/>
            <w:bottom w:w="0" w:type="dxa"/>
            <w:right w:w="28" w:type="dxa"/>
          </w:tblCellMar>
        </w:tblPrEx>
        <w:tc>
          <w:tcPr>
            <w:tcW w:w="478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审计报告文号</w:t>
            </w:r>
          </w:p>
        </w:tc>
        <w:tc>
          <w:tcPr>
            <w:tcW w:w="4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XYZH/2017BJA10522</w:t>
            </w:r>
          </w:p>
        </w:tc>
      </w:tr>
      <w:tr>
        <w:tblPrEx>
          <w:tblLayout w:type="fixed"/>
          <w:tblCellMar>
            <w:top w:w="0" w:type="dxa"/>
            <w:left w:w="28" w:type="dxa"/>
            <w:bottom w:w="0" w:type="dxa"/>
            <w:right w:w="28" w:type="dxa"/>
          </w:tblCellMar>
        </w:tblPrEx>
        <w:tc>
          <w:tcPr>
            <w:tcW w:w="478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注册会计师姓名</w:t>
            </w:r>
          </w:p>
        </w:tc>
        <w:tc>
          <w:tcPr>
            <w:tcW w:w="4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树新、唐静</w:t>
            </w:r>
          </w:p>
        </w:tc>
      </w:tr>
    </w:tbl>
    <w:p>
      <w:pPr>
        <w:jc w:val="center"/>
        <w:rPr>
          <w:sz w:val="21"/>
          <w:szCs w:val="21"/>
        </w:rPr>
      </w:pPr>
      <w:r>
        <w:rPr>
          <w:rFonts w:hint="eastAsia"/>
          <w:sz w:val="21"/>
          <w:szCs w:val="21"/>
        </w:rPr>
        <w:t>审计报告正文</w:t>
      </w:r>
    </w:p>
    <w:p>
      <w:pPr>
        <w:jc w:val="center"/>
        <w:rPr>
          <w:b/>
          <w:sz w:val="28"/>
          <w:szCs w:val="28"/>
        </w:rPr>
      </w:pPr>
      <w:r>
        <w:rPr>
          <w:rFonts w:hint="eastAsia"/>
          <w:b/>
          <w:sz w:val="28"/>
          <w:szCs w:val="28"/>
        </w:rPr>
        <w:t>审计报告</w:t>
      </w:r>
    </w:p>
    <w:p>
      <w:pPr>
        <w:jc w:val="right"/>
        <w:rPr>
          <w:b/>
          <w:sz w:val="28"/>
          <w:szCs w:val="28"/>
        </w:rPr>
      </w:pPr>
      <w:r>
        <w:rPr>
          <w:sz w:val="21"/>
          <w:szCs w:val="21"/>
        </w:rPr>
        <w:t>XYZH/2017BJA10522</w:t>
      </w:r>
    </w:p>
    <w:p>
      <w:pPr>
        <w:autoSpaceDE w:val="0"/>
        <w:autoSpaceDN w:val="0"/>
        <w:adjustRightInd w:val="0"/>
        <w:spacing w:before="0" w:after="0"/>
        <w:rPr>
          <w:rFonts w:eastAsia="Times New Roman"/>
          <w:b/>
          <w:kern w:val="0"/>
          <w:sz w:val="24"/>
          <w:szCs w:val="24"/>
          <w:lang w:val="zh-CN"/>
        </w:rPr>
      </w:pPr>
      <w:r>
        <w:rPr>
          <w:rFonts w:hint="eastAsia" w:ascii="宋体" w:hAnsi="宋体" w:cs="宋体"/>
          <w:b/>
          <w:kern w:val="0"/>
          <w:sz w:val="24"/>
          <w:szCs w:val="24"/>
          <w:lang w:val="zh-CN"/>
        </w:rPr>
        <w:t>北京海兰信数据科技股份有限公司全体股东：</w:t>
      </w:r>
      <w:r>
        <w:rPr>
          <w:rFonts w:eastAsia="Times New Roman"/>
          <w:b/>
          <w:kern w:val="0"/>
          <w:sz w:val="24"/>
          <w:szCs w:val="24"/>
          <w:lang w:val="zh-CN"/>
        </w:rPr>
        <w:t xml:space="preserve"> </w:t>
      </w:r>
    </w:p>
    <w:p>
      <w:pPr>
        <w:autoSpaceDE w:val="0"/>
        <w:autoSpaceDN w:val="0"/>
        <w:adjustRightInd w:val="0"/>
        <w:spacing w:before="240" w:after="0" w:line="360" w:lineRule="auto"/>
        <w:ind w:firstLine="420" w:firstLineChars="200"/>
        <w:rPr>
          <w:rFonts w:eastAsia="Times New Roman"/>
          <w:kern w:val="0"/>
          <w:sz w:val="21"/>
          <w:szCs w:val="21"/>
          <w:lang w:val="zh-CN"/>
        </w:rPr>
      </w:pPr>
      <w:r>
        <w:rPr>
          <w:rFonts w:hint="eastAsia" w:ascii="宋体" w:hAnsi="宋体" w:cs="宋体"/>
          <w:kern w:val="0"/>
          <w:sz w:val="21"/>
          <w:szCs w:val="21"/>
          <w:lang w:val="zh-CN"/>
        </w:rPr>
        <w:t>我们审计了后附的北京海兰信数据科技股份有限公司（以下简称海兰信股份公司）财务报表，包括</w:t>
      </w:r>
      <w:r>
        <w:rPr>
          <w:rFonts w:eastAsia="Times New Roman"/>
          <w:kern w:val="0"/>
          <w:sz w:val="21"/>
          <w:szCs w:val="21"/>
          <w:lang w:val="zh-CN"/>
        </w:rPr>
        <w:t>2016</w:t>
      </w:r>
      <w:r>
        <w:rPr>
          <w:rFonts w:hint="eastAsia" w:ascii="宋体" w:hAnsi="宋体" w:cs="宋体"/>
          <w:kern w:val="0"/>
          <w:sz w:val="21"/>
          <w:szCs w:val="21"/>
          <w:lang w:val="zh-CN"/>
        </w:rPr>
        <w:t>年</w:t>
      </w:r>
      <w:r>
        <w:rPr>
          <w:rFonts w:eastAsia="Times New Roman"/>
          <w:kern w:val="0"/>
          <w:sz w:val="21"/>
          <w:szCs w:val="21"/>
          <w:lang w:val="zh-CN"/>
        </w:rPr>
        <w:t>12</w:t>
      </w:r>
      <w:r>
        <w:rPr>
          <w:rFonts w:hint="eastAsia" w:ascii="宋体" w:hAnsi="宋体" w:cs="宋体"/>
          <w:kern w:val="0"/>
          <w:sz w:val="21"/>
          <w:szCs w:val="21"/>
          <w:lang w:val="zh-CN"/>
        </w:rPr>
        <w:t>月</w:t>
      </w:r>
      <w:r>
        <w:rPr>
          <w:rFonts w:eastAsia="Times New Roman"/>
          <w:kern w:val="0"/>
          <w:sz w:val="21"/>
          <w:szCs w:val="21"/>
          <w:lang w:val="zh-CN"/>
        </w:rPr>
        <w:t>31</w:t>
      </w:r>
      <w:r>
        <w:rPr>
          <w:rFonts w:hint="eastAsia" w:ascii="宋体" w:hAnsi="宋体" w:cs="宋体"/>
          <w:kern w:val="0"/>
          <w:sz w:val="21"/>
          <w:szCs w:val="21"/>
          <w:lang w:val="zh-CN"/>
        </w:rPr>
        <w:t>日的合并及母公司资产负债表，</w:t>
      </w:r>
      <w:r>
        <w:rPr>
          <w:rFonts w:eastAsia="Times New Roman"/>
          <w:kern w:val="0"/>
          <w:sz w:val="21"/>
          <w:szCs w:val="21"/>
          <w:lang w:val="zh-CN"/>
        </w:rPr>
        <w:t>2016</w:t>
      </w:r>
      <w:r>
        <w:rPr>
          <w:rFonts w:hint="eastAsia" w:ascii="宋体" w:hAnsi="宋体" w:cs="宋体"/>
          <w:kern w:val="0"/>
          <w:sz w:val="21"/>
          <w:szCs w:val="21"/>
          <w:lang w:val="zh-CN"/>
        </w:rPr>
        <w:t>年度的合并及母公司利润表、合并及母公司现金流量表、合并及母公司股东权益变动表以及财务报表附注。</w:t>
      </w:r>
    </w:p>
    <w:p>
      <w:pPr>
        <w:autoSpaceDE w:val="0"/>
        <w:autoSpaceDN w:val="0"/>
        <w:adjustRightInd w:val="0"/>
        <w:spacing w:before="240" w:after="0"/>
        <w:ind w:firstLine="331"/>
        <w:rPr>
          <w:rFonts w:eastAsia="Times New Roman"/>
          <w:b/>
          <w:kern w:val="0"/>
          <w:sz w:val="24"/>
          <w:szCs w:val="24"/>
          <w:lang w:val="zh-CN"/>
        </w:rPr>
      </w:pPr>
      <w:r>
        <w:rPr>
          <w:rFonts w:hint="eastAsia" w:ascii="宋体" w:hAnsi="宋体" w:cs="宋体"/>
          <w:b/>
          <w:kern w:val="0"/>
          <w:sz w:val="24"/>
          <w:szCs w:val="24"/>
          <w:lang w:val="zh-CN"/>
        </w:rPr>
        <w:t>一、管理层对财务报表的责任</w:t>
      </w:r>
      <w:r>
        <w:rPr>
          <w:rFonts w:eastAsia="Times New Roman"/>
          <w:b/>
          <w:kern w:val="0"/>
          <w:sz w:val="24"/>
          <w:szCs w:val="24"/>
          <w:lang w:val="zh-CN"/>
        </w:rPr>
        <w:t xml:space="preserve"> </w:t>
      </w:r>
    </w:p>
    <w:p>
      <w:pPr>
        <w:autoSpaceDE w:val="0"/>
        <w:autoSpaceDN w:val="0"/>
        <w:adjustRightInd w:val="0"/>
        <w:spacing w:before="240" w:after="0" w:line="360" w:lineRule="auto"/>
        <w:ind w:firstLine="420" w:firstLineChars="200"/>
        <w:rPr>
          <w:rFonts w:ascii="宋体" w:hAnsi="宋体" w:cs="宋体"/>
          <w:kern w:val="0"/>
          <w:sz w:val="21"/>
          <w:szCs w:val="21"/>
          <w:lang w:val="zh-CN"/>
        </w:rPr>
      </w:pPr>
      <w:r>
        <w:rPr>
          <w:rFonts w:hint="eastAsia" w:ascii="宋体" w:hAnsi="宋体" w:cs="宋体"/>
          <w:kern w:val="0"/>
          <w:sz w:val="21"/>
          <w:szCs w:val="21"/>
          <w:lang w:val="zh-CN"/>
        </w:rPr>
        <w:t>编制和公允列报财务报表是海兰信股份公司管理层的责任，这种责任包括：（</w:t>
      </w:r>
      <w:r>
        <w:rPr>
          <w:rFonts w:ascii="宋体" w:hAnsi="宋体" w:cs="宋体"/>
          <w:kern w:val="0"/>
          <w:sz w:val="21"/>
          <w:szCs w:val="21"/>
          <w:lang w:val="zh-CN"/>
        </w:rPr>
        <w:t>1</w:t>
      </w:r>
      <w:r>
        <w:rPr>
          <w:rFonts w:hint="eastAsia" w:ascii="宋体" w:hAnsi="宋体" w:cs="宋体"/>
          <w:kern w:val="0"/>
          <w:sz w:val="21"/>
          <w:szCs w:val="21"/>
          <w:lang w:val="zh-CN"/>
        </w:rPr>
        <w:t>）按照企业会计准则的规定编制财务报表，并使其实现公允反映；（</w:t>
      </w:r>
      <w:r>
        <w:rPr>
          <w:rFonts w:ascii="宋体" w:hAnsi="宋体" w:cs="宋体"/>
          <w:kern w:val="0"/>
          <w:sz w:val="21"/>
          <w:szCs w:val="21"/>
          <w:lang w:val="zh-CN"/>
        </w:rPr>
        <w:t>2</w:t>
      </w:r>
      <w:r>
        <w:rPr>
          <w:rFonts w:hint="eastAsia" w:ascii="宋体" w:hAnsi="宋体" w:cs="宋体"/>
          <w:kern w:val="0"/>
          <w:sz w:val="21"/>
          <w:szCs w:val="21"/>
          <w:lang w:val="zh-CN"/>
        </w:rPr>
        <w:t>）设计、执行和维护必要的内部控制，以使财务报表不存在由于舞弊或错误导致的重大错报。</w:t>
      </w:r>
      <w:r>
        <w:rPr>
          <w:rFonts w:ascii="宋体" w:hAnsi="宋体" w:cs="宋体"/>
          <w:kern w:val="0"/>
          <w:sz w:val="21"/>
          <w:szCs w:val="21"/>
          <w:lang w:val="zh-CN"/>
        </w:rPr>
        <w:t xml:space="preserve"> </w:t>
      </w:r>
    </w:p>
    <w:p>
      <w:pPr>
        <w:autoSpaceDE w:val="0"/>
        <w:autoSpaceDN w:val="0"/>
        <w:adjustRightInd w:val="0"/>
        <w:spacing w:before="240" w:after="0"/>
        <w:ind w:firstLine="331"/>
        <w:rPr>
          <w:rFonts w:eastAsia="Times New Roman"/>
          <w:b/>
          <w:kern w:val="0"/>
          <w:sz w:val="24"/>
          <w:szCs w:val="24"/>
          <w:lang w:val="zh-CN"/>
        </w:rPr>
      </w:pPr>
      <w:r>
        <w:rPr>
          <w:rFonts w:hint="eastAsia" w:ascii="宋体" w:hAnsi="宋体" w:cs="宋体"/>
          <w:b/>
          <w:kern w:val="0"/>
          <w:sz w:val="24"/>
          <w:szCs w:val="24"/>
          <w:lang w:val="zh-CN"/>
        </w:rPr>
        <w:t>二、注册会计师的责任</w:t>
      </w:r>
    </w:p>
    <w:p>
      <w:pPr>
        <w:autoSpaceDE w:val="0"/>
        <w:autoSpaceDN w:val="0"/>
        <w:adjustRightInd w:val="0"/>
        <w:spacing w:before="240" w:after="0" w:line="360" w:lineRule="auto"/>
        <w:ind w:firstLine="420" w:firstLineChars="200"/>
        <w:rPr>
          <w:rFonts w:ascii="宋体" w:hAnsi="宋体" w:cs="宋体"/>
          <w:kern w:val="0"/>
          <w:sz w:val="21"/>
          <w:szCs w:val="21"/>
          <w:lang w:val="zh-CN"/>
        </w:rPr>
      </w:pPr>
      <w:r>
        <w:rPr>
          <w:rFonts w:hint="eastAsia" w:ascii="宋体" w:hAnsi="宋体" w:cs="宋体"/>
          <w:kern w:val="0"/>
          <w:sz w:val="21"/>
          <w:szCs w:val="21"/>
          <w:lang w:val="zh-CN"/>
        </w:rPr>
        <w:t>我们的责任是在执行审计工作的基础上对财务报表发表审计意见。我们按照中国注册会计师审计准则的规定执行了审计工作。中国注册会计师审计准则要求我们遵守职业道德守则，计划和执行审计工作以对财务报表是否不存在重大错报获取合理保证。</w:t>
      </w:r>
      <w:r>
        <w:rPr>
          <w:rFonts w:ascii="宋体" w:hAnsi="宋体" w:cs="宋体"/>
          <w:kern w:val="0"/>
          <w:sz w:val="21"/>
          <w:szCs w:val="21"/>
          <w:lang w:val="zh-CN"/>
        </w:rPr>
        <w:t xml:space="preserve"> </w:t>
      </w:r>
    </w:p>
    <w:p>
      <w:pPr>
        <w:autoSpaceDE w:val="0"/>
        <w:autoSpaceDN w:val="0"/>
        <w:adjustRightInd w:val="0"/>
        <w:spacing w:before="240" w:after="0" w:line="360" w:lineRule="auto"/>
        <w:ind w:firstLine="420" w:firstLineChars="200"/>
        <w:rPr>
          <w:rFonts w:ascii="宋体" w:hAnsi="宋体" w:cs="宋体"/>
          <w:kern w:val="0"/>
          <w:sz w:val="21"/>
          <w:szCs w:val="21"/>
          <w:lang w:val="zh-CN"/>
        </w:rPr>
      </w:pPr>
      <w:r>
        <w:rPr>
          <w:rFonts w:hint="eastAsia" w:ascii="宋体" w:hAnsi="宋体" w:cs="宋体"/>
          <w:kern w:val="0"/>
          <w:sz w:val="21"/>
          <w:szCs w:val="21"/>
          <w:lang w:val="zh-CN"/>
        </w:rPr>
        <w:t>审计工作涉及实施审计程序，以获取有关财务报表金额和披露的审计证据。选择的审计程序取决于注册会计师的判断，包括对由于舞弊或错误导致的财务报表重大错报风险的评估。在进行风险评估时，注册会计师考虑与财务报表编制和公允列报相关的内部控制，以设计恰当的审计程序。审计工作还包括评价管理层选用会计政策的恰当性和作出会计估计的合理性，以及评价财务报表的总体列报。</w:t>
      </w:r>
      <w:r>
        <w:rPr>
          <w:rFonts w:ascii="宋体" w:hAnsi="宋体" w:cs="宋体"/>
          <w:kern w:val="0"/>
          <w:sz w:val="21"/>
          <w:szCs w:val="21"/>
          <w:lang w:val="zh-CN"/>
        </w:rPr>
        <w:t xml:space="preserve"> </w:t>
      </w:r>
    </w:p>
    <w:p>
      <w:pPr>
        <w:autoSpaceDE w:val="0"/>
        <w:autoSpaceDN w:val="0"/>
        <w:adjustRightInd w:val="0"/>
        <w:spacing w:before="240" w:after="0" w:line="360" w:lineRule="auto"/>
        <w:ind w:firstLine="420" w:firstLineChars="200"/>
        <w:rPr>
          <w:rFonts w:ascii="宋体" w:hAnsi="宋体" w:cs="宋体"/>
          <w:kern w:val="0"/>
          <w:sz w:val="21"/>
          <w:szCs w:val="21"/>
          <w:lang w:val="zh-CN"/>
        </w:rPr>
      </w:pPr>
      <w:r>
        <w:rPr>
          <w:rFonts w:hint="eastAsia" w:ascii="宋体" w:hAnsi="宋体" w:cs="宋体"/>
          <w:kern w:val="0"/>
          <w:sz w:val="21"/>
          <w:szCs w:val="21"/>
          <w:lang w:val="zh-CN"/>
        </w:rPr>
        <w:t>我们相信，我们获取的审计证据是充分、适当的，为发表审计意见提供了基础。</w:t>
      </w:r>
      <w:r>
        <w:rPr>
          <w:rFonts w:ascii="宋体" w:hAnsi="宋体" w:cs="宋体"/>
          <w:kern w:val="0"/>
          <w:sz w:val="21"/>
          <w:szCs w:val="21"/>
          <w:lang w:val="zh-CN"/>
        </w:rPr>
        <w:t xml:space="preserve"> </w:t>
      </w:r>
    </w:p>
    <w:p>
      <w:pPr>
        <w:numPr>
          <w:ilvl w:val="0"/>
          <w:numId w:val="1"/>
        </w:numPr>
        <w:autoSpaceDE w:val="0"/>
        <w:autoSpaceDN w:val="0"/>
        <w:adjustRightInd w:val="0"/>
        <w:spacing w:before="240" w:after="0"/>
        <w:ind w:left="870" w:hanging="360"/>
        <w:rPr>
          <w:rFonts w:eastAsia="Times New Roman"/>
          <w:b/>
          <w:kern w:val="0"/>
          <w:sz w:val="22"/>
          <w:szCs w:val="24"/>
          <w:lang w:val="zh-CN"/>
        </w:rPr>
      </w:pPr>
      <w:r>
        <w:rPr>
          <w:rFonts w:hint="eastAsia" w:ascii="宋体" w:hAnsi="宋体" w:cs="宋体"/>
          <w:b/>
          <w:kern w:val="0"/>
          <w:sz w:val="22"/>
          <w:szCs w:val="24"/>
          <w:lang w:val="zh-CN"/>
        </w:rPr>
        <w:t>审计意见</w:t>
      </w:r>
      <w:r>
        <w:rPr>
          <w:rFonts w:eastAsia="Times New Roman"/>
          <w:b/>
          <w:kern w:val="0"/>
          <w:sz w:val="22"/>
          <w:szCs w:val="24"/>
          <w:lang w:val="zh-CN"/>
        </w:rPr>
        <w:t xml:space="preserve"> </w:t>
      </w:r>
    </w:p>
    <w:p>
      <w:pPr>
        <w:autoSpaceDE w:val="0"/>
        <w:autoSpaceDN w:val="0"/>
        <w:adjustRightInd w:val="0"/>
        <w:spacing w:before="240" w:after="0" w:line="360" w:lineRule="auto"/>
        <w:ind w:firstLine="420" w:firstLineChars="200"/>
        <w:rPr>
          <w:rFonts w:ascii="宋体" w:hAnsi="宋体" w:cs="宋体"/>
          <w:kern w:val="0"/>
          <w:sz w:val="21"/>
          <w:szCs w:val="21"/>
          <w:lang w:val="zh-CN"/>
        </w:rPr>
      </w:pPr>
      <w:r>
        <w:rPr>
          <w:rFonts w:hint="eastAsia" w:ascii="宋体" w:hAnsi="宋体" w:cs="宋体"/>
          <w:kern w:val="0"/>
          <w:sz w:val="21"/>
          <w:szCs w:val="21"/>
          <w:lang w:val="zh-CN"/>
        </w:rPr>
        <w:t>我们认为，海兰信股份公司财务报表在所有重大方面按照企业会计准则的规定编制，公允反映了海兰信股份公司</w:t>
      </w:r>
      <w:r>
        <w:rPr>
          <w:rFonts w:ascii="宋体" w:hAnsi="宋体" w:cs="宋体"/>
          <w:kern w:val="0"/>
          <w:sz w:val="21"/>
          <w:szCs w:val="21"/>
          <w:lang w:val="zh-CN"/>
        </w:rPr>
        <w:t>2016</w:t>
      </w:r>
      <w:r>
        <w:rPr>
          <w:rFonts w:hint="eastAsia" w:ascii="宋体" w:hAnsi="宋体" w:cs="宋体"/>
          <w:kern w:val="0"/>
          <w:sz w:val="21"/>
          <w:szCs w:val="21"/>
          <w:lang w:val="zh-CN"/>
        </w:rPr>
        <w:t>年</w:t>
      </w:r>
      <w:r>
        <w:rPr>
          <w:rFonts w:ascii="宋体" w:hAnsi="宋体" w:cs="宋体"/>
          <w:kern w:val="0"/>
          <w:sz w:val="21"/>
          <w:szCs w:val="21"/>
          <w:lang w:val="zh-CN"/>
        </w:rPr>
        <w:t>12</w:t>
      </w:r>
      <w:r>
        <w:rPr>
          <w:rFonts w:hint="eastAsia" w:ascii="宋体" w:hAnsi="宋体" w:cs="宋体"/>
          <w:kern w:val="0"/>
          <w:sz w:val="21"/>
          <w:szCs w:val="21"/>
          <w:lang w:val="zh-CN"/>
        </w:rPr>
        <w:t>月</w:t>
      </w:r>
      <w:r>
        <w:rPr>
          <w:rFonts w:ascii="宋体" w:hAnsi="宋体" w:cs="宋体"/>
          <w:kern w:val="0"/>
          <w:sz w:val="21"/>
          <w:szCs w:val="21"/>
          <w:lang w:val="zh-CN"/>
        </w:rPr>
        <w:t>31</w:t>
      </w:r>
      <w:r>
        <w:rPr>
          <w:rFonts w:hint="eastAsia" w:ascii="宋体" w:hAnsi="宋体" w:cs="宋体"/>
          <w:kern w:val="0"/>
          <w:sz w:val="21"/>
          <w:szCs w:val="21"/>
          <w:lang w:val="zh-CN"/>
        </w:rPr>
        <w:t>日的合并及母公司财务状况以及</w:t>
      </w:r>
      <w:r>
        <w:rPr>
          <w:rFonts w:ascii="宋体" w:hAnsi="宋体" w:cs="宋体"/>
          <w:kern w:val="0"/>
          <w:sz w:val="21"/>
          <w:szCs w:val="21"/>
          <w:lang w:val="zh-CN"/>
        </w:rPr>
        <w:t>2016</w:t>
      </w:r>
      <w:r>
        <w:rPr>
          <w:rFonts w:hint="eastAsia" w:ascii="宋体" w:hAnsi="宋体" w:cs="宋体"/>
          <w:kern w:val="0"/>
          <w:sz w:val="21"/>
          <w:szCs w:val="21"/>
          <w:lang w:val="zh-CN"/>
        </w:rPr>
        <w:t>年度的合并及母公司经营成果和现金流量。</w:t>
      </w:r>
      <w:r>
        <w:rPr>
          <w:rFonts w:ascii="宋体" w:hAnsi="宋体" w:cs="宋体"/>
          <w:kern w:val="0"/>
          <w:sz w:val="21"/>
          <w:szCs w:val="21"/>
          <w:lang w:val="zh-CN"/>
        </w:rPr>
        <w:t xml:space="preserve"> </w:t>
      </w:r>
    </w:p>
    <w:p>
      <w:pPr>
        <w:autoSpaceDE w:val="0"/>
        <w:autoSpaceDN w:val="0"/>
        <w:adjustRightInd w:val="0"/>
        <w:spacing w:before="240" w:after="0" w:line="360" w:lineRule="auto"/>
        <w:ind w:firstLine="420" w:firstLineChars="200"/>
        <w:rPr>
          <w:rFonts w:ascii="宋体" w:hAnsi="宋体" w:cs="宋体"/>
          <w:kern w:val="0"/>
          <w:sz w:val="21"/>
          <w:szCs w:val="21"/>
          <w:lang w:val="zh-CN"/>
        </w:rPr>
      </w:pPr>
    </w:p>
    <w:p>
      <w:pPr>
        <w:autoSpaceDE w:val="0"/>
        <w:autoSpaceDN w:val="0"/>
        <w:adjustRightInd w:val="0"/>
        <w:spacing w:before="0" w:after="0"/>
        <w:rPr>
          <w:rFonts w:eastAsia="Times New Roman"/>
          <w:kern w:val="0"/>
          <w:sz w:val="22"/>
          <w:szCs w:val="24"/>
          <w:lang w:val="zh-CN"/>
        </w:rPr>
      </w:pPr>
    </w:p>
    <w:p>
      <w:pPr>
        <w:autoSpaceDE w:val="0"/>
        <w:autoSpaceDN w:val="0"/>
        <w:adjustRightInd w:val="0"/>
        <w:spacing w:before="0" w:after="0"/>
        <w:rPr>
          <w:kern w:val="0"/>
          <w:sz w:val="22"/>
          <w:szCs w:val="24"/>
          <w:lang w:val="zh-CN"/>
        </w:rPr>
      </w:pPr>
    </w:p>
    <w:p>
      <w:pPr>
        <w:autoSpaceDE w:val="0"/>
        <w:autoSpaceDN w:val="0"/>
        <w:adjustRightInd w:val="0"/>
        <w:spacing w:before="0" w:after="0"/>
        <w:rPr>
          <w:kern w:val="0"/>
          <w:sz w:val="22"/>
          <w:szCs w:val="24"/>
          <w:lang w:val="zh-CN"/>
        </w:rPr>
      </w:pPr>
    </w:p>
    <w:p>
      <w:pPr>
        <w:autoSpaceDE w:val="0"/>
        <w:autoSpaceDN w:val="0"/>
        <w:adjustRightInd w:val="0"/>
        <w:spacing w:before="0" w:after="0"/>
        <w:rPr>
          <w:kern w:val="0"/>
          <w:sz w:val="22"/>
          <w:szCs w:val="24"/>
          <w:lang w:val="zh-CN"/>
        </w:rPr>
      </w:pPr>
    </w:p>
    <w:p>
      <w:pPr>
        <w:autoSpaceDE w:val="0"/>
        <w:autoSpaceDN w:val="0"/>
        <w:adjustRightInd w:val="0"/>
        <w:spacing w:before="0" w:after="0"/>
        <w:rPr>
          <w:kern w:val="0"/>
          <w:sz w:val="22"/>
          <w:szCs w:val="24"/>
          <w:lang w:val="zh-CN"/>
        </w:rPr>
      </w:pPr>
    </w:p>
    <w:p>
      <w:pPr>
        <w:autoSpaceDE w:val="0"/>
        <w:autoSpaceDN w:val="0"/>
        <w:adjustRightInd w:val="0"/>
        <w:spacing w:before="0" w:after="0"/>
        <w:rPr>
          <w:kern w:val="0"/>
          <w:sz w:val="22"/>
          <w:szCs w:val="24"/>
          <w:lang w:val="zh-CN"/>
        </w:rPr>
      </w:pPr>
    </w:p>
    <w:p>
      <w:pPr>
        <w:autoSpaceDE w:val="0"/>
        <w:autoSpaceDN w:val="0"/>
        <w:adjustRightInd w:val="0"/>
        <w:spacing w:before="0" w:after="0"/>
        <w:rPr>
          <w:kern w:val="0"/>
          <w:sz w:val="22"/>
          <w:szCs w:val="24"/>
          <w:lang w:val="zh-CN"/>
        </w:rPr>
      </w:pPr>
    </w:p>
    <w:p>
      <w:pPr>
        <w:autoSpaceDE w:val="0"/>
        <w:autoSpaceDN w:val="0"/>
        <w:adjustRightInd w:val="0"/>
        <w:spacing w:before="0" w:after="0"/>
        <w:rPr>
          <w:rFonts w:eastAsia="Times New Roman"/>
          <w:kern w:val="0"/>
          <w:sz w:val="22"/>
          <w:szCs w:val="24"/>
          <w:lang w:val="zh-CN"/>
        </w:rPr>
      </w:pPr>
    </w:p>
    <w:p>
      <w:pPr>
        <w:autoSpaceDE w:val="0"/>
        <w:autoSpaceDN w:val="0"/>
        <w:adjustRightInd w:val="0"/>
        <w:spacing w:before="0" w:after="0"/>
        <w:rPr>
          <w:rFonts w:eastAsia="Times New Roman"/>
          <w:kern w:val="0"/>
          <w:sz w:val="22"/>
          <w:szCs w:val="24"/>
          <w:lang w:val="zh-CN"/>
        </w:rPr>
      </w:pPr>
    </w:p>
    <w:tbl>
      <w:tblPr>
        <w:tblStyle w:val="8"/>
        <w:tblW w:w="7338" w:type="dxa"/>
        <w:tblInd w:w="10" w:type="dxa"/>
        <w:tblLayout w:type="fixed"/>
        <w:tblCellMar>
          <w:top w:w="10" w:type="dxa"/>
          <w:left w:w="10" w:type="dxa"/>
          <w:bottom w:w="10" w:type="dxa"/>
          <w:right w:w="10" w:type="dxa"/>
        </w:tblCellMar>
      </w:tblPr>
      <w:tblGrid>
        <w:gridCol w:w="4068"/>
        <w:gridCol w:w="540"/>
        <w:gridCol w:w="2730"/>
      </w:tblGrid>
      <w:tr>
        <w:tblPrEx>
          <w:tblLayout w:type="fixed"/>
          <w:tblCellMar>
            <w:top w:w="10" w:type="dxa"/>
            <w:left w:w="10" w:type="dxa"/>
            <w:bottom w:w="10" w:type="dxa"/>
            <w:right w:w="10" w:type="dxa"/>
          </w:tblCellMar>
        </w:tblPrEx>
        <w:tc>
          <w:tcPr>
            <w:tcW w:w="4068" w:type="dxa"/>
            <w:tcBorders>
              <w:top w:val="nil"/>
              <w:left w:val="nil"/>
              <w:bottom w:val="nil"/>
              <w:right w:val="nil"/>
            </w:tcBorders>
          </w:tcPr>
          <w:p>
            <w:pPr>
              <w:autoSpaceDE w:val="0"/>
              <w:autoSpaceDN w:val="0"/>
              <w:adjustRightInd w:val="0"/>
              <w:spacing w:before="0" w:after="0"/>
              <w:jc w:val="center"/>
              <w:rPr>
                <w:rFonts w:eastAsia="Times New Roman"/>
                <w:kern w:val="0"/>
                <w:sz w:val="21"/>
                <w:szCs w:val="21"/>
                <w:lang w:val="zh-CN"/>
              </w:rPr>
            </w:pPr>
            <w:r>
              <w:rPr>
                <w:rFonts w:hint="eastAsia" w:ascii="宋体" w:hAnsi="宋体" w:cs="宋体"/>
                <w:kern w:val="0"/>
                <w:sz w:val="21"/>
                <w:szCs w:val="21"/>
                <w:lang w:val="zh-CN"/>
              </w:rPr>
              <w:t>信永中和会计师事务所（特殊普通合伙）</w:t>
            </w:r>
          </w:p>
        </w:tc>
        <w:tc>
          <w:tcPr>
            <w:tcW w:w="540" w:type="dxa"/>
            <w:tcBorders>
              <w:top w:val="nil"/>
              <w:left w:val="nil"/>
              <w:bottom w:val="nil"/>
              <w:right w:val="nil"/>
            </w:tcBorders>
          </w:tcPr>
          <w:p>
            <w:pPr>
              <w:autoSpaceDE w:val="0"/>
              <w:autoSpaceDN w:val="0"/>
              <w:adjustRightInd w:val="0"/>
              <w:spacing w:before="0" w:after="0"/>
              <w:rPr>
                <w:rFonts w:eastAsia="Times New Roman"/>
                <w:kern w:val="0"/>
                <w:sz w:val="21"/>
                <w:szCs w:val="21"/>
                <w:lang w:val="zh-CN"/>
              </w:rPr>
            </w:pPr>
          </w:p>
        </w:tc>
        <w:tc>
          <w:tcPr>
            <w:tcW w:w="2730" w:type="dxa"/>
            <w:tcBorders>
              <w:top w:val="nil"/>
              <w:left w:val="nil"/>
              <w:bottom w:val="nil"/>
              <w:right w:val="nil"/>
            </w:tcBorders>
          </w:tcPr>
          <w:p>
            <w:pPr>
              <w:autoSpaceDE w:val="0"/>
              <w:autoSpaceDN w:val="0"/>
              <w:adjustRightInd w:val="0"/>
              <w:spacing w:before="0" w:after="0"/>
              <w:rPr>
                <w:rFonts w:eastAsia="Times New Roman"/>
                <w:kern w:val="0"/>
                <w:sz w:val="21"/>
                <w:szCs w:val="21"/>
                <w:lang w:val="zh-CN"/>
              </w:rPr>
            </w:pPr>
            <w:r>
              <w:rPr>
                <w:rFonts w:hint="eastAsia" w:ascii="宋体" w:hAnsi="宋体" w:cs="宋体"/>
                <w:kern w:val="0"/>
                <w:sz w:val="21"/>
                <w:szCs w:val="21"/>
                <w:lang w:val="zh-CN"/>
              </w:rPr>
              <w:t>中国注册会计师：</w:t>
            </w:r>
          </w:p>
        </w:tc>
      </w:tr>
      <w:tr>
        <w:tblPrEx>
          <w:tblLayout w:type="fixed"/>
          <w:tblCellMar>
            <w:top w:w="10" w:type="dxa"/>
            <w:left w:w="10" w:type="dxa"/>
            <w:bottom w:w="10" w:type="dxa"/>
            <w:right w:w="10" w:type="dxa"/>
          </w:tblCellMar>
        </w:tblPrEx>
        <w:tc>
          <w:tcPr>
            <w:tcW w:w="4068" w:type="dxa"/>
            <w:tcBorders>
              <w:top w:val="nil"/>
              <w:left w:val="nil"/>
              <w:bottom w:val="nil"/>
              <w:right w:val="nil"/>
            </w:tcBorders>
          </w:tcPr>
          <w:p>
            <w:pPr>
              <w:autoSpaceDE w:val="0"/>
              <w:autoSpaceDN w:val="0"/>
              <w:adjustRightInd w:val="0"/>
              <w:spacing w:before="0" w:after="0"/>
              <w:jc w:val="center"/>
              <w:rPr>
                <w:rFonts w:eastAsia="Times New Roman"/>
                <w:kern w:val="0"/>
                <w:sz w:val="21"/>
                <w:szCs w:val="21"/>
                <w:lang w:val="zh-CN"/>
              </w:rPr>
            </w:pPr>
          </w:p>
        </w:tc>
        <w:tc>
          <w:tcPr>
            <w:tcW w:w="540" w:type="dxa"/>
            <w:tcBorders>
              <w:top w:val="nil"/>
              <w:left w:val="nil"/>
              <w:bottom w:val="nil"/>
              <w:right w:val="nil"/>
            </w:tcBorders>
          </w:tcPr>
          <w:p>
            <w:pPr>
              <w:autoSpaceDE w:val="0"/>
              <w:autoSpaceDN w:val="0"/>
              <w:adjustRightInd w:val="0"/>
              <w:spacing w:before="0" w:after="0"/>
              <w:rPr>
                <w:rFonts w:eastAsia="Times New Roman"/>
                <w:kern w:val="0"/>
                <w:sz w:val="21"/>
                <w:szCs w:val="21"/>
                <w:lang w:val="zh-CN"/>
              </w:rPr>
            </w:pPr>
          </w:p>
        </w:tc>
        <w:tc>
          <w:tcPr>
            <w:tcW w:w="2730" w:type="dxa"/>
            <w:tcBorders>
              <w:top w:val="nil"/>
              <w:left w:val="nil"/>
              <w:bottom w:val="nil"/>
              <w:right w:val="nil"/>
            </w:tcBorders>
          </w:tcPr>
          <w:p>
            <w:pPr>
              <w:autoSpaceDE w:val="0"/>
              <w:autoSpaceDN w:val="0"/>
              <w:adjustRightInd w:val="0"/>
              <w:spacing w:before="0" w:after="0"/>
              <w:rPr>
                <w:rFonts w:eastAsia="Times New Roman"/>
                <w:kern w:val="0"/>
                <w:sz w:val="21"/>
                <w:szCs w:val="21"/>
                <w:lang w:val="zh-CN"/>
              </w:rPr>
            </w:pPr>
          </w:p>
          <w:p>
            <w:pPr>
              <w:autoSpaceDE w:val="0"/>
              <w:autoSpaceDN w:val="0"/>
              <w:adjustRightInd w:val="0"/>
              <w:spacing w:before="0" w:after="0"/>
              <w:rPr>
                <w:rFonts w:eastAsia="Times New Roman"/>
                <w:kern w:val="0"/>
                <w:sz w:val="21"/>
                <w:szCs w:val="21"/>
                <w:lang w:val="zh-CN"/>
              </w:rPr>
            </w:pPr>
          </w:p>
        </w:tc>
      </w:tr>
      <w:tr>
        <w:tblPrEx>
          <w:tblLayout w:type="fixed"/>
          <w:tblCellMar>
            <w:top w:w="10" w:type="dxa"/>
            <w:left w:w="10" w:type="dxa"/>
            <w:bottom w:w="10" w:type="dxa"/>
            <w:right w:w="10" w:type="dxa"/>
          </w:tblCellMar>
        </w:tblPrEx>
        <w:tc>
          <w:tcPr>
            <w:tcW w:w="4068" w:type="dxa"/>
            <w:tcBorders>
              <w:top w:val="nil"/>
              <w:left w:val="nil"/>
              <w:bottom w:val="nil"/>
              <w:right w:val="nil"/>
            </w:tcBorders>
          </w:tcPr>
          <w:p>
            <w:pPr>
              <w:autoSpaceDE w:val="0"/>
              <w:autoSpaceDN w:val="0"/>
              <w:adjustRightInd w:val="0"/>
              <w:spacing w:before="0" w:after="0"/>
              <w:jc w:val="center"/>
              <w:rPr>
                <w:rFonts w:eastAsia="Times New Roman"/>
                <w:kern w:val="0"/>
                <w:sz w:val="21"/>
                <w:szCs w:val="21"/>
                <w:lang w:val="zh-CN"/>
              </w:rPr>
            </w:pPr>
          </w:p>
        </w:tc>
        <w:tc>
          <w:tcPr>
            <w:tcW w:w="540" w:type="dxa"/>
            <w:tcBorders>
              <w:top w:val="nil"/>
              <w:left w:val="nil"/>
              <w:bottom w:val="nil"/>
              <w:right w:val="nil"/>
            </w:tcBorders>
          </w:tcPr>
          <w:p>
            <w:pPr>
              <w:autoSpaceDE w:val="0"/>
              <w:autoSpaceDN w:val="0"/>
              <w:adjustRightInd w:val="0"/>
              <w:spacing w:before="0" w:after="0"/>
              <w:rPr>
                <w:rFonts w:eastAsia="Times New Roman"/>
                <w:kern w:val="0"/>
                <w:sz w:val="21"/>
                <w:szCs w:val="21"/>
                <w:lang w:val="zh-CN"/>
              </w:rPr>
            </w:pPr>
          </w:p>
        </w:tc>
        <w:tc>
          <w:tcPr>
            <w:tcW w:w="2730" w:type="dxa"/>
            <w:tcBorders>
              <w:top w:val="nil"/>
              <w:left w:val="nil"/>
              <w:bottom w:val="nil"/>
              <w:right w:val="nil"/>
            </w:tcBorders>
          </w:tcPr>
          <w:p>
            <w:pPr>
              <w:autoSpaceDE w:val="0"/>
              <w:autoSpaceDN w:val="0"/>
              <w:adjustRightInd w:val="0"/>
              <w:spacing w:before="0" w:after="0"/>
              <w:rPr>
                <w:rFonts w:eastAsia="Times New Roman"/>
                <w:kern w:val="0"/>
                <w:sz w:val="21"/>
                <w:szCs w:val="21"/>
                <w:lang w:val="zh-CN"/>
              </w:rPr>
            </w:pPr>
            <w:r>
              <w:rPr>
                <w:rFonts w:hint="eastAsia" w:ascii="宋体" w:hAnsi="宋体" w:cs="宋体"/>
                <w:kern w:val="0"/>
                <w:sz w:val="21"/>
                <w:szCs w:val="21"/>
                <w:lang w:val="zh-CN"/>
              </w:rPr>
              <w:t>中国注册会计师：</w:t>
            </w:r>
          </w:p>
        </w:tc>
      </w:tr>
      <w:tr>
        <w:tblPrEx>
          <w:tblLayout w:type="fixed"/>
          <w:tblCellMar>
            <w:top w:w="10" w:type="dxa"/>
            <w:left w:w="10" w:type="dxa"/>
            <w:bottom w:w="10" w:type="dxa"/>
            <w:right w:w="10" w:type="dxa"/>
          </w:tblCellMar>
        </w:tblPrEx>
        <w:tc>
          <w:tcPr>
            <w:tcW w:w="4068" w:type="dxa"/>
            <w:tcBorders>
              <w:top w:val="nil"/>
              <w:left w:val="nil"/>
              <w:bottom w:val="nil"/>
              <w:right w:val="nil"/>
            </w:tcBorders>
          </w:tcPr>
          <w:p>
            <w:pPr>
              <w:autoSpaceDE w:val="0"/>
              <w:autoSpaceDN w:val="0"/>
              <w:adjustRightInd w:val="0"/>
              <w:spacing w:before="0" w:after="0"/>
              <w:rPr>
                <w:rFonts w:eastAsia="Times New Roman"/>
                <w:kern w:val="0"/>
                <w:sz w:val="21"/>
                <w:szCs w:val="21"/>
                <w:lang w:val="zh-CN"/>
              </w:rPr>
            </w:pPr>
          </w:p>
        </w:tc>
        <w:tc>
          <w:tcPr>
            <w:tcW w:w="540" w:type="dxa"/>
            <w:tcBorders>
              <w:top w:val="nil"/>
              <w:left w:val="nil"/>
              <w:bottom w:val="nil"/>
              <w:right w:val="nil"/>
            </w:tcBorders>
          </w:tcPr>
          <w:p>
            <w:pPr>
              <w:autoSpaceDE w:val="0"/>
              <w:autoSpaceDN w:val="0"/>
              <w:adjustRightInd w:val="0"/>
              <w:spacing w:before="0" w:after="0"/>
              <w:rPr>
                <w:rFonts w:eastAsia="Times New Roman"/>
                <w:kern w:val="0"/>
                <w:sz w:val="21"/>
                <w:szCs w:val="21"/>
                <w:lang w:val="zh-CN"/>
              </w:rPr>
            </w:pPr>
          </w:p>
        </w:tc>
        <w:tc>
          <w:tcPr>
            <w:tcW w:w="2730" w:type="dxa"/>
            <w:tcBorders>
              <w:top w:val="nil"/>
              <w:left w:val="nil"/>
              <w:bottom w:val="nil"/>
              <w:right w:val="nil"/>
            </w:tcBorders>
          </w:tcPr>
          <w:p>
            <w:pPr>
              <w:autoSpaceDE w:val="0"/>
              <w:autoSpaceDN w:val="0"/>
              <w:adjustRightInd w:val="0"/>
              <w:spacing w:before="0" w:after="0"/>
              <w:rPr>
                <w:rFonts w:eastAsia="Times New Roman"/>
                <w:kern w:val="0"/>
                <w:sz w:val="21"/>
                <w:szCs w:val="21"/>
                <w:lang w:val="zh-CN"/>
              </w:rPr>
            </w:pPr>
          </w:p>
          <w:p>
            <w:pPr>
              <w:autoSpaceDE w:val="0"/>
              <w:autoSpaceDN w:val="0"/>
              <w:adjustRightInd w:val="0"/>
              <w:spacing w:before="0" w:after="0"/>
              <w:rPr>
                <w:rFonts w:eastAsia="Times New Roman"/>
                <w:kern w:val="0"/>
                <w:sz w:val="21"/>
                <w:szCs w:val="21"/>
                <w:lang w:val="zh-CN"/>
              </w:rPr>
            </w:pPr>
          </w:p>
        </w:tc>
      </w:tr>
      <w:tr>
        <w:tblPrEx>
          <w:tblLayout w:type="fixed"/>
          <w:tblCellMar>
            <w:top w:w="10" w:type="dxa"/>
            <w:left w:w="10" w:type="dxa"/>
            <w:bottom w:w="10" w:type="dxa"/>
            <w:right w:w="10" w:type="dxa"/>
          </w:tblCellMar>
        </w:tblPrEx>
        <w:tc>
          <w:tcPr>
            <w:tcW w:w="4068" w:type="dxa"/>
            <w:tcBorders>
              <w:top w:val="nil"/>
              <w:left w:val="nil"/>
              <w:bottom w:val="nil"/>
              <w:right w:val="nil"/>
            </w:tcBorders>
          </w:tcPr>
          <w:p>
            <w:pPr>
              <w:autoSpaceDE w:val="0"/>
              <w:autoSpaceDN w:val="0"/>
              <w:adjustRightInd w:val="0"/>
              <w:spacing w:before="0" w:after="0"/>
              <w:jc w:val="center"/>
              <w:rPr>
                <w:rFonts w:eastAsia="Times New Roman"/>
                <w:kern w:val="0"/>
                <w:sz w:val="21"/>
                <w:szCs w:val="21"/>
                <w:lang w:val="zh-CN"/>
              </w:rPr>
            </w:pPr>
            <w:r>
              <w:rPr>
                <w:rFonts w:hint="eastAsia" w:ascii="宋体" w:hAnsi="宋体" w:cs="宋体"/>
                <w:kern w:val="0"/>
                <w:sz w:val="21"/>
                <w:szCs w:val="21"/>
                <w:lang w:val="zh-CN"/>
              </w:rPr>
              <w:t>中国</w:t>
            </w:r>
            <w:r>
              <w:rPr>
                <w:rFonts w:eastAsia="Times New Roman"/>
                <w:kern w:val="0"/>
                <w:sz w:val="21"/>
                <w:szCs w:val="21"/>
                <w:lang w:val="zh-CN"/>
              </w:rPr>
              <w:tab/>
            </w:r>
            <w:r>
              <w:rPr>
                <w:rFonts w:hint="eastAsia" w:ascii="宋体" w:hAnsi="宋体" w:cs="宋体"/>
                <w:kern w:val="0"/>
                <w:sz w:val="21"/>
                <w:szCs w:val="21"/>
                <w:lang w:val="zh-CN"/>
              </w:rPr>
              <w:t>北京</w:t>
            </w:r>
          </w:p>
        </w:tc>
        <w:tc>
          <w:tcPr>
            <w:tcW w:w="540" w:type="dxa"/>
            <w:tcBorders>
              <w:top w:val="nil"/>
              <w:left w:val="nil"/>
              <w:bottom w:val="nil"/>
              <w:right w:val="nil"/>
            </w:tcBorders>
          </w:tcPr>
          <w:p>
            <w:pPr>
              <w:autoSpaceDE w:val="0"/>
              <w:autoSpaceDN w:val="0"/>
              <w:adjustRightInd w:val="0"/>
              <w:spacing w:before="0" w:after="0"/>
              <w:rPr>
                <w:rFonts w:eastAsia="Times New Roman"/>
                <w:kern w:val="0"/>
                <w:sz w:val="21"/>
                <w:szCs w:val="21"/>
                <w:lang w:val="zh-CN"/>
              </w:rPr>
            </w:pPr>
          </w:p>
        </w:tc>
        <w:tc>
          <w:tcPr>
            <w:tcW w:w="2730" w:type="dxa"/>
            <w:tcBorders>
              <w:top w:val="nil"/>
              <w:left w:val="nil"/>
              <w:bottom w:val="nil"/>
              <w:right w:val="nil"/>
            </w:tcBorders>
          </w:tcPr>
          <w:p>
            <w:pPr>
              <w:autoSpaceDE w:val="0"/>
              <w:autoSpaceDN w:val="0"/>
              <w:adjustRightInd w:val="0"/>
              <w:spacing w:before="0" w:after="0"/>
              <w:rPr>
                <w:rFonts w:eastAsia="Times New Roman"/>
                <w:kern w:val="0"/>
                <w:sz w:val="21"/>
                <w:szCs w:val="21"/>
                <w:lang w:val="zh-CN"/>
              </w:rPr>
            </w:pPr>
            <w:r>
              <w:rPr>
                <w:rFonts w:hint="eastAsia" w:ascii="宋体" w:hAnsi="宋体" w:cs="宋体"/>
                <w:kern w:val="0"/>
                <w:sz w:val="21"/>
                <w:szCs w:val="21"/>
                <w:lang w:val="zh-CN"/>
              </w:rPr>
              <w:t>二</w:t>
            </w:r>
            <w:r>
              <w:rPr>
                <w:rFonts w:eastAsia="Times New Roman"/>
                <w:kern w:val="0"/>
                <w:sz w:val="21"/>
                <w:szCs w:val="21"/>
                <w:lang w:val="zh-CN"/>
              </w:rPr>
              <w:t>○</w:t>
            </w:r>
            <w:r>
              <w:rPr>
                <w:rFonts w:hint="eastAsia" w:ascii="宋体" w:hAnsi="宋体" w:cs="宋体"/>
                <w:kern w:val="0"/>
                <w:sz w:val="21"/>
                <w:szCs w:val="21"/>
                <w:lang w:val="zh-CN"/>
              </w:rPr>
              <w:t>一七年四月二十一日</w:t>
            </w:r>
          </w:p>
        </w:tc>
      </w:tr>
    </w:tbl>
    <w:p>
      <w:pPr>
        <w:autoSpaceDE w:val="0"/>
        <w:autoSpaceDN w:val="0"/>
        <w:adjustRightInd w:val="0"/>
        <w:spacing w:before="0" w:after="0"/>
        <w:jc w:val="left"/>
        <w:rPr>
          <w:kern w:val="0"/>
          <w:sz w:val="21"/>
          <w:szCs w:val="21"/>
          <w:lang w:val="zh-CN"/>
        </w:rPr>
      </w:pPr>
    </w:p>
    <w:p>
      <w:pPr>
        <w:autoSpaceDE w:val="0"/>
        <w:autoSpaceDN w:val="0"/>
        <w:adjustRightInd w:val="0"/>
        <w:spacing w:before="0" w:after="0"/>
        <w:jc w:val="left"/>
        <w:rPr>
          <w:kern w:val="0"/>
          <w:szCs w:val="24"/>
          <w:lang w:val="zh-CN"/>
        </w:rPr>
      </w:pPr>
    </w:p>
    <w:p>
      <w:pPr>
        <w:autoSpaceDE w:val="0"/>
        <w:autoSpaceDN w:val="0"/>
        <w:adjustRightInd w:val="0"/>
        <w:spacing w:before="0" w:after="0"/>
        <w:jc w:val="left"/>
        <w:rPr>
          <w:kern w:val="0"/>
          <w:szCs w:val="24"/>
          <w:lang w:val="zh-CN"/>
        </w:rPr>
      </w:pPr>
    </w:p>
    <w:p>
      <w:pPr>
        <w:autoSpaceDE w:val="0"/>
        <w:autoSpaceDN w:val="0"/>
        <w:adjustRightInd w:val="0"/>
        <w:spacing w:before="0" w:after="0"/>
        <w:jc w:val="left"/>
        <w:rPr>
          <w:kern w:val="0"/>
          <w:szCs w:val="24"/>
          <w:lang w:val="zh-CN"/>
        </w:rPr>
      </w:pPr>
    </w:p>
    <w:p>
      <w:pPr>
        <w:autoSpaceDE w:val="0"/>
        <w:autoSpaceDN w:val="0"/>
        <w:adjustRightInd w:val="0"/>
        <w:spacing w:before="0" w:after="0"/>
        <w:jc w:val="left"/>
        <w:rPr>
          <w:kern w:val="0"/>
          <w:szCs w:val="24"/>
          <w:lang w:val="zh-CN"/>
        </w:rPr>
      </w:pPr>
    </w:p>
    <w:p>
      <w:pPr>
        <w:autoSpaceDE w:val="0"/>
        <w:autoSpaceDN w:val="0"/>
        <w:adjustRightInd w:val="0"/>
        <w:spacing w:before="0" w:after="0"/>
        <w:jc w:val="left"/>
        <w:rPr>
          <w:kern w:val="0"/>
          <w:szCs w:val="24"/>
          <w:lang w:val="zh-CN"/>
        </w:rPr>
      </w:pPr>
    </w:p>
    <w:p>
      <w:pPr>
        <w:autoSpaceDE w:val="0"/>
        <w:autoSpaceDN w:val="0"/>
        <w:adjustRightInd w:val="0"/>
        <w:spacing w:before="0" w:after="0"/>
        <w:jc w:val="left"/>
        <w:rPr>
          <w:kern w:val="0"/>
          <w:szCs w:val="24"/>
          <w:lang w:val="zh-CN"/>
        </w:rPr>
      </w:pPr>
    </w:p>
    <w:p>
      <w:pPr>
        <w:autoSpaceDE w:val="0"/>
        <w:autoSpaceDN w:val="0"/>
        <w:adjustRightInd w:val="0"/>
        <w:spacing w:before="0" w:after="0"/>
        <w:jc w:val="left"/>
        <w:rPr>
          <w:kern w:val="0"/>
          <w:szCs w:val="24"/>
          <w:lang w:val="zh-CN"/>
        </w:rPr>
      </w:pPr>
    </w:p>
    <w:p>
      <w:pPr>
        <w:autoSpaceDE w:val="0"/>
        <w:autoSpaceDN w:val="0"/>
        <w:adjustRightInd w:val="0"/>
        <w:spacing w:before="0" w:after="0"/>
        <w:jc w:val="left"/>
        <w:rPr>
          <w:kern w:val="0"/>
          <w:szCs w:val="24"/>
          <w:lang w:val="zh-CN"/>
        </w:rPr>
      </w:pPr>
    </w:p>
    <w:p>
      <w:pPr>
        <w:autoSpaceDE w:val="0"/>
        <w:autoSpaceDN w:val="0"/>
        <w:adjustRightInd w:val="0"/>
        <w:spacing w:before="0" w:after="0"/>
        <w:jc w:val="left"/>
        <w:rPr>
          <w:kern w:val="0"/>
          <w:szCs w:val="24"/>
          <w:lang w:val="zh-CN"/>
        </w:rPr>
      </w:pPr>
    </w:p>
    <w:p>
      <w:pPr>
        <w:autoSpaceDE w:val="0"/>
        <w:autoSpaceDN w:val="0"/>
        <w:adjustRightInd w:val="0"/>
        <w:spacing w:before="0" w:after="0"/>
        <w:jc w:val="left"/>
        <w:rPr>
          <w:kern w:val="0"/>
          <w:szCs w:val="24"/>
          <w:lang w:val="zh-CN"/>
        </w:rPr>
      </w:pPr>
    </w:p>
    <w:p>
      <w:pPr>
        <w:autoSpaceDE w:val="0"/>
        <w:autoSpaceDN w:val="0"/>
        <w:adjustRightInd w:val="0"/>
        <w:spacing w:before="0" w:after="0"/>
        <w:jc w:val="left"/>
        <w:rPr>
          <w:kern w:val="0"/>
          <w:szCs w:val="24"/>
          <w:lang w:val="zh-CN"/>
        </w:rPr>
      </w:pPr>
    </w:p>
    <w:p>
      <w:pPr>
        <w:autoSpaceDE w:val="0"/>
        <w:autoSpaceDN w:val="0"/>
        <w:adjustRightInd w:val="0"/>
        <w:spacing w:before="0" w:after="0"/>
        <w:jc w:val="left"/>
        <w:rPr>
          <w:kern w:val="0"/>
          <w:szCs w:val="24"/>
          <w:lang w:val="zh-CN"/>
        </w:rPr>
      </w:pPr>
    </w:p>
    <w:p>
      <w:pPr>
        <w:autoSpaceDE w:val="0"/>
        <w:autoSpaceDN w:val="0"/>
        <w:adjustRightInd w:val="0"/>
        <w:spacing w:before="0" w:after="0"/>
        <w:jc w:val="left"/>
        <w:rPr>
          <w:kern w:val="0"/>
          <w:szCs w:val="24"/>
          <w:lang w:val="zh-CN"/>
        </w:rPr>
      </w:pPr>
    </w:p>
    <w:p>
      <w:pPr>
        <w:pStyle w:val="10"/>
        <w:outlineLvl w:val="1"/>
        <w:rPr>
          <w:bCs w:val="0"/>
        </w:rPr>
      </w:pPr>
      <w:r>
        <w:rPr>
          <w:bCs w:val="0"/>
        </w:rPr>
        <w:br w:type="page"/>
      </w:r>
      <w:r>
        <w:rPr>
          <w:rFonts w:hint="eastAsia"/>
          <w:bCs w:val="0"/>
        </w:rPr>
        <w:t>二、财务报表</w:t>
      </w:r>
    </w:p>
    <w:p>
      <w:pPr>
        <w:jc w:val="left"/>
        <w:rPr>
          <w:sz w:val="21"/>
          <w:szCs w:val="21"/>
        </w:rPr>
      </w:pPr>
      <w:r>
        <w:rPr>
          <w:rFonts w:hint="eastAsia"/>
          <w:sz w:val="21"/>
          <w:szCs w:val="21"/>
        </w:rPr>
        <w:t>财务附注中报表的单位为：人民币元</w:t>
      </w:r>
    </w:p>
    <w:p>
      <w:pPr>
        <w:pStyle w:val="11"/>
        <w:outlineLvl w:val="2"/>
        <w:rPr>
          <w:bCs w:val="0"/>
        </w:rPr>
      </w:pPr>
      <w:r>
        <w:rPr>
          <w:bCs w:val="0"/>
        </w:rPr>
        <w:t>1</w:t>
      </w:r>
      <w:r>
        <w:rPr>
          <w:rFonts w:hint="eastAsia"/>
          <w:bCs w:val="0"/>
        </w:rPr>
        <w:t>、合并资产负债表</w:t>
      </w:r>
    </w:p>
    <w:p>
      <w:pPr>
        <w:jc w:val="left"/>
        <w:rPr>
          <w:sz w:val="21"/>
          <w:szCs w:val="21"/>
        </w:rPr>
      </w:pPr>
      <w:r>
        <w:rPr>
          <w:rFonts w:hint="eastAsia"/>
          <w:sz w:val="21"/>
          <w:szCs w:val="21"/>
        </w:rPr>
        <w:t>编制单位：北京海兰信数据科技股份有限公司</w:t>
      </w:r>
    </w:p>
    <w:p>
      <w:pPr>
        <w:jc w:val="center"/>
        <w:rPr>
          <w:sz w:val="21"/>
          <w:szCs w:val="21"/>
        </w:rPr>
      </w:pPr>
      <w:r>
        <w:rPr>
          <w:sz w:val="21"/>
          <w:szCs w:val="21"/>
        </w:rPr>
        <w:t>2016</w:t>
      </w:r>
      <w:r>
        <w:rPr>
          <w:rFonts w:hint="eastAsia"/>
          <w:sz w:val="21"/>
          <w:szCs w:val="21"/>
        </w:rPr>
        <w:t>年</w:t>
      </w:r>
      <w:r>
        <w:rPr>
          <w:sz w:val="21"/>
          <w:szCs w:val="21"/>
        </w:rPr>
        <w:t>12</w:t>
      </w:r>
      <w:r>
        <w:rPr>
          <w:rFonts w:hint="eastAsia"/>
          <w:sz w:val="21"/>
          <w:szCs w:val="21"/>
        </w:rPr>
        <w:t>月</w:t>
      </w:r>
      <w:r>
        <w:rPr>
          <w:sz w:val="21"/>
          <w:szCs w:val="21"/>
        </w:rPr>
        <w:t>31</w:t>
      </w:r>
      <w:r>
        <w:rPr>
          <w:rFonts w:hint="eastAsia"/>
          <w:sz w:val="21"/>
          <w:szCs w:val="21"/>
        </w:rPr>
        <w:t>日</w:t>
      </w:r>
    </w:p>
    <w:p>
      <w:pPr>
        <w:jc w:val="right"/>
        <w:rPr>
          <w:sz w:val="21"/>
          <w:szCs w:val="21"/>
        </w:rPr>
      </w:pPr>
      <w:r>
        <w:rPr>
          <w:rFonts w:hint="eastAsia"/>
          <w:sz w:val="21"/>
          <w:szCs w:val="21"/>
        </w:rPr>
        <w:t>单位：元</w:t>
      </w:r>
    </w:p>
    <w:tbl>
      <w:tblPr>
        <w:tblStyle w:val="8"/>
        <w:tblW w:w="9568" w:type="dxa"/>
        <w:tblInd w:w="28" w:type="dxa"/>
        <w:tblLayout w:type="fixed"/>
        <w:tblCellMar>
          <w:top w:w="0" w:type="dxa"/>
          <w:left w:w="28" w:type="dxa"/>
          <w:bottom w:w="0" w:type="dxa"/>
          <w:right w:w="28" w:type="dxa"/>
        </w:tblCellMar>
      </w:tblPr>
      <w:tblGrid>
        <w:gridCol w:w="2967"/>
        <w:gridCol w:w="3300"/>
        <w:gridCol w:w="3301"/>
      </w:tblGrid>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330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c>
          <w:tcPr>
            <w:tcW w:w="330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期初余额</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流动资产：</w:t>
            </w:r>
          </w:p>
        </w:tc>
        <w:tc>
          <w:tcPr>
            <w:tcW w:w="330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货币资金</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293,315,225.29</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449,327,106.93</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结算备付金</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拆出资金</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以公允价值计量且其变动计入当期损益的金融资产</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衍生金融资产</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应收票据</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49,008,824.20</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26,854,006.00</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应收账款</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317,934,260.18</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360,047,208.06</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预付款项</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44,524,164.93</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55,841,895.79</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应收保费</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应收分保账款</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应收分保合同准备金</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应收利息</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159,896.55</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172,141.39</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应收股利</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其他应收款</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46,652,161.84</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31,710,107.08</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买入返售金融资产</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存货</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149,724,276.66</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133,180,681.09</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划分为持有待售的资产</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一年内到期的非流动资产</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其他流动资产</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226,877,101.50</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4,324,293.10</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流动资产合计</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1,128,195,911.15</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1,061,457,439.44</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非流动资产：</w:t>
            </w:r>
          </w:p>
        </w:tc>
        <w:tc>
          <w:tcPr>
            <w:tcW w:w="330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发放贷款及垫款</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可供出售金融资产</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10,000,000.00</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7,000,000.00</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持有至到期投资</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长期应收款</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长期股权投资</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76,085,846.79</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56,704,048.90</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投资性房地产</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固定资产</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75,736,483.55</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85,365,110.44</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在建工程</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129,907.15</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50,190.17</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工程物资</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固定资产清理</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生产性生物资产</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油气资产</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无形资产</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182,117,912.61</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163,106,048.51</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开发支出</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17,134,918.06</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14,521,842.10</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商誉</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301,906,895.67</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229,971,353.58</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长期待摊费用</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1,638,002.78</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3,322,903.24</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递延所得税资产</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10,758,100.80</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11,781,288.94</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其他非流动资产</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5,000,000.00</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24,000,000.00</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非流动资产合计</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680,508,067.41</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595,822,785.88</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资产总计</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1,808,703,978.56</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1,657,280,225.32</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流动负债：</w:t>
            </w:r>
          </w:p>
        </w:tc>
        <w:tc>
          <w:tcPr>
            <w:tcW w:w="330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短期借款</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56,534,057.35</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46,493,600.00</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向中央银行借款</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吸收存款及同业存放</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拆入资金</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以公允价值计量且其变动计入当期损益的金融负债</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衍生金融负债</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应付票据</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应付账款</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98,241,690.19</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93,889,130.52</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预收款项</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73,588,078.67</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28,552,072.27</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卖出回购金融资产款</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应付手续费及佣金</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应付职工薪酬</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3,847,385.12</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5,457,622.91</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应交税费</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38,131,204.80</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18,754,798.18</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应付利息</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79,693.15</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31,018.50</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应付股利</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8,050,500.00</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43,093,501.68</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其他应付款</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15,609,278.90</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8,706,578.55</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应付分保账款</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保险合同准备金</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代理买卖证券款</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代理承销证券款</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划分为持有待售的负债</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一年内到期的非流动负债</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其他流动负债</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流动负债合计</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294,081,888.18</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244,978,322.61</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非流动负债：</w:t>
            </w:r>
          </w:p>
        </w:tc>
        <w:tc>
          <w:tcPr>
            <w:tcW w:w="330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长期借款</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25,826,745.00</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24,000,000.00</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应付债券</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其中：优先股</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永续债</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长期应付款</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9,211,212.53</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长期应付职工薪酬</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专项应付款</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预计负债</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17,330,358.71</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6,910,211.00</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递延收益</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23,992,894.81</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24,659,036.17</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递延所得税负债</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2,543,353.60</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3,308,180.40</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其他非流动负债</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非流动负债合计</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78,904,564.65</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58,877,427.57</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负债合计</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372,986,452.83</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303,855,750.18</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所有者权益：</w:t>
            </w:r>
          </w:p>
        </w:tc>
        <w:tc>
          <w:tcPr>
            <w:tcW w:w="330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股本</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241,560,648.00</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241,560,648.00</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其他权益工具</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其中：优先股</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永续债</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资本公积</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790,577,388.51</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793,499,814.18</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减：库存股</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其他综合收益</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10,600,686.28</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4,112,440.91</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专项储备</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盈余公积</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18,256,467.77</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13,974,525.93</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一般风险准备</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未分配利润</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199,844,931.74</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129,390,199.83</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归属于母公司所有者权益合计</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1,260,840,122.30</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1,182,537,628.85</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少数股东权益</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174,877,403.43</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170,886,846.29</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所有者权益合计</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1,435,717,525.73</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1,353,424,475.14</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负债和所有者权益总计</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1,808,703,978.56</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1,657,280,225.32</w:t>
            </w:r>
          </w:p>
        </w:tc>
      </w:tr>
    </w:tbl>
    <w:p>
      <w:pPr>
        <w:spacing w:before="300"/>
        <w:rPr>
          <w:sz w:val="21"/>
          <w:szCs w:val="21"/>
        </w:rPr>
      </w:pPr>
      <w:r>
        <w:rPr>
          <w:rFonts w:hint="eastAsia"/>
          <w:sz w:val="21"/>
          <w:szCs w:val="21"/>
        </w:rPr>
        <w:t>法定代表人：申万秋</w:t>
      </w:r>
      <w:r>
        <w:rPr>
          <w:sz w:val="21"/>
          <w:szCs w:val="21"/>
        </w:rPr>
        <w:t xml:space="preserve">            </w:t>
      </w:r>
      <w:r>
        <w:rPr>
          <w:rFonts w:hint="eastAsia"/>
          <w:sz w:val="21"/>
          <w:szCs w:val="21"/>
        </w:rPr>
        <w:t>主管会计工作负责人：柳丽华</w:t>
      </w:r>
      <w:r>
        <w:rPr>
          <w:sz w:val="21"/>
          <w:szCs w:val="21"/>
        </w:rPr>
        <w:t xml:space="preserve">             </w:t>
      </w:r>
      <w:r>
        <w:rPr>
          <w:rFonts w:hint="eastAsia"/>
          <w:sz w:val="21"/>
          <w:szCs w:val="21"/>
        </w:rPr>
        <w:t>会计机构负责人：柳丽华</w:t>
      </w:r>
    </w:p>
    <w:p>
      <w:pPr>
        <w:pStyle w:val="11"/>
        <w:outlineLvl w:val="2"/>
        <w:rPr>
          <w:bCs w:val="0"/>
          <w:szCs w:val="24"/>
        </w:rPr>
      </w:pPr>
      <w:r>
        <w:rPr>
          <w:bCs w:val="0"/>
          <w:szCs w:val="24"/>
        </w:rPr>
        <w:t>2</w:t>
      </w:r>
      <w:r>
        <w:rPr>
          <w:rFonts w:hint="eastAsia"/>
          <w:bCs w:val="0"/>
          <w:szCs w:val="24"/>
        </w:rPr>
        <w:t>、母公司资产负债表</w:t>
      </w:r>
    </w:p>
    <w:p>
      <w:pPr>
        <w:jc w:val="right"/>
        <w:rPr>
          <w:sz w:val="21"/>
          <w:szCs w:val="21"/>
        </w:rPr>
      </w:pPr>
      <w:r>
        <w:rPr>
          <w:rFonts w:hint="eastAsia"/>
          <w:sz w:val="21"/>
          <w:szCs w:val="21"/>
        </w:rPr>
        <w:t>单位：元</w:t>
      </w:r>
    </w:p>
    <w:tbl>
      <w:tblPr>
        <w:tblStyle w:val="8"/>
        <w:tblW w:w="9568" w:type="dxa"/>
        <w:tblInd w:w="28" w:type="dxa"/>
        <w:tblLayout w:type="fixed"/>
        <w:tblCellMar>
          <w:top w:w="0" w:type="dxa"/>
          <w:left w:w="28" w:type="dxa"/>
          <w:bottom w:w="0" w:type="dxa"/>
          <w:right w:w="28" w:type="dxa"/>
        </w:tblCellMar>
      </w:tblPr>
      <w:tblGrid>
        <w:gridCol w:w="2967"/>
        <w:gridCol w:w="3300"/>
        <w:gridCol w:w="3301"/>
      </w:tblGrid>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330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c>
          <w:tcPr>
            <w:tcW w:w="330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期初余额</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流动资产：</w:t>
            </w:r>
          </w:p>
        </w:tc>
        <w:tc>
          <w:tcPr>
            <w:tcW w:w="330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货币资金</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72,645,588.23</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86,207,080.74</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以公允价值计量且其变动计入当期损益的金融资产</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衍生金融资产</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应收票据</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45,956,799.00</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26,704,006.00</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应收账款</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156,347,057.21</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167,302,008.53</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预付款项</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10,052,658.48</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24,133,553.58</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应收利息</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16,854.44</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17,000.55</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应收股利</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其他应收款</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30,706,621.38</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25,156,858.41</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存货</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51,219,581.34</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44,809,100.23</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划分为持有待售的资产</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一年内到期的非流动资产</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其他流动资产</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49,449,826.14</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3,670,000.00</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流动资产合计</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416,394,986.22</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377,999,608.04</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非流动资产：</w:t>
            </w:r>
          </w:p>
        </w:tc>
        <w:tc>
          <w:tcPr>
            <w:tcW w:w="330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可供出售金融资产</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10,000,000.00</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7,000,000.00</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持有至到期投资</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长期应收款</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长期股权投资</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827,097,149.70</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808,058,755.51</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投资性房地产</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固定资产</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44,135,799.13</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52,138,325.46</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在建工程</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工程物资</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固定资产清理</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生产性生物资产</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油气资产</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无形资产</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34,026,525.21</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31,907,700.83</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开发支出</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16,187,485.82</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13,303,404.29</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商誉</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长期待摊费用</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9,027.65</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30,694.37</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递延所得税资产</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4,348,366.97</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3,245,572.28</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其他非流动资产</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非流动资产合计</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935,804,354.48</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915,684,452.74</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资产总计</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1,352,199,340.70</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1,293,684,060.78</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流动负债：</w:t>
            </w:r>
          </w:p>
        </w:tc>
        <w:tc>
          <w:tcPr>
            <w:tcW w:w="330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短期借款</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20,000,000.00</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以公允价值计量且其变动计入当期损益的金融负债</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衍生金融负债</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应付票据</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应付账款</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44,892,881.67</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32,376,213.29</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预收款项</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57,212,754.56</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51,704,367.28</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应付职工薪酬</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666,168.01</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780,114.38</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应交税费</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10,220,428.37</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9,431,846.58</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应付利息</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31,018.50</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应付股利</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其他应付款</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36,204,162.85</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11,387,268.93</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划分为持有待售的负债</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一年内到期的非流动负债</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其他流动负债</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流动负债合计</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149,196,395.46</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125,710,828.96</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非流动负债：</w:t>
            </w:r>
          </w:p>
        </w:tc>
        <w:tc>
          <w:tcPr>
            <w:tcW w:w="330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长期借款</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应付债券</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其中：优先股</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永续债</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长期应付款</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长期应付职工薪酬</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专项应付款</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预计负债</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递延收益</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16,705,144.81</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16,805,920.85</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递延所得税负债</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2,543,353.60</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3,136,697.93</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其他非流动负债</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非流动负债合计</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19,248,498.41</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19,942,618.78</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负债合计</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168,444,893.87</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145,653,447.74</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所有者权益：</w:t>
            </w:r>
          </w:p>
        </w:tc>
        <w:tc>
          <w:tcPr>
            <w:tcW w:w="330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股本</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241,560,648.00</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241,560,648.00</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其他权益工具</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其中：优先股</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永续债</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资本公积</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807,382,691.12</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807,231,456.29</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减：库存股</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其他综合收益</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专项储备</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盈余公积</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18,134,847.19</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13,852,905.35</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未分配利润</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116,676,260.52</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85,385,603.40</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所有者权益合计</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1,183,754,446.83</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1,148,030,613.04</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负债和所有者权益总计</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1,352,199,340.70</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1,293,684,060.78</w:t>
            </w:r>
          </w:p>
        </w:tc>
      </w:tr>
    </w:tbl>
    <w:p>
      <w:pPr>
        <w:pStyle w:val="11"/>
        <w:outlineLvl w:val="2"/>
        <w:rPr>
          <w:bCs w:val="0"/>
          <w:szCs w:val="24"/>
        </w:rPr>
      </w:pPr>
      <w:r>
        <w:rPr>
          <w:bCs w:val="0"/>
          <w:szCs w:val="24"/>
        </w:rPr>
        <w:t>3</w:t>
      </w:r>
      <w:r>
        <w:rPr>
          <w:rFonts w:hint="eastAsia"/>
          <w:bCs w:val="0"/>
          <w:szCs w:val="24"/>
        </w:rPr>
        <w:t>、合并利润表</w:t>
      </w:r>
    </w:p>
    <w:p>
      <w:pPr>
        <w:jc w:val="right"/>
        <w:rPr>
          <w:sz w:val="21"/>
          <w:szCs w:val="21"/>
        </w:rPr>
      </w:pPr>
      <w:r>
        <w:rPr>
          <w:rFonts w:hint="eastAsia"/>
          <w:sz w:val="21"/>
          <w:szCs w:val="21"/>
        </w:rPr>
        <w:t>单位：元</w:t>
      </w:r>
    </w:p>
    <w:tbl>
      <w:tblPr>
        <w:tblStyle w:val="8"/>
        <w:tblW w:w="9567" w:type="dxa"/>
        <w:tblInd w:w="28" w:type="dxa"/>
        <w:tblLayout w:type="fixed"/>
        <w:tblCellMar>
          <w:top w:w="0" w:type="dxa"/>
          <w:left w:w="28" w:type="dxa"/>
          <w:bottom w:w="0" w:type="dxa"/>
          <w:right w:w="28" w:type="dxa"/>
        </w:tblCellMar>
      </w:tblPr>
      <w:tblGrid>
        <w:gridCol w:w="3080"/>
        <w:gridCol w:w="3210"/>
        <w:gridCol w:w="3277"/>
      </w:tblGrid>
      <w:tr>
        <w:tblPrEx>
          <w:tblLayout w:type="fixed"/>
        </w:tblPrEx>
        <w:tc>
          <w:tcPr>
            <w:tcW w:w="308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321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本期发生额</w:t>
            </w:r>
          </w:p>
        </w:tc>
        <w:tc>
          <w:tcPr>
            <w:tcW w:w="327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上期发生额</w:t>
            </w:r>
          </w:p>
        </w:tc>
      </w:tr>
      <w:tr>
        <w:tblPrEx>
          <w:tblLayout w:type="fixed"/>
          <w:tblCellMar>
            <w:top w:w="0" w:type="dxa"/>
            <w:left w:w="28" w:type="dxa"/>
            <w:bottom w:w="0" w:type="dxa"/>
            <w:right w:w="28" w:type="dxa"/>
          </w:tblCellMar>
        </w:tblPrEx>
        <w:tc>
          <w:tcPr>
            <w:tcW w:w="308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一、营业总收入</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716,569,929.16</w:t>
            </w:r>
          </w:p>
        </w:tc>
        <w:tc>
          <w:tcPr>
            <w:tcW w:w="327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327,812,510.49</w:t>
            </w:r>
          </w:p>
        </w:tc>
      </w:tr>
      <w:tr>
        <w:tblPrEx>
          <w:tblLayout w:type="fixed"/>
          <w:tblCellMar>
            <w:top w:w="0" w:type="dxa"/>
            <w:left w:w="28" w:type="dxa"/>
            <w:bottom w:w="0" w:type="dxa"/>
            <w:right w:w="28" w:type="dxa"/>
          </w:tblCellMar>
        </w:tblPrEx>
        <w:tc>
          <w:tcPr>
            <w:tcW w:w="308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其中：营业收入</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716,569,929.16</w:t>
            </w:r>
          </w:p>
        </w:tc>
        <w:tc>
          <w:tcPr>
            <w:tcW w:w="327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327,812,510.49</w:t>
            </w:r>
          </w:p>
        </w:tc>
      </w:tr>
      <w:tr>
        <w:tblPrEx>
          <w:tblLayout w:type="fixed"/>
        </w:tblPrEx>
        <w:tc>
          <w:tcPr>
            <w:tcW w:w="308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利息收入</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27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PrEx>
        <w:tc>
          <w:tcPr>
            <w:tcW w:w="308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已赚保费</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27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PrEx>
        <w:tc>
          <w:tcPr>
            <w:tcW w:w="308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手续费及佣金收入</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27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PrEx>
        <w:tc>
          <w:tcPr>
            <w:tcW w:w="308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二、营业总成本</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610,876,203.08</w:t>
            </w:r>
          </w:p>
        </w:tc>
        <w:tc>
          <w:tcPr>
            <w:tcW w:w="327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325,475,015.28</w:t>
            </w:r>
          </w:p>
        </w:tc>
      </w:tr>
      <w:tr>
        <w:tblPrEx>
          <w:tblLayout w:type="fixed"/>
          <w:tblCellMar>
            <w:top w:w="0" w:type="dxa"/>
            <w:left w:w="28" w:type="dxa"/>
            <w:bottom w:w="0" w:type="dxa"/>
            <w:right w:w="28" w:type="dxa"/>
          </w:tblCellMar>
        </w:tblPrEx>
        <w:tc>
          <w:tcPr>
            <w:tcW w:w="308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其中：营业成本</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435,273,024.77</w:t>
            </w:r>
          </w:p>
        </w:tc>
        <w:tc>
          <w:tcPr>
            <w:tcW w:w="327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217,087,509.49</w:t>
            </w:r>
          </w:p>
        </w:tc>
      </w:tr>
      <w:tr>
        <w:tblPrEx>
          <w:tblLayout w:type="fixed"/>
        </w:tblPrEx>
        <w:tc>
          <w:tcPr>
            <w:tcW w:w="308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利息支出</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27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PrEx>
        <w:tc>
          <w:tcPr>
            <w:tcW w:w="308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手续费及佣金支出</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27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PrEx>
        <w:tc>
          <w:tcPr>
            <w:tcW w:w="308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退保金</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27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PrEx>
        <w:tc>
          <w:tcPr>
            <w:tcW w:w="308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赔付支出净额</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27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PrEx>
        <w:tc>
          <w:tcPr>
            <w:tcW w:w="308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提取保险合同准备金净额</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27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PrEx>
        <w:tc>
          <w:tcPr>
            <w:tcW w:w="308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保单红利支出</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27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PrEx>
        <w:tc>
          <w:tcPr>
            <w:tcW w:w="308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分保费用</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27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PrEx>
        <w:tc>
          <w:tcPr>
            <w:tcW w:w="308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税金及附加</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2,498,471.40</w:t>
            </w:r>
          </w:p>
        </w:tc>
        <w:tc>
          <w:tcPr>
            <w:tcW w:w="327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1,321,860.91</w:t>
            </w:r>
          </w:p>
        </w:tc>
      </w:tr>
      <w:tr>
        <w:tblPrEx>
          <w:tblLayout w:type="fixed"/>
        </w:tblPrEx>
        <w:tc>
          <w:tcPr>
            <w:tcW w:w="308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销售费用</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85,808,344.10</w:t>
            </w:r>
          </w:p>
        </w:tc>
        <w:tc>
          <w:tcPr>
            <w:tcW w:w="327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32,113,442.44</w:t>
            </w:r>
          </w:p>
        </w:tc>
      </w:tr>
      <w:tr>
        <w:tblPrEx>
          <w:tblLayout w:type="fixed"/>
        </w:tblPrEx>
        <w:tc>
          <w:tcPr>
            <w:tcW w:w="308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管理费用</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78,084,668.32</w:t>
            </w:r>
          </w:p>
        </w:tc>
        <w:tc>
          <w:tcPr>
            <w:tcW w:w="327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62,433,406.28</w:t>
            </w:r>
          </w:p>
        </w:tc>
      </w:tr>
      <w:tr>
        <w:tblPrEx>
          <w:tblLayout w:type="fixed"/>
        </w:tblPrEx>
        <w:tc>
          <w:tcPr>
            <w:tcW w:w="308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财务费用</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6,476,827.73</w:t>
            </w:r>
          </w:p>
        </w:tc>
        <w:tc>
          <w:tcPr>
            <w:tcW w:w="327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-79,833.05</w:t>
            </w:r>
          </w:p>
        </w:tc>
      </w:tr>
      <w:tr>
        <w:tblPrEx>
          <w:tblLayout w:type="fixed"/>
        </w:tblPrEx>
        <w:tc>
          <w:tcPr>
            <w:tcW w:w="308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资产减值损失</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2,734,866.76</w:t>
            </w:r>
          </w:p>
        </w:tc>
        <w:tc>
          <w:tcPr>
            <w:tcW w:w="327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12,598,629.21</w:t>
            </w:r>
          </w:p>
        </w:tc>
      </w:tr>
      <w:tr>
        <w:tblPrEx>
          <w:tblLayout w:type="fixed"/>
        </w:tblPrEx>
        <w:tc>
          <w:tcPr>
            <w:tcW w:w="308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加：公允价值变动收益（损失以</w:t>
            </w:r>
            <w:r>
              <w:rPr>
                <w:sz w:val="21"/>
                <w:szCs w:val="21"/>
              </w:rPr>
              <w:t>“</w:t>
            </w:r>
            <w:r>
              <w:rPr>
                <w:rFonts w:hint="eastAsia"/>
                <w:sz w:val="21"/>
                <w:szCs w:val="21"/>
              </w:rPr>
              <w:t>－</w:t>
            </w:r>
            <w:r>
              <w:rPr>
                <w:sz w:val="21"/>
                <w:szCs w:val="21"/>
              </w:rPr>
              <w:t>”</w:t>
            </w:r>
            <w:r>
              <w:rPr>
                <w:rFonts w:hint="eastAsia"/>
                <w:sz w:val="21"/>
                <w:szCs w:val="21"/>
              </w:rPr>
              <w:t>号填列）</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27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PrEx>
        <w:tc>
          <w:tcPr>
            <w:tcW w:w="308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投资收益（损失以</w:t>
            </w:r>
            <w:r>
              <w:rPr>
                <w:sz w:val="21"/>
                <w:szCs w:val="21"/>
              </w:rPr>
              <w:t>“</w:t>
            </w:r>
            <w:r>
              <w:rPr>
                <w:rFonts w:hint="eastAsia"/>
                <w:sz w:val="21"/>
                <w:szCs w:val="21"/>
              </w:rPr>
              <w:t>－</w:t>
            </w:r>
            <w:r>
              <w:rPr>
                <w:sz w:val="21"/>
                <w:szCs w:val="21"/>
              </w:rPr>
              <w:t>”</w:t>
            </w:r>
            <w:r>
              <w:rPr>
                <w:rFonts w:hint="eastAsia"/>
                <w:sz w:val="21"/>
                <w:szCs w:val="21"/>
              </w:rPr>
              <w:t>号填列）</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871,304.91</w:t>
            </w:r>
          </w:p>
        </w:tc>
        <w:tc>
          <w:tcPr>
            <w:tcW w:w="327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13,753,334.91</w:t>
            </w:r>
          </w:p>
        </w:tc>
      </w:tr>
      <w:tr>
        <w:tblPrEx>
          <w:tblLayout w:type="fixed"/>
        </w:tblPrEx>
        <w:tc>
          <w:tcPr>
            <w:tcW w:w="308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其中：对联营企业和合营企业的投资收益</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-1,666,720.84</w:t>
            </w:r>
          </w:p>
        </w:tc>
        <w:tc>
          <w:tcPr>
            <w:tcW w:w="327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4,120,039.71</w:t>
            </w:r>
          </w:p>
        </w:tc>
      </w:tr>
      <w:tr>
        <w:tblPrEx>
          <w:tblLayout w:type="fixed"/>
        </w:tblPrEx>
        <w:tc>
          <w:tcPr>
            <w:tcW w:w="308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汇兑收益（损失以</w:t>
            </w:r>
            <w:r>
              <w:rPr>
                <w:sz w:val="21"/>
                <w:szCs w:val="21"/>
              </w:rPr>
              <w:t>“-”</w:t>
            </w:r>
            <w:r>
              <w:rPr>
                <w:rFonts w:hint="eastAsia"/>
                <w:sz w:val="21"/>
                <w:szCs w:val="21"/>
              </w:rPr>
              <w:t>号填列）</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27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PrEx>
        <w:tc>
          <w:tcPr>
            <w:tcW w:w="308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三、营业利润（亏损以</w:t>
            </w:r>
            <w:r>
              <w:rPr>
                <w:sz w:val="21"/>
                <w:szCs w:val="21"/>
              </w:rPr>
              <w:t>“</w:t>
            </w:r>
            <w:r>
              <w:rPr>
                <w:rFonts w:hint="eastAsia"/>
                <w:sz w:val="21"/>
                <w:szCs w:val="21"/>
              </w:rPr>
              <w:t>－</w:t>
            </w:r>
            <w:r>
              <w:rPr>
                <w:sz w:val="21"/>
                <w:szCs w:val="21"/>
              </w:rPr>
              <w:t>”</w:t>
            </w:r>
            <w:r>
              <w:rPr>
                <w:rFonts w:hint="eastAsia"/>
                <w:sz w:val="21"/>
                <w:szCs w:val="21"/>
              </w:rPr>
              <w:t>号填列）</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106,565,030.99</w:t>
            </w:r>
          </w:p>
        </w:tc>
        <w:tc>
          <w:tcPr>
            <w:tcW w:w="327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16,090,830.12</w:t>
            </w:r>
          </w:p>
        </w:tc>
      </w:tr>
      <w:tr>
        <w:tblPrEx>
          <w:tblLayout w:type="fixed"/>
        </w:tblPrEx>
        <w:tc>
          <w:tcPr>
            <w:tcW w:w="308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加：营业外收入</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30,784,297.11</w:t>
            </w:r>
          </w:p>
        </w:tc>
        <w:tc>
          <w:tcPr>
            <w:tcW w:w="327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24,894,684.82</w:t>
            </w:r>
          </w:p>
        </w:tc>
      </w:tr>
      <w:tr>
        <w:tblPrEx>
          <w:tblLayout w:type="fixed"/>
        </w:tblPrEx>
        <w:tc>
          <w:tcPr>
            <w:tcW w:w="308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其中：非流动资产处置利得</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120,145.38</w:t>
            </w:r>
          </w:p>
        </w:tc>
        <w:tc>
          <w:tcPr>
            <w:tcW w:w="327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153,628.86</w:t>
            </w:r>
          </w:p>
        </w:tc>
      </w:tr>
      <w:tr>
        <w:tblPrEx>
          <w:tblLayout w:type="fixed"/>
        </w:tblPrEx>
        <w:tc>
          <w:tcPr>
            <w:tcW w:w="308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减：营业外支出</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439,968.14</w:t>
            </w:r>
          </w:p>
        </w:tc>
        <w:tc>
          <w:tcPr>
            <w:tcW w:w="327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52,482.51</w:t>
            </w:r>
          </w:p>
        </w:tc>
      </w:tr>
      <w:tr>
        <w:tblPrEx>
          <w:tblLayout w:type="fixed"/>
        </w:tblPrEx>
        <w:tc>
          <w:tcPr>
            <w:tcW w:w="308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其中：非流动资产处置损失</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151,934.51</w:t>
            </w:r>
          </w:p>
        </w:tc>
        <w:tc>
          <w:tcPr>
            <w:tcW w:w="327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10,083.88</w:t>
            </w:r>
          </w:p>
        </w:tc>
      </w:tr>
      <w:tr>
        <w:tblPrEx>
          <w:tblLayout w:type="fixed"/>
        </w:tblPrEx>
        <w:tc>
          <w:tcPr>
            <w:tcW w:w="308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四、利润总额（亏损总额以</w:t>
            </w:r>
            <w:r>
              <w:rPr>
                <w:sz w:val="21"/>
                <w:szCs w:val="21"/>
              </w:rPr>
              <w:t>“</w:t>
            </w:r>
            <w:r>
              <w:rPr>
                <w:rFonts w:hint="eastAsia"/>
                <w:sz w:val="21"/>
                <w:szCs w:val="21"/>
              </w:rPr>
              <w:t>－</w:t>
            </w:r>
            <w:r>
              <w:rPr>
                <w:sz w:val="21"/>
                <w:szCs w:val="21"/>
              </w:rPr>
              <w:t>”</w:t>
            </w:r>
            <w:r>
              <w:rPr>
                <w:rFonts w:hint="eastAsia"/>
                <w:sz w:val="21"/>
                <w:szCs w:val="21"/>
              </w:rPr>
              <w:t>号填列）</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136,909,359.96</w:t>
            </w:r>
          </w:p>
        </w:tc>
        <w:tc>
          <w:tcPr>
            <w:tcW w:w="327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40,933,032.43</w:t>
            </w:r>
          </w:p>
        </w:tc>
      </w:tr>
      <w:tr>
        <w:tblPrEx>
          <w:tblLayout w:type="fixed"/>
        </w:tblPrEx>
        <w:tc>
          <w:tcPr>
            <w:tcW w:w="308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减：所得税费用</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26,099,140.79</w:t>
            </w:r>
          </w:p>
        </w:tc>
        <w:tc>
          <w:tcPr>
            <w:tcW w:w="327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4,719,511.24</w:t>
            </w:r>
          </w:p>
        </w:tc>
      </w:tr>
      <w:tr>
        <w:tblPrEx>
          <w:tblLayout w:type="fixed"/>
        </w:tblPrEx>
        <w:tc>
          <w:tcPr>
            <w:tcW w:w="308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五、净利润（净亏损以</w:t>
            </w:r>
            <w:r>
              <w:rPr>
                <w:sz w:val="21"/>
                <w:szCs w:val="21"/>
              </w:rPr>
              <w:t>“</w:t>
            </w:r>
            <w:r>
              <w:rPr>
                <w:rFonts w:hint="eastAsia"/>
                <w:sz w:val="21"/>
                <w:szCs w:val="21"/>
              </w:rPr>
              <w:t>－</w:t>
            </w:r>
            <w:r>
              <w:rPr>
                <w:sz w:val="21"/>
                <w:szCs w:val="21"/>
              </w:rPr>
              <w:t>”</w:t>
            </w:r>
            <w:r>
              <w:rPr>
                <w:rFonts w:hint="eastAsia"/>
                <w:sz w:val="21"/>
                <w:szCs w:val="21"/>
              </w:rPr>
              <w:t>号填列）</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110,810,219.17</w:t>
            </w:r>
          </w:p>
        </w:tc>
        <w:tc>
          <w:tcPr>
            <w:tcW w:w="327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36,213,521.19</w:t>
            </w:r>
          </w:p>
        </w:tc>
      </w:tr>
      <w:tr>
        <w:tblPrEx>
          <w:tblLayout w:type="fixed"/>
        </w:tblPrEx>
        <w:tc>
          <w:tcPr>
            <w:tcW w:w="308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归属于母公司所有者的净利润</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81,983,493.18</w:t>
            </w:r>
          </w:p>
        </w:tc>
        <w:tc>
          <w:tcPr>
            <w:tcW w:w="327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35,429,529.71</w:t>
            </w:r>
          </w:p>
        </w:tc>
      </w:tr>
      <w:tr>
        <w:tblPrEx>
          <w:tblLayout w:type="fixed"/>
        </w:tblPrEx>
        <w:tc>
          <w:tcPr>
            <w:tcW w:w="308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少数股东损益</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28,826,725.99</w:t>
            </w:r>
          </w:p>
        </w:tc>
        <w:tc>
          <w:tcPr>
            <w:tcW w:w="327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783,991.48</w:t>
            </w:r>
          </w:p>
        </w:tc>
      </w:tr>
      <w:tr>
        <w:tblPrEx>
          <w:tblLayout w:type="fixed"/>
        </w:tblPrEx>
        <w:tc>
          <w:tcPr>
            <w:tcW w:w="308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六、其他综合收益的税后净额</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7,114,149.02</w:t>
            </w:r>
          </w:p>
        </w:tc>
        <w:tc>
          <w:tcPr>
            <w:tcW w:w="327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1,064,130.06</w:t>
            </w:r>
          </w:p>
        </w:tc>
      </w:tr>
      <w:tr>
        <w:tblPrEx>
          <w:tblLayout w:type="fixed"/>
          <w:tblCellMar>
            <w:top w:w="0" w:type="dxa"/>
            <w:left w:w="28" w:type="dxa"/>
            <w:bottom w:w="0" w:type="dxa"/>
            <w:right w:w="28" w:type="dxa"/>
          </w:tblCellMar>
        </w:tblPrEx>
        <w:tc>
          <w:tcPr>
            <w:tcW w:w="308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归属母公司所有者的其他综合收益的税后净额</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6,488,245.37</w:t>
            </w:r>
          </w:p>
        </w:tc>
        <w:tc>
          <w:tcPr>
            <w:tcW w:w="327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958,093.22</w:t>
            </w:r>
          </w:p>
        </w:tc>
      </w:tr>
      <w:tr>
        <w:tblPrEx>
          <w:tblLayout w:type="fixed"/>
          <w:tblCellMar>
            <w:top w:w="0" w:type="dxa"/>
            <w:left w:w="28" w:type="dxa"/>
            <w:bottom w:w="0" w:type="dxa"/>
            <w:right w:w="28" w:type="dxa"/>
          </w:tblCellMar>
        </w:tblPrEx>
        <w:tc>
          <w:tcPr>
            <w:tcW w:w="308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（一）以后不能重分类进损益的其他综合收益</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27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308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1.</w:t>
            </w:r>
            <w:r>
              <w:rPr>
                <w:rFonts w:hint="eastAsia"/>
                <w:sz w:val="21"/>
                <w:szCs w:val="21"/>
              </w:rPr>
              <w:t>重新计量设定受益计划净负债或净资产的变动</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27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308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2.</w:t>
            </w:r>
            <w:r>
              <w:rPr>
                <w:rFonts w:hint="eastAsia"/>
                <w:sz w:val="21"/>
                <w:szCs w:val="21"/>
              </w:rPr>
              <w:t>权益法下在被投资单位不能重分类进损益的其他综合收益中享有的份额</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27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308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（二）以后将重分类进损益的其他综合收益</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6,488,245.37</w:t>
            </w:r>
          </w:p>
        </w:tc>
        <w:tc>
          <w:tcPr>
            <w:tcW w:w="327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958,093.22</w:t>
            </w:r>
          </w:p>
        </w:tc>
      </w:tr>
      <w:tr>
        <w:tblPrEx>
          <w:tblLayout w:type="fixed"/>
          <w:tblCellMar>
            <w:top w:w="0" w:type="dxa"/>
            <w:left w:w="28" w:type="dxa"/>
            <w:bottom w:w="0" w:type="dxa"/>
            <w:right w:w="28" w:type="dxa"/>
          </w:tblCellMar>
        </w:tblPrEx>
        <w:tc>
          <w:tcPr>
            <w:tcW w:w="308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1.</w:t>
            </w:r>
            <w:r>
              <w:rPr>
                <w:rFonts w:hint="eastAsia"/>
                <w:sz w:val="21"/>
                <w:szCs w:val="21"/>
              </w:rPr>
              <w:t>权益法下在被投资单位以后将重分类进损益的其他综合收益中享有的份额</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27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308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2.</w:t>
            </w:r>
            <w:r>
              <w:rPr>
                <w:rFonts w:hint="eastAsia"/>
                <w:sz w:val="21"/>
                <w:szCs w:val="21"/>
              </w:rPr>
              <w:t>可供出售金融资产公允价值变动损益</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27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308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3.</w:t>
            </w:r>
            <w:r>
              <w:rPr>
                <w:rFonts w:hint="eastAsia"/>
                <w:sz w:val="21"/>
                <w:szCs w:val="21"/>
              </w:rPr>
              <w:t>持有至到期投资重分类为可供出售金融资产损益</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27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308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4.</w:t>
            </w:r>
            <w:r>
              <w:rPr>
                <w:rFonts w:hint="eastAsia"/>
                <w:sz w:val="21"/>
                <w:szCs w:val="21"/>
              </w:rPr>
              <w:t>现金流量套期损益的有效部分</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27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308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5.</w:t>
            </w:r>
            <w:r>
              <w:rPr>
                <w:rFonts w:hint="eastAsia"/>
                <w:sz w:val="21"/>
                <w:szCs w:val="21"/>
              </w:rPr>
              <w:t>外币财务报表折算差额</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6,488,245.37</w:t>
            </w:r>
          </w:p>
        </w:tc>
        <w:tc>
          <w:tcPr>
            <w:tcW w:w="327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958,093.22</w:t>
            </w:r>
          </w:p>
        </w:tc>
      </w:tr>
      <w:tr>
        <w:tblPrEx>
          <w:tblLayout w:type="fixed"/>
          <w:tblCellMar>
            <w:top w:w="0" w:type="dxa"/>
            <w:left w:w="28" w:type="dxa"/>
            <w:bottom w:w="0" w:type="dxa"/>
            <w:right w:w="28" w:type="dxa"/>
          </w:tblCellMar>
        </w:tblPrEx>
        <w:tc>
          <w:tcPr>
            <w:tcW w:w="308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6.</w:t>
            </w:r>
            <w:r>
              <w:rPr>
                <w:rFonts w:hint="eastAsia"/>
                <w:sz w:val="21"/>
                <w:szCs w:val="21"/>
              </w:rPr>
              <w:t>其他</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27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308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归属于少数股东的其他综合收益的税后净额</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625,903.65</w:t>
            </w:r>
          </w:p>
        </w:tc>
        <w:tc>
          <w:tcPr>
            <w:tcW w:w="327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106,036.84</w:t>
            </w:r>
          </w:p>
        </w:tc>
      </w:tr>
      <w:tr>
        <w:tblPrEx>
          <w:tblLayout w:type="fixed"/>
          <w:tblCellMar>
            <w:top w:w="0" w:type="dxa"/>
            <w:left w:w="28" w:type="dxa"/>
            <w:bottom w:w="0" w:type="dxa"/>
            <w:right w:w="28" w:type="dxa"/>
          </w:tblCellMar>
        </w:tblPrEx>
        <w:tc>
          <w:tcPr>
            <w:tcW w:w="308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七、综合收益总额</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117,924,368.19</w:t>
            </w:r>
          </w:p>
        </w:tc>
        <w:tc>
          <w:tcPr>
            <w:tcW w:w="327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37,277,651.25</w:t>
            </w:r>
          </w:p>
        </w:tc>
      </w:tr>
      <w:tr>
        <w:tblPrEx>
          <w:tblLayout w:type="fixed"/>
          <w:tblCellMar>
            <w:top w:w="0" w:type="dxa"/>
            <w:left w:w="28" w:type="dxa"/>
            <w:bottom w:w="0" w:type="dxa"/>
            <w:right w:w="28" w:type="dxa"/>
          </w:tblCellMar>
        </w:tblPrEx>
        <w:tc>
          <w:tcPr>
            <w:tcW w:w="308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归属于母公司所有者的综合收益总额</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88,471,738.55</w:t>
            </w:r>
          </w:p>
        </w:tc>
        <w:tc>
          <w:tcPr>
            <w:tcW w:w="327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36,387,622.93</w:t>
            </w:r>
          </w:p>
        </w:tc>
      </w:tr>
      <w:tr>
        <w:tblPrEx>
          <w:tblLayout w:type="fixed"/>
          <w:tblCellMar>
            <w:top w:w="0" w:type="dxa"/>
            <w:left w:w="28" w:type="dxa"/>
            <w:bottom w:w="0" w:type="dxa"/>
            <w:right w:w="28" w:type="dxa"/>
          </w:tblCellMar>
        </w:tblPrEx>
        <w:tc>
          <w:tcPr>
            <w:tcW w:w="308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归属于少数股东的综合收益总额</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29,452,629.64</w:t>
            </w:r>
          </w:p>
        </w:tc>
        <w:tc>
          <w:tcPr>
            <w:tcW w:w="327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890,028.32</w:t>
            </w:r>
          </w:p>
        </w:tc>
      </w:tr>
      <w:tr>
        <w:tblPrEx>
          <w:tblLayout w:type="fixed"/>
        </w:tblPrEx>
        <w:tc>
          <w:tcPr>
            <w:tcW w:w="308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八、每股收益：</w:t>
            </w:r>
          </w:p>
        </w:tc>
        <w:tc>
          <w:tcPr>
            <w:tcW w:w="321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p>
        </w:tc>
        <w:tc>
          <w:tcPr>
            <w:tcW w:w="327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p>
        </w:tc>
      </w:tr>
      <w:tr>
        <w:tblPrEx>
          <w:tblLayout w:type="fixed"/>
          <w:tblCellMar>
            <w:top w:w="0" w:type="dxa"/>
            <w:left w:w="28" w:type="dxa"/>
            <w:bottom w:w="0" w:type="dxa"/>
            <w:right w:w="28" w:type="dxa"/>
          </w:tblCellMar>
        </w:tblPrEx>
        <w:tc>
          <w:tcPr>
            <w:tcW w:w="308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（一）基本每股收益</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0.34</w:t>
            </w:r>
          </w:p>
        </w:tc>
        <w:tc>
          <w:tcPr>
            <w:tcW w:w="327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0.17</w:t>
            </w:r>
          </w:p>
        </w:tc>
      </w:tr>
      <w:tr>
        <w:tblPrEx>
          <w:tblLayout w:type="fixed"/>
        </w:tblPrEx>
        <w:tc>
          <w:tcPr>
            <w:tcW w:w="308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（二）稀释每股收益</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0.34</w:t>
            </w:r>
          </w:p>
        </w:tc>
        <w:tc>
          <w:tcPr>
            <w:tcW w:w="327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0.17</w:t>
            </w:r>
          </w:p>
        </w:tc>
      </w:tr>
    </w:tbl>
    <w:p>
      <w:pPr>
        <w:spacing w:before="300"/>
        <w:rPr>
          <w:sz w:val="21"/>
          <w:szCs w:val="21"/>
        </w:rPr>
      </w:pPr>
    </w:p>
    <w:p>
      <w:pPr>
        <w:spacing w:before="300"/>
        <w:rPr>
          <w:sz w:val="21"/>
          <w:szCs w:val="21"/>
        </w:rPr>
      </w:pPr>
      <w:r>
        <w:rPr>
          <w:rFonts w:hint="eastAsia"/>
          <w:sz w:val="21"/>
          <w:szCs w:val="21"/>
        </w:rPr>
        <w:t>法定代表人：申万秋</w:t>
      </w:r>
      <w:r>
        <w:rPr>
          <w:sz w:val="21"/>
          <w:szCs w:val="21"/>
        </w:rPr>
        <w:t xml:space="preserve">            </w:t>
      </w:r>
      <w:r>
        <w:rPr>
          <w:rFonts w:hint="eastAsia"/>
          <w:sz w:val="21"/>
          <w:szCs w:val="21"/>
        </w:rPr>
        <w:t>主管会计工作负责人：柳丽华</w:t>
      </w:r>
      <w:r>
        <w:rPr>
          <w:sz w:val="21"/>
          <w:szCs w:val="21"/>
        </w:rPr>
        <w:t xml:space="preserve">             </w:t>
      </w:r>
      <w:r>
        <w:rPr>
          <w:rFonts w:hint="eastAsia"/>
          <w:sz w:val="21"/>
          <w:szCs w:val="21"/>
        </w:rPr>
        <w:t>会计机构负责人：柳丽华</w:t>
      </w:r>
    </w:p>
    <w:p>
      <w:pPr>
        <w:pStyle w:val="11"/>
        <w:outlineLvl w:val="2"/>
        <w:rPr>
          <w:bCs w:val="0"/>
          <w:szCs w:val="24"/>
        </w:rPr>
      </w:pPr>
      <w:r>
        <w:rPr>
          <w:bCs w:val="0"/>
          <w:szCs w:val="24"/>
        </w:rPr>
        <w:t>4</w:t>
      </w:r>
      <w:r>
        <w:rPr>
          <w:rFonts w:hint="eastAsia"/>
          <w:bCs w:val="0"/>
          <w:szCs w:val="24"/>
        </w:rPr>
        <w:t>、母公司利润表</w:t>
      </w:r>
    </w:p>
    <w:p>
      <w:pPr>
        <w:jc w:val="right"/>
      </w:pPr>
      <w:r>
        <w:rPr>
          <w:rFonts w:hint="eastAsia"/>
        </w:rPr>
        <w:t>单位：元</w:t>
      </w:r>
    </w:p>
    <w:tbl>
      <w:tblPr>
        <w:tblStyle w:val="8"/>
        <w:tblW w:w="9568" w:type="dxa"/>
        <w:tblInd w:w="28" w:type="dxa"/>
        <w:tblLayout w:type="fixed"/>
        <w:tblCellMar>
          <w:top w:w="0" w:type="dxa"/>
          <w:left w:w="28" w:type="dxa"/>
          <w:bottom w:w="0" w:type="dxa"/>
          <w:right w:w="28" w:type="dxa"/>
        </w:tblCellMar>
      </w:tblPr>
      <w:tblGrid>
        <w:gridCol w:w="2967"/>
        <w:gridCol w:w="3300"/>
        <w:gridCol w:w="3301"/>
      </w:tblGrid>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330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本期发生额</w:t>
            </w:r>
          </w:p>
        </w:tc>
        <w:tc>
          <w:tcPr>
            <w:tcW w:w="330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上期发生额</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一、营业收入</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182,905,512.60</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170,121,538.34</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减：营业成本</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91,318,492.77</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84,073,652.86</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税金及附加</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1,523,728.42</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889,018.18</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销售费用</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26,636,669.58</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22,312,520.73</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管理费用</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36,001,457.10</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48,644,635.93</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财务费用</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-1,279,387.98</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-1,223,909.68</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资产减值损失</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1,672,530.35</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5,558,143.02</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加：公允价值变动收益（损失以</w:t>
            </w:r>
            <w:r>
              <w:rPr>
                <w:sz w:val="21"/>
                <w:szCs w:val="21"/>
              </w:rPr>
              <w:t>“</w:t>
            </w:r>
            <w:r>
              <w:rPr>
                <w:rFonts w:hint="eastAsia"/>
                <w:sz w:val="21"/>
                <w:szCs w:val="21"/>
              </w:rPr>
              <w:t>－</w:t>
            </w:r>
            <w:r>
              <w:rPr>
                <w:sz w:val="21"/>
                <w:szCs w:val="21"/>
              </w:rPr>
              <w:t>”</w:t>
            </w:r>
            <w:r>
              <w:rPr>
                <w:rFonts w:hint="eastAsia"/>
                <w:sz w:val="21"/>
                <w:szCs w:val="21"/>
              </w:rPr>
              <w:t>号填列）</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投资收益（损失以</w:t>
            </w:r>
            <w:r>
              <w:rPr>
                <w:sz w:val="21"/>
                <w:szCs w:val="21"/>
              </w:rPr>
              <w:t>“</w:t>
            </w:r>
            <w:r>
              <w:rPr>
                <w:rFonts w:hint="eastAsia"/>
                <w:sz w:val="21"/>
                <w:szCs w:val="21"/>
              </w:rPr>
              <w:t>－</w:t>
            </w:r>
            <w:r>
              <w:rPr>
                <w:sz w:val="21"/>
                <w:szCs w:val="21"/>
              </w:rPr>
              <w:t>”</w:t>
            </w:r>
            <w:r>
              <w:rPr>
                <w:rFonts w:hint="eastAsia"/>
                <w:sz w:val="21"/>
                <w:szCs w:val="21"/>
              </w:rPr>
              <w:t>号填列）</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-1,004,729.41</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11,186,905.76</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其中：对联营企业和合营企业的投资收益</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-1,112,840.64</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3,656,087.27</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二、营业利润（亏损以</w:t>
            </w:r>
            <w:r>
              <w:rPr>
                <w:sz w:val="21"/>
                <w:szCs w:val="21"/>
              </w:rPr>
              <w:t>“</w:t>
            </w:r>
            <w:r>
              <w:rPr>
                <w:rFonts w:hint="eastAsia"/>
                <w:sz w:val="21"/>
                <w:szCs w:val="21"/>
              </w:rPr>
              <w:t>－</w:t>
            </w:r>
            <w:r>
              <w:rPr>
                <w:sz w:val="21"/>
                <w:szCs w:val="21"/>
              </w:rPr>
              <w:t>”</w:t>
            </w:r>
            <w:r>
              <w:rPr>
                <w:rFonts w:hint="eastAsia"/>
                <w:sz w:val="21"/>
                <w:szCs w:val="21"/>
              </w:rPr>
              <w:t>号填列）</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26,027,292.95</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21,054,383.06</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加：营业外收入</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22,821,763.20</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18,405,318.12</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其中：非流动资产处置利得</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减：营业外支出</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6,244.66</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7,546.11</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其中：非流动资产处置损失</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6,237.86</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6,271.55</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三、利润总额（亏损总额以</w:t>
            </w:r>
            <w:r>
              <w:rPr>
                <w:sz w:val="21"/>
                <w:szCs w:val="21"/>
              </w:rPr>
              <w:t>“</w:t>
            </w:r>
            <w:r>
              <w:rPr>
                <w:rFonts w:hint="eastAsia"/>
                <w:sz w:val="21"/>
                <w:szCs w:val="21"/>
              </w:rPr>
              <w:t>－</w:t>
            </w:r>
            <w:r>
              <w:rPr>
                <w:sz w:val="21"/>
                <w:szCs w:val="21"/>
              </w:rPr>
              <w:t>”</w:t>
            </w:r>
            <w:r>
              <w:rPr>
                <w:rFonts w:hint="eastAsia"/>
                <w:sz w:val="21"/>
                <w:szCs w:val="21"/>
              </w:rPr>
              <w:t>号填列）</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48,842,811.49</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39,452,155.07</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减：所得税费用</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6,023,393.10</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5,170,654.98</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四、净利润（净亏损以</w:t>
            </w:r>
            <w:r>
              <w:rPr>
                <w:sz w:val="21"/>
                <w:szCs w:val="21"/>
              </w:rPr>
              <w:t>“</w:t>
            </w:r>
            <w:r>
              <w:rPr>
                <w:rFonts w:hint="eastAsia"/>
                <w:sz w:val="21"/>
                <w:szCs w:val="21"/>
              </w:rPr>
              <w:t>－</w:t>
            </w:r>
            <w:r>
              <w:rPr>
                <w:sz w:val="21"/>
                <w:szCs w:val="21"/>
              </w:rPr>
              <w:t>”</w:t>
            </w:r>
            <w:r>
              <w:rPr>
                <w:rFonts w:hint="eastAsia"/>
                <w:sz w:val="21"/>
                <w:szCs w:val="21"/>
              </w:rPr>
              <w:t>号填列）</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42,819,418.39</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34,281,500.09</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五、其他综合收益的税后净额</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（一）以后不能重分类进损益的其他综合收益</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1.</w:t>
            </w:r>
            <w:r>
              <w:rPr>
                <w:rFonts w:hint="eastAsia"/>
                <w:sz w:val="21"/>
                <w:szCs w:val="21"/>
              </w:rPr>
              <w:t>重新计量设定受益计划净负债或净资产的变动</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2.</w:t>
            </w:r>
            <w:r>
              <w:rPr>
                <w:rFonts w:hint="eastAsia"/>
                <w:sz w:val="21"/>
                <w:szCs w:val="21"/>
              </w:rPr>
              <w:t>权益法下在被投资单位不能重分类进损益的其他综合收益中享有的份额</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（二）以后将重分类进损益的其他综合收益</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1.</w:t>
            </w:r>
            <w:r>
              <w:rPr>
                <w:rFonts w:hint="eastAsia"/>
                <w:sz w:val="21"/>
                <w:szCs w:val="21"/>
              </w:rPr>
              <w:t>权益法下在被投资单位以后将重分类进损益的其他综合收益中享有的份额</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2.</w:t>
            </w:r>
            <w:r>
              <w:rPr>
                <w:rFonts w:hint="eastAsia"/>
                <w:sz w:val="21"/>
                <w:szCs w:val="21"/>
              </w:rPr>
              <w:t>可供出售金融资产公允价值变动损益</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3.</w:t>
            </w:r>
            <w:r>
              <w:rPr>
                <w:rFonts w:hint="eastAsia"/>
                <w:sz w:val="21"/>
                <w:szCs w:val="21"/>
              </w:rPr>
              <w:t>持有至到期投资重分类为可供出售金融资产损益</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4.</w:t>
            </w:r>
            <w:r>
              <w:rPr>
                <w:rFonts w:hint="eastAsia"/>
                <w:sz w:val="21"/>
                <w:szCs w:val="21"/>
              </w:rPr>
              <w:t>现金流量套期损益的有效部分</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5.</w:t>
            </w:r>
            <w:r>
              <w:rPr>
                <w:rFonts w:hint="eastAsia"/>
                <w:sz w:val="21"/>
                <w:szCs w:val="21"/>
              </w:rPr>
              <w:t>外币财务报表折算差额</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6.</w:t>
            </w:r>
            <w:r>
              <w:rPr>
                <w:rFonts w:hint="eastAsia"/>
                <w:sz w:val="21"/>
                <w:szCs w:val="21"/>
              </w:rPr>
              <w:t>其他</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六、综合收益总额</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42,819,418.39</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34,281,500.09</w:t>
            </w: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七、每股收益：</w:t>
            </w:r>
          </w:p>
        </w:tc>
        <w:tc>
          <w:tcPr>
            <w:tcW w:w="330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（一）基本每股收益</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（二）稀释每股收益</w:t>
            </w:r>
          </w:p>
        </w:tc>
        <w:tc>
          <w:tcPr>
            <w:tcW w:w="33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bl>
    <w:p>
      <w:pPr>
        <w:pStyle w:val="11"/>
        <w:outlineLvl w:val="2"/>
        <w:rPr>
          <w:bCs w:val="0"/>
          <w:szCs w:val="24"/>
        </w:rPr>
      </w:pPr>
      <w:r>
        <w:rPr>
          <w:bCs w:val="0"/>
          <w:szCs w:val="24"/>
        </w:rPr>
        <w:t>5</w:t>
      </w:r>
      <w:r>
        <w:rPr>
          <w:rFonts w:hint="eastAsia"/>
          <w:bCs w:val="0"/>
          <w:szCs w:val="24"/>
        </w:rPr>
        <w:t>、合并现金流量表</w:t>
      </w:r>
    </w:p>
    <w:p>
      <w:pPr>
        <w:jc w:val="right"/>
        <w:rPr>
          <w:sz w:val="21"/>
          <w:szCs w:val="21"/>
        </w:rPr>
      </w:pPr>
      <w:r>
        <w:rPr>
          <w:rFonts w:hint="eastAsia"/>
          <w:sz w:val="21"/>
          <w:szCs w:val="21"/>
        </w:rPr>
        <w:t>单位：元</w:t>
      </w:r>
    </w:p>
    <w:tbl>
      <w:tblPr>
        <w:tblStyle w:val="8"/>
        <w:tblW w:w="9568" w:type="dxa"/>
        <w:tblInd w:w="28" w:type="dxa"/>
        <w:tblLayout w:type="fixed"/>
        <w:tblCellMar>
          <w:top w:w="0" w:type="dxa"/>
          <w:left w:w="28" w:type="dxa"/>
          <w:bottom w:w="0" w:type="dxa"/>
          <w:right w:w="28" w:type="dxa"/>
        </w:tblCellMar>
      </w:tblPr>
      <w:tblGrid>
        <w:gridCol w:w="2966"/>
        <w:gridCol w:w="3301"/>
        <w:gridCol w:w="3301"/>
      </w:tblGrid>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330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本期发生额</w:t>
            </w:r>
          </w:p>
        </w:tc>
        <w:tc>
          <w:tcPr>
            <w:tcW w:w="330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上期发生额</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一、经营活动产生的现金流量：</w:t>
            </w:r>
          </w:p>
        </w:tc>
        <w:tc>
          <w:tcPr>
            <w:tcW w:w="3301"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销售商品、提供劳务收到的现金</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752,987,676.92</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318,389,214.72</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客户存款和同业存放款项净增加额</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向中央银行借款净增加额</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向其他金融机构拆入资金净增加额</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收到原保险合同保费取得的现金</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收到再保险业务现金净额</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保户储金及投资款净增加额</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处置以公允价值计量且其变动计入当期损益的金融资产净增加额</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收取利息、手续费及佣金的现金</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拆入资金净增加额</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回购业务资金净增加额</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收到的税费返还</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8,504,358.65</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9,354,787.57</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收到其他与经营活动有关的现金</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79,694,835.01</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18,617,661.95</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经营活动现金流入小计</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841,186,870.58</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346,361,664.24</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购买商品、接受劳务支付的现金</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404,063,967.36</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168,643,126.12</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客户贷款及垫款净增加额</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存放中央银行和同业款项净增加额</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支付原保险合同赔付款项的现金</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支付利息、手续费及佣金的现金</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支付保单红利的现金</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支付给职工以及为职工支付的现金</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69,854,862.50</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40,726,203.49</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支付的各项税费</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29,719,375.71</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18,132,606.24</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支付其他与经营活动有关的现金</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180,463,376.84</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63,174,480.42</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经营活动现金流出小计</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684,101,582.41</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290,676,416.27</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经营活动产生的现金流量净额</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157,085,288.17</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55,685,247.97</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二、投资活动产生的现金流量：</w:t>
            </w:r>
          </w:p>
        </w:tc>
        <w:tc>
          <w:tcPr>
            <w:tcW w:w="3301"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收回投资收到的现金</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746,700,000.00</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18,150,000.00</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取得投资收益收到的现金</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2,538,025.75</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处置固定资产、无形资产和其他长期资产收回的现金净额</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207,917.24</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2,657,703.37</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处置子公司及其他营业单位收到的现金净额</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4,364,626.82</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收到其他与投资活动有关的现金</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29,000,000.00</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270,100,784.10</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投资活动现金流入小计</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778,445,942.99</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295,273,114.29</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购建固定资产、无形资产和其他长期资产支付的现金</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26,988,237.88</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56,915,811.81</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投资支付的现金</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962,780,000.00</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34,670,000.00</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质押贷款净增加额</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取得子公司及其他营业单位支付的现金净额</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28,104,896.22</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支付其他与投资活动有关的现金</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投资活动现金流出小计</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1,017,873,134.10</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91,585,811.81</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投资活动产生的现金流量净额</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-239,427,191.11</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203,687,302.48</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三、筹资活动产生的现金流量：</w:t>
            </w:r>
          </w:p>
        </w:tc>
        <w:tc>
          <w:tcPr>
            <w:tcW w:w="3301"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吸收投资收到的现金</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其中：子公司吸收少数股东投资收到的现金</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取得借款收到的现金</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56,772,597.82</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64,000,000.00</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发行债券收到的现金</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收到其他与筹资活动有关的现金</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筹资活动现金流入小计</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56,772,597.82</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64,000,000.00</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偿还债务支付的现金</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46,634,958.33</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25,000,000.00</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分配股利、利润或偿付利息支付的现金</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68,406,419.98</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8,222,930.83</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其中：子公司支付给少数股东的股利、利润</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59,245,924.38</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支付其他与筹资活动有关的现金</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17,200,568.48</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20,088,321.97</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筹资活动现金流出小计</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132,241,946.79</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53,311,252.80</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筹资活动产生的现金流量净额</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-75,469,348.97</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10,688,747.20</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四、汇率变动对现金及现金等价物的影响</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2,826,738.41</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439,493.99</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五、现金及现金等价物净增加额</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-154,984,513.50</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270,500,791.64</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加：期初现金及现金等价物余额</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424,310,792.35</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153,810,000.71</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六、期末现金及现金等价物余额</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269,326,278.85</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424,310,792.35</w:t>
            </w:r>
          </w:p>
        </w:tc>
      </w:tr>
    </w:tbl>
    <w:p>
      <w:pPr>
        <w:pStyle w:val="11"/>
        <w:outlineLvl w:val="2"/>
        <w:rPr>
          <w:bCs w:val="0"/>
          <w:szCs w:val="24"/>
        </w:rPr>
      </w:pPr>
      <w:r>
        <w:rPr>
          <w:bCs w:val="0"/>
          <w:szCs w:val="24"/>
        </w:rPr>
        <w:t>6</w:t>
      </w:r>
      <w:r>
        <w:rPr>
          <w:rFonts w:hint="eastAsia"/>
          <w:bCs w:val="0"/>
          <w:szCs w:val="24"/>
        </w:rPr>
        <w:t>、母公司现金流量表</w:t>
      </w:r>
    </w:p>
    <w:p>
      <w:pPr>
        <w:jc w:val="right"/>
        <w:rPr>
          <w:sz w:val="21"/>
          <w:szCs w:val="21"/>
        </w:rPr>
      </w:pPr>
      <w:r>
        <w:rPr>
          <w:rFonts w:hint="eastAsia"/>
          <w:sz w:val="21"/>
          <w:szCs w:val="21"/>
        </w:rPr>
        <w:t>单位：元</w:t>
      </w:r>
    </w:p>
    <w:tbl>
      <w:tblPr>
        <w:tblStyle w:val="8"/>
        <w:tblW w:w="9568" w:type="dxa"/>
        <w:tblInd w:w="28" w:type="dxa"/>
        <w:tblLayout w:type="fixed"/>
        <w:tblCellMar>
          <w:top w:w="0" w:type="dxa"/>
          <w:left w:w="28" w:type="dxa"/>
          <w:bottom w:w="0" w:type="dxa"/>
          <w:right w:w="28" w:type="dxa"/>
        </w:tblCellMar>
      </w:tblPr>
      <w:tblGrid>
        <w:gridCol w:w="2966"/>
        <w:gridCol w:w="3301"/>
        <w:gridCol w:w="3301"/>
      </w:tblGrid>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330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本期发生额</w:t>
            </w:r>
          </w:p>
        </w:tc>
        <w:tc>
          <w:tcPr>
            <w:tcW w:w="330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上期发生额</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一、经营活动产生的现金流量：</w:t>
            </w:r>
          </w:p>
        </w:tc>
        <w:tc>
          <w:tcPr>
            <w:tcW w:w="3301"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销售商品、提供劳务收到的现金</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220,044,726.43</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204,251,953.14</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收到的税费返还</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6,594,415.16</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8,488,982.90</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收到其他与经营活动有关的现金</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40,056,306.17</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9,438,433.66</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经营活动现金流入小计</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266,695,447.76</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222,179,369.70</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购买商品、接受劳务支付的现金</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86,391,866.90</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60,840,169.66</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支付给职工以及为职工支付的现金</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31,752,287.49</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28,967,308.19</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支付的各项税费</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20,100,575.47</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12,685,815.32</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支付其他与经营活动有关的现金</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42,891,612.96</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30,956,246.66</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经营活动现金流出小计</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181,136,342.82</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133,449,539.83</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经营活动产生的现金流量净额</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85,559,104.94</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88,729,829.87</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二、投资活动产生的现金流量：</w:t>
            </w:r>
          </w:p>
        </w:tc>
        <w:tc>
          <w:tcPr>
            <w:tcW w:w="3301"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收回投资收到的现金</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32,600,000.00</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18,150,000.00</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取得投资收益收到的现金</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108,111.23</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2,500,000.00</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处置固定资产、无形资产和其他长期资产收回的现金净额</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11,000.00</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529,505.77</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处置子公司及其他营业单位收到的现金净额</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6,160,000.00</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收到其他与投资活动有关的现金</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投资活动现金流入小计</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32,719,111.23</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27,339,505.77</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购建固定资产、无形资产和其他长期资产支付的现金</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11,183,110.58</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30,487,795.08</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投资支付的现金</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89,780,000.00</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74,970,000.00</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取得子公司及其他营业单位支付的现金净额</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支付其他与投资活动有关的现金</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投资活动现金流出小计</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100,963,110.58</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105,457,795.08</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投资活动产生的现金流量净额</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-68,243,999.35</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-78,118,289.31</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三、筹资活动产生的现金流量：</w:t>
            </w:r>
          </w:p>
        </w:tc>
        <w:tc>
          <w:tcPr>
            <w:tcW w:w="3301"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吸收投资收到的现金</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取得借款收到的现金</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20,000,000.00</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发行债券收到的现金</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收到其他与筹资活动有关的现金</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筹资活动现金流入小计</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20,000,000.00</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偿还债务支付的现金</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20,000,000.00</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分配股利、利润或偿付利息支付的现金</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7,575,378.20</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6,524,900.18</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支付其他与筹资活动有关的现金</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3,200,000.00</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18,199,178.42</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筹资活动现金流出小计</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30,775,378.20</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24,724,078.60</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筹资活动产生的现金流量净额</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-30,775,378.20</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-4,724,078.60</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四、汇率变动对现金及现金等价物的影响</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370,149.87</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五、现金及现金等价物净增加额</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-13,090,122.74</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5,887,461.96</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加：期初现金及现金等价物余额</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77,836,715.52</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71,949,253.56</w:t>
            </w:r>
          </w:p>
        </w:tc>
      </w:tr>
      <w:tr>
        <w:tblPrEx>
          <w:tblLayout w:type="fixed"/>
          <w:tblCellMar>
            <w:top w:w="0" w:type="dxa"/>
            <w:left w:w="28" w:type="dxa"/>
            <w:bottom w:w="0" w:type="dxa"/>
            <w:right w:w="28" w:type="dxa"/>
          </w:tblCellMar>
        </w:tblPrEx>
        <w:tc>
          <w:tcPr>
            <w:tcW w:w="296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六、期末现金及现金等价物余额</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64,746,592.78</w:t>
            </w:r>
          </w:p>
        </w:tc>
        <w:tc>
          <w:tcPr>
            <w:tcW w:w="33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77,836,715.52</w:t>
            </w:r>
          </w:p>
        </w:tc>
      </w:tr>
    </w:tbl>
    <w:p>
      <w:pPr>
        <w:pStyle w:val="11"/>
        <w:outlineLvl w:val="2"/>
        <w:rPr>
          <w:bCs w:val="0"/>
          <w:szCs w:val="24"/>
        </w:rPr>
        <w:sectPr>
          <w:headerReference r:id="rId5" w:type="default"/>
          <w:footerReference r:id="rId6" w:type="default"/>
          <w:pgSz w:w="11906" w:h="16838"/>
          <w:pgMar w:top="1440" w:right="1134" w:bottom="1440" w:left="1134" w:header="851" w:footer="992" w:gutter="0"/>
          <w:cols w:space="425" w:num="1"/>
          <w:docGrid w:type="lines" w:linePitch="312" w:charSpace="0"/>
        </w:sectPr>
      </w:pPr>
    </w:p>
    <w:p>
      <w:pPr>
        <w:pStyle w:val="11"/>
        <w:outlineLvl w:val="2"/>
        <w:rPr>
          <w:bCs w:val="0"/>
          <w:szCs w:val="24"/>
        </w:rPr>
      </w:pPr>
      <w:r>
        <w:rPr>
          <w:bCs w:val="0"/>
          <w:szCs w:val="24"/>
        </w:rPr>
        <w:t>7</w:t>
      </w:r>
      <w:r>
        <w:rPr>
          <w:rFonts w:hint="eastAsia"/>
          <w:bCs w:val="0"/>
          <w:szCs w:val="24"/>
        </w:rPr>
        <w:t>、合并所有者权益变动表</w:t>
      </w:r>
    </w:p>
    <w:p>
      <w:pPr>
        <w:jc w:val="left"/>
        <w:rPr>
          <w:sz w:val="21"/>
          <w:szCs w:val="21"/>
        </w:rPr>
      </w:pPr>
      <w:r>
        <w:rPr>
          <w:rFonts w:hint="eastAsia"/>
          <w:sz w:val="21"/>
          <w:szCs w:val="21"/>
        </w:rPr>
        <w:t>本期金额</w:t>
      </w:r>
    </w:p>
    <w:p>
      <w:pPr>
        <w:jc w:val="right"/>
        <w:rPr>
          <w:sz w:val="21"/>
          <w:szCs w:val="21"/>
        </w:rPr>
      </w:pPr>
      <w:r>
        <w:rPr>
          <w:rFonts w:hint="eastAsia"/>
          <w:sz w:val="21"/>
          <w:szCs w:val="21"/>
        </w:rPr>
        <w:t>单位：元</w:t>
      </w:r>
    </w:p>
    <w:tbl>
      <w:tblPr>
        <w:tblStyle w:val="8"/>
        <w:tblW w:w="14014" w:type="dxa"/>
        <w:tblInd w:w="0" w:type="dxa"/>
        <w:tblLayout w:type="fixed"/>
        <w:tblCellMar>
          <w:top w:w="0" w:type="dxa"/>
          <w:left w:w="28" w:type="dxa"/>
          <w:bottom w:w="0" w:type="dxa"/>
          <w:right w:w="28" w:type="dxa"/>
        </w:tblCellMar>
      </w:tblPr>
      <w:tblGrid>
        <w:gridCol w:w="1694"/>
        <w:gridCol w:w="1369"/>
        <w:gridCol w:w="366"/>
        <w:gridCol w:w="366"/>
        <w:gridCol w:w="369"/>
        <w:gridCol w:w="1369"/>
        <w:gridCol w:w="563"/>
        <w:gridCol w:w="1264"/>
        <w:gridCol w:w="563"/>
        <w:gridCol w:w="1264"/>
        <w:gridCol w:w="563"/>
        <w:gridCol w:w="1369"/>
        <w:gridCol w:w="1369"/>
        <w:gridCol w:w="1526"/>
      </w:tblGrid>
      <w:tr>
        <w:tblPrEx>
          <w:tblLayout w:type="fixed"/>
          <w:tblCellMar>
            <w:top w:w="0" w:type="dxa"/>
            <w:left w:w="28" w:type="dxa"/>
            <w:bottom w:w="0" w:type="dxa"/>
            <w:right w:w="28" w:type="dxa"/>
          </w:tblCellMar>
        </w:tblPrEx>
        <w:tc>
          <w:tcPr>
            <w:tcW w:w="1694"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12320" w:type="dxa"/>
            <w:gridSpan w:val="13"/>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w:t>
            </w:r>
          </w:p>
        </w:tc>
      </w:tr>
      <w:tr>
        <w:tblPrEx>
          <w:tblLayout w:type="fixed"/>
          <w:tblCellMar>
            <w:top w:w="0" w:type="dxa"/>
            <w:left w:w="28" w:type="dxa"/>
            <w:bottom w:w="0" w:type="dxa"/>
            <w:right w:w="28" w:type="dxa"/>
          </w:tblCellMar>
        </w:tblPrEx>
        <w:tc>
          <w:tcPr>
            <w:tcW w:w="1694"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9425" w:type="dxa"/>
            <w:gridSpan w:val="11"/>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归属于母公司所有者权益</w:t>
            </w:r>
          </w:p>
        </w:tc>
        <w:tc>
          <w:tcPr>
            <w:tcW w:w="1369"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少数股东权益</w:t>
            </w:r>
          </w:p>
        </w:tc>
        <w:tc>
          <w:tcPr>
            <w:tcW w:w="1526"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所有者权益合计</w:t>
            </w:r>
          </w:p>
        </w:tc>
      </w:tr>
      <w:tr>
        <w:tblPrEx>
          <w:tblLayout w:type="fixed"/>
          <w:tblCellMar>
            <w:top w:w="0" w:type="dxa"/>
            <w:left w:w="28" w:type="dxa"/>
            <w:bottom w:w="0" w:type="dxa"/>
            <w:right w:w="28" w:type="dxa"/>
          </w:tblCellMar>
        </w:tblPrEx>
        <w:tc>
          <w:tcPr>
            <w:tcW w:w="1694"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369"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股本</w:t>
            </w:r>
          </w:p>
        </w:tc>
        <w:tc>
          <w:tcPr>
            <w:tcW w:w="1101" w:type="dxa"/>
            <w:gridSpan w:val="3"/>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其他权益工具</w:t>
            </w:r>
          </w:p>
        </w:tc>
        <w:tc>
          <w:tcPr>
            <w:tcW w:w="1369"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资本公积</w:t>
            </w:r>
          </w:p>
        </w:tc>
        <w:tc>
          <w:tcPr>
            <w:tcW w:w="563"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减：库存股</w:t>
            </w:r>
          </w:p>
        </w:tc>
        <w:tc>
          <w:tcPr>
            <w:tcW w:w="1264"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其他综合收益</w:t>
            </w:r>
          </w:p>
        </w:tc>
        <w:tc>
          <w:tcPr>
            <w:tcW w:w="563"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专项储备</w:t>
            </w:r>
          </w:p>
        </w:tc>
        <w:tc>
          <w:tcPr>
            <w:tcW w:w="1264"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盈余公积</w:t>
            </w:r>
          </w:p>
        </w:tc>
        <w:tc>
          <w:tcPr>
            <w:tcW w:w="563"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一般风险准备</w:t>
            </w:r>
          </w:p>
        </w:tc>
        <w:tc>
          <w:tcPr>
            <w:tcW w:w="1369"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未分配利润</w:t>
            </w:r>
          </w:p>
        </w:tc>
        <w:tc>
          <w:tcPr>
            <w:tcW w:w="1369"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526"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r>
      <w:tr>
        <w:tblPrEx>
          <w:tblLayout w:type="fixed"/>
          <w:tblCellMar>
            <w:top w:w="0" w:type="dxa"/>
            <w:left w:w="28" w:type="dxa"/>
            <w:bottom w:w="0" w:type="dxa"/>
            <w:right w:w="28" w:type="dxa"/>
          </w:tblCellMar>
        </w:tblPrEx>
        <w:tc>
          <w:tcPr>
            <w:tcW w:w="1694"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369"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36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优先股</w:t>
            </w:r>
          </w:p>
        </w:tc>
        <w:tc>
          <w:tcPr>
            <w:tcW w:w="36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永续债</w:t>
            </w:r>
          </w:p>
        </w:tc>
        <w:tc>
          <w:tcPr>
            <w:tcW w:w="36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其他</w:t>
            </w:r>
          </w:p>
        </w:tc>
        <w:tc>
          <w:tcPr>
            <w:tcW w:w="1369"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563"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264"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563"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264"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563"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369"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369"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526"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r>
      <w:tr>
        <w:tblPrEx>
          <w:tblLayout w:type="fixed"/>
          <w:tblCellMar>
            <w:top w:w="0" w:type="dxa"/>
            <w:left w:w="28" w:type="dxa"/>
            <w:bottom w:w="0" w:type="dxa"/>
            <w:right w:w="28" w:type="dxa"/>
          </w:tblCellMar>
        </w:tblPrEx>
        <w:tc>
          <w:tcPr>
            <w:tcW w:w="16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一、上年期末余额</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241,560,648.00</w:t>
            </w: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793,499,814.18</w:t>
            </w: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4,112,440.91</w:t>
            </w: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13,974,525.93</w:t>
            </w: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129,390,199.83</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170,886,846.29</w:t>
            </w: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1,353,424,475.14</w:t>
            </w:r>
          </w:p>
        </w:tc>
      </w:tr>
      <w:tr>
        <w:tblPrEx>
          <w:tblLayout w:type="fixed"/>
          <w:tblCellMar>
            <w:top w:w="0" w:type="dxa"/>
            <w:left w:w="28" w:type="dxa"/>
            <w:bottom w:w="0" w:type="dxa"/>
            <w:right w:w="28" w:type="dxa"/>
          </w:tblCellMar>
        </w:tblPrEx>
        <w:tc>
          <w:tcPr>
            <w:tcW w:w="16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加：会计政策变更</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6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前期差错更正</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6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同一控制下企业合并</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6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其他</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6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二、本年期初余额</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241,560,648.00</w:t>
            </w: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793,499,814.18</w:t>
            </w: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4,112,440.91</w:t>
            </w: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13,974,525.93</w:t>
            </w: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129,390,199.83</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170,886,846.29</w:t>
            </w: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1,353,424,475.14</w:t>
            </w:r>
          </w:p>
        </w:tc>
      </w:tr>
      <w:tr>
        <w:tblPrEx>
          <w:tblLayout w:type="fixed"/>
          <w:tblCellMar>
            <w:top w:w="0" w:type="dxa"/>
            <w:left w:w="28" w:type="dxa"/>
            <w:bottom w:w="0" w:type="dxa"/>
            <w:right w:w="28" w:type="dxa"/>
          </w:tblCellMar>
        </w:tblPrEx>
        <w:tc>
          <w:tcPr>
            <w:tcW w:w="16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三、本期增减变动金额（减少以</w:t>
            </w:r>
            <w:r>
              <w:rPr>
                <w:sz w:val="21"/>
                <w:szCs w:val="21"/>
              </w:rPr>
              <w:t>“</w:t>
            </w:r>
            <w:r>
              <w:rPr>
                <w:rFonts w:hint="eastAsia"/>
                <w:sz w:val="21"/>
                <w:szCs w:val="21"/>
              </w:rPr>
              <w:t>－</w:t>
            </w:r>
            <w:r>
              <w:rPr>
                <w:sz w:val="21"/>
                <w:szCs w:val="21"/>
              </w:rPr>
              <w:t>”</w:t>
            </w:r>
            <w:r>
              <w:rPr>
                <w:rFonts w:hint="eastAsia"/>
                <w:sz w:val="21"/>
                <w:szCs w:val="21"/>
              </w:rPr>
              <w:t>号填列）</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-2,922,425.67</w:t>
            </w: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6,488,245.37</w:t>
            </w: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4,281,941.84</w:t>
            </w: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70,454,731.91</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3,990,557.14</w:t>
            </w: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82,293,050.59</w:t>
            </w:r>
          </w:p>
        </w:tc>
      </w:tr>
      <w:tr>
        <w:tblPrEx>
          <w:tblLayout w:type="fixed"/>
          <w:tblCellMar>
            <w:top w:w="0" w:type="dxa"/>
            <w:left w:w="28" w:type="dxa"/>
            <w:bottom w:w="0" w:type="dxa"/>
            <w:right w:w="28" w:type="dxa"/>
          </w:tblCellMar>
        </w:tblPrEx>
        <w:tc>
          <w:tcPr>
            <w:tcW w:w="16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（一）综合收益总额</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6,488,245.37</w:t>
            </w: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81,983,493.18</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29,452,629.64</w:t>
            </w: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117,924,368.19</w:t>
            </w:r>
          </w:p>
        </w:tc>
      </w:tr>
      <w:tr>
        <w:tblPrEx>
          <w:tblLayout w:type="fixed"/>
          <w:tblCellMar>
            <w:top w:w="0" w:type="dxa"/>
            <w:left w:w="28" w:type="dxa"/>
            <w:bottom w:w="0" w:type="dxa"/>
            <w:right w:w="28" w:type="dxa"/>
          </w:tblCellMar>
        </w:tblPrEx>
        <w:tc>
          <w:tcPr>
            <w:tcW w:w="16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（二）所有者投入和减少资本</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-2,922,425.67</w:t>
            </w: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-2,325,649.80</w:t>
            </w: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-5,248,075.47</w:t>
            </w:r>
          </w:p>
        </w:tc>
      </w:tr>
      <w:tr>
        <w:tblPrEx>
          <w:tblLayout w:type="fixed"/>
          <w:tblCellMar>
            <w:top w:w="0" w:type="dxa"/>
            <w:left w:w="28" w:type="dxa"/>
            <w:bottom w:w="0" w:type="dxa"/>
            <w:right w:w="28" w:type="dxa"/>
          </w:tblCellMar>
        </w:tblPrEx>
        <w:tc>
          <w:tcPr>
            <w:tcW w:w="16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1</w:t>
            </w:r>
            <w:r>
              <w:rPr>
                <w:rFonts w:hint="eastAsia"/>
                <w:sz w:val="21"/>
                <w:szCs w:val="21"/>
              </w:rPr>
              <w:t>．股东投入的普通股</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6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2</w:t>
            </w:r>
            <w:r>
              <w:rPr>
                <w:rFonts w:hint="eastAsia"/>
                <w:sz w:val="21"/>
                <w:szCs w:val="21"/>
              </w:rPr>
              <w:t>．其他权益工具持有者投入资本</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6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3</w:t>
            </w:r>
            <w:r>
              <w:rPr>
                <w:rFonts w:hint="eastAsia"/>
                <w:sz w:val="21"/>
                <w:szCs w:val="21"/>
              </w:rPr>
              <w:t>．股份支付计入所有者权益的金额</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6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4</w:t>
            </w:r>
            <w:r>
              <w:rPr>
                <w:rFonts w:hint="eastAsia"/>
                <w:sz w:val="21"/>
                <w:szCs w:val="21"/>
              </w:rPr>
              <w:t>．其他</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-2,922,425.67</w:t>
            </w: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-2,325,649.80</w:t>
            </w: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-5,248,075.47</w:t>
            </w:r>
          </w:p>
        </w:tc>
      </w:tr>
      <w:tr>
        <w:tblPrEx>
          <w:tblLayout w:type="fixed"/>
          <w:tblCellMar>
            <w:top w:w="0" w:type="dxa"/>
            <w:left w:w="28" w:type="dxa"/>
            <w:bottom w:w="0" w:type="dxa"/>
            <w:right w:w="28" w:type="dxa"/>
          </w:tblCellMar>
        </w:tblPrEx>
        <w:tc>
          <w:tcPr>
            <w:tcW w:w="16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（三）利润分配</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4,281,941.84</w:t>
            </w: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-11,528,761.27</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-23,136,422.70</w:t>
            </w: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-30,383,242.13</w:t>
            </w:r>
          </w:p>
        </w:tc>
      </w:tr>
      <w:tr>
        <w:tblPrEx>
          <w:tblLayout w:type="fixed"/>
          <w:tblCellMar>
            <w:top w:w="0" w:type="dxa"/>
            <w:left w:w="28" w:type="dxa"/>
            <w:bottom w:w="0" w:type="dxa"/>
            <w:right w:w="28" w:type="dxa"/>
          </w:tblCellMar>
        </w:tblPrEx>
        <w:tc>
          <w:tcPr>
            <w:tcW w:w="16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1</w:t>
            </w:r>
            <w:r>
              <w:rPr>
                <w:rFonts w:hint="eastAsia"/>
                <w:sz w:val="21"/>
                <w:szCs w:val="21"/>
              </w:rPr>
              <w:t>．提取盈余公积</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4,281,941.84</w:t>
            </w: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-4,281,941.84</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6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2</w:t>
            </w:r>
            <w:r>
              <w:rPr>
                <w:rFonts w:hint="eastAsia"/>
                <w:sz w:val="21"/>
                <w:szCs w:val="21"/>
              </w:rPr>
              <w:t>．提取一般风险准备</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6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3</w:t>
            </w:r>
            <w:r>
              <w:rPr>
                <w:rFonts w:hint="eastAsia"/>
                <w:sz w:val="21"/>
                <w:szCs w:val="21"/>
              </w:rPr>
              <w:t>．对所有者（或股东）的分配</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-7,246,819.43</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-23,136,422.70</w:t>
            </w: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-30,383,242.13</w:t>
            </w:r>
          </w:p>
        </w:tc>
      </w:tr>
      <w:tr>
        <w:tblPrEx>
          <w:tblLayout w:type="fixed"/>
          <w:tblCellMar>
            <w:top w:w="0" w:type="dxa"/>
            <w:left w:w="28" w:type="dxa"/>
            <w:bottom w:w="0" w:type="dxa"/>
            <w:right w:w="28" w:type="dxa"/>
          </w:tblCellMar>
        </w:tblPrEx>
        <w:tc>
          <w:tcPr>
            <w:tcW w:w="16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4</w:t>
            </w:r>
            <w:r>
              <w:rPr>
                <w:rFonts w:hint="eastAsia"/>
                <w:sz w:val="21"/>
                <w:szCs w:val="21"/>
              </w:rPr>
              <w:t>．其他</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6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（四）所有者权益内部结转</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6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1</w:t>
            </w:r>
            <w:r>
              <w:rPr>
                <w:rFonts w:hint="eastAsia"/>
                <w:sz w:val="21"/>
                <w:szCs w:val="21"/>
              </w:rPr>
              <w:t>．资本公积转增资本（或股本）</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6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2</w:t>
            </w:r>
            <w:r>
              <w:rPr>
                <w:rFonts w:hint="eastAsia"/>
                <w:sz w:val="21"/>
                <w:szCs w:val="21"/>
              </w:rPr>
              <w:t>．盈余公积转增资本（或股本）</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6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3</w:t>
            </w:r>
            <w:r>
              <w:rPr>
                <w:rFonts w:hint="eastAsia"/>
                <w:sz w:val="21"/>
                <w:szCs w:val="21"/>
              </w:rPr>
              <w:t>．盈余公积弥补亏损</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6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4</w:t>
            </w:r>
            <w:r>
              <w:rPr>
                <w:rFonts w:hint="eastAsia"/>
                <w:sz w:val="21"/>
                <w:szCs w:val="21"/>
              </w:rPr>
              <w:t>．其他</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6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（五）专项储备</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6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1</w:t>
            </w:r>
            <w:r>
              <w:rPr>
                <w:rFonts w:hint="eastAsia"/>
                <w:sz w:val="21"/>
                <w:szCs w:val="21"/>
              </w:rPr>
              <w:t>．本期提取</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6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2</w:t>
            </w:r>
            <w:r>
              <w:rPr>
                <w:rFonts w:hint="eastAsia"/>
                <w:sz w:val="21"/>
                <w:szCs w:val="21"/>
              </w:rPr>
              <w:t>．本期使用</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6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（六）其他</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6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四、本期期末余额</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241,560,648.00</w:t>
            </w: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790,577,388.51</w:t>
            </w: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10,600,686.28</w:t>
            </w: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18,256,467.77</w:t>
            </w:r>
          </w:p>
        </w:tc>
        <w:tc>
          <w:tcPr>
            <w:tcW w:w="5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199,844,931.74</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174,877,403.43</w:t>
            </w:r>
          </w:p>
        </w:tc>
        <w:tc>
          <w:tcPr>
            <w:tcW w:w="1526"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1,435,717,525.73</w:t>
            </w:r>
          </w:p>
        </w:tc>
      </w:tr>
    </w:tbl>
    <w:p>
      <w:pPr>
        <w:jc w:val="left"/>
        <w:rPr>
          <w:sz w:val="21"/>
          <w:szCs w:val="21"/>
        </w:rPr>
      </w:pPr>
      <w:r>
        <w:rPr>
          <w:rFonts w:hint="eastAsia"/>
          <w:sz w:val="21"/>
          <w:szCs w:val="21"/>
        </w:rPr>
        <w:t>上期金额</w:t>
      </w:r>
    </w:p>
    <w:p>
      <w:pPr>
        <w:jc w:val="right"/>
        <w:rPr>
          <w:sz w:val="21"/>
          <w:szCs w:val="21"/>
        </w:rPr>
      </w:pPr>
      <w:r>
        <w:rPr>
          <w:rFonts w:hint="eastAsia"/>
          <w:sz w:val="21"/>
          <w:szCs w:val="21"/>
        </w:rPr>
        <w:t>单位：元</w:t>
      </w:r>
    </w:p>
    <w:tbl>
      <w:tblPr>
        <w:tblStyle w:val="8"/>
        <w:tblW w:w="14014" w:type="dxa"/>
        <w:tblInd w:w="0" w:type="dxa"/>
        <w:tblLayout w:type="fixed"/>
        <w:tblCellMar>
          <w:top w:w="0" w:type="dxa"/>
          <w:left w:w="28" w:type="dxa"/>
          <w:bottom w:w="0" w:type="dxa"/>
          <w:right w:w="28" w:type="dxa"/>
        </w:tblCellMar>
      </w:tblPr>
      <w:tblGrid>
        <w:gridCol w:w="1709"/>
        <w:gridCol w:w="1369"/>
        <w:gridCol w:w="381"/>
        <w:gridCol w:w="381"/>
        <w:gridCol w:w="384"/>
        <w:gridCol w:w="1369"/>
        <w:gridCol w:w="578"/>
        <w:gridCol w:w="1159"/>
        <w:gridCol w:w="578"/>
        <w:gridCol w:w="1264"/>
        <w:gridCol w:w="578"/>
        <w:gridCol w:w="1369"/>
        <w:gridCol w:w="1369"/>
        <w:gridCol w:w="1526"/>
      </w:tblGrid>
      <w:tr>
        <w:tblPrEx>
          <w:tblLayout w:type="fixed"/>
          <w:tblCellMar>
            <w:top w:w="0" w:type="dxa"/>
            <w:left w:w="28" w:type="dxa"/>
            <w:bottom w:w="0" w:type="dxa"/>
            <w:right w:w="28" w:type="dxa"/>
          </w:tblCellMar>
        </w:tblPrEx>
        <w:tc>
          <w:tcPr>
            <w:tcW w:w="1709"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12305" w:type="dxa"/>
            <w:gridSpan w:val="13"/>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上期</w:t>
            </w:r>
          </w:p>
        </w:tc>
      </w:tr>
      <w:tr>
        <w:tblPrEx>
          <w:tblLayout w:type="fixed"/>
          <w:tblCellMar>
            <w:top w:w="0" w:type="dxa"/>
            <w:left w:w="28" w:type="dxa"/>
            <w:bottom w:w="0" w:type="dxa"/>
            <w:right w:w="28" w:type="dxa"/>
          </w:tblCellMar>
        </w:tblPrEx>
        <w:tc>
          <w:tcPr>
            <w:tcW w:w="1709"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9410" w:type="dxa"/>
            <w:gridSpan w:val="11"/>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归属于母公司所有者权益</w:t>
            </w:r>
          </w:p>
        </w:tc>
        <w:tc>
          <w:tcPr>
            <w:tcW w:w="1369"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少数股东权益</w:t>
            </w:r>
          </w:p>
        </w:tc>
        <w:tc>
          <w:tcPr>
            <w:tcW w:w="1526"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所有者权益合计</w:t>
            </w:r>
          </w:p>
        </w:tc>
      </w:tr>
      <w:tr>
        <w:tblPrEx>
          <w:tblLayout w:type="fixed"/>
          <w:tblCellMar>
            <w:top w:w="0" w:type="dxa"/>
            <w:left w:w="28" w:type="dxa"/>
            <w:bottom w:w="0" w:type="dxa"/>
            <w:right w:w="28" w:type="dxa"/>
          </w:tblCellMar>
        </w:tblPrEx>
        <w:tc>
          <w:tcPr>
            <w:tcW w:w="1709"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369"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股本</w:t>
            </w:r>
          </w:p>
        </w:tc>
        <w:tc>
          <w:tcPr>
            <w:tcW w:w="1146" w:type="dxa"/>
            <w:gridSpan w:val="3"/>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其他权益工具</w:t>
            </w:r>
          </w:p>
        </w:tc>
        <w:tc>
          <w:tcPr>
            <w:tcW w:w="1369"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资本公积</w:t>
            </w:r>
          </w:p>
        </w:tc>
        <w:tc>
          <w:tcPr>
            <w:tcW w:w="578"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减：库存股</w:t>
            </w:r>
          </w:p>
        </w:tc>
        <w:tc>
          <w:tcPr>
            <w:tcW w:w="1159"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其他综合收益</w:t>
            </w:r>
          </w:p>
        </w:tc>
        <w:tc>
          <w:tcPr>
            <w:tcW w:w="578"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专项储备</w:t>
            </w:r>
          </w:p>
        </w:tc>
        <w:tc>
          <w:tcPr>
            <w:tcW w:w="1264"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盈余公积</w:t>
            </w:r>
          </w:p>
        </w:tc>
        <w:tc>
          <w:tcPr>
            <w:tcW w:w="578"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一般风险准备</w:t>
            </w:r>
          </w:p>
        </w:tc>
        <w:tc>
          <w:tcPr>
            <w:tcW w:w="1369"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未分配利润</w:t>
            </w:r>
          </w:p>
        </w:tc>
        <w:tc>
          <w:tcPr>
            <w:tcW w:w="1369"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526"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r>
      <w:tr>
        <w:tblPrEx>
          <w:tblLayout w:type="fixed"/>
          <w:tblCellMar>
            <w:top w:w="0" w:type="dxa"/>
            <w:left w:w="28" w:type="dxa"/>
            <w:bottom w:w="0" w:type="dxa"/>
            <w:right w:w="28" w:type="dxa"/>
          </w:tblCellMar>
        </w:tblPrEx>
        <w:tc>
          <w:tcPr>
            <w:tcW w:w="1709"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369"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38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优先股</w:t>
            </w:r>
          </w:p>
        </w:tc>
        <w:tc>
          <w:tcPr>
            <w:tcW w:w="38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永续债</w:t>
            </w:r>
          </w:p>
        </w:tc>
        <w:tc>
          <w:tcPr>
            <w:tcW w:w="38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其他</w:t>
            </w:r>
          </w:p>
        </w:tc>
        <w:tc>
          <w:tcPr>
            <w:tcW w:w="1369"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578"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159"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578"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264"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578"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369"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369"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526"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r>
      <w:tr>
        <w:tblPrEx>
          <w:tblLayout w:type="fixed"/>
          <w:tblCellMar>
            <w:top w:w="0" w:type="dxa"/>
            <w:left w:w="28" w:type="dxa"/>
            <w:bottom w:w="0" w:type="dxa"/>
            <w:right w:w="28" w:type="dxa"/>
          </w:tblCellMar>
        </w:tblPrEx>
        <w:tc>
          <w:tcPr>
            <w:tcW w:w="170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一、上年期末余额</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210,505,940.00</w:t>
            </w: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293,289,333.14</w:t>
            </w: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-502,143.67</w:t>
            </w: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10,546,375.92</w:t>
            </w: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85,952,030.35</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82,189,334.84</w:t>
            </w: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681,980,870.58</w:t>
            </w:r>
          </w:p>
        </w:tc>
      </w:tr>
      <w:tr>
        <w:tblPrEx>
          <w:tblLayout w:type="fixed"/>
          <w:tblCellMar>
            <w:top w:w="0" w:type="dxa"/>
            <w:left w:w="28" w:type="dxa"/>
            <w:bottom w:w="0" w:type="dxa"/>
            <w:right w:w="28" w:type="dxa"/>
          </w:tblCellMar>
        </w:tblPrEx>
        <w:tc>
          <w:tcPr>
            <w:tcW w:w="170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加：会计政策变更</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70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前期差错更正</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70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同一控制下企业合并</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70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其他</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70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二、本年期初余额</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210,505,940.00</w:t>
            </w: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293,289,333.14</w:t>
            </w: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-502,143.67</w:t>
            </w: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10,546,375.92</w:t>
            </w: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85,952,030.35</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82,189,334.84</w:t>
            </w: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681,980,870.58</w:t>
            </w:r>
          </w:p>
        </w:tc>
      </w:tr>
      <w:tr>
        <w:tblPrEx>
          <w:tblLayout w:type="fixed"/>
          <w:tblCellMar>
            <w:top w:w="0" w:type="dxa"/>
            <w:left w:w="28" w:type="dxa"/>
            <w:bottom w:w="0" w:type="dxa"/>
            <w:right w:w="28" w:type="dxa"/>
          </w:tblCellMar>
        </w:tblPrEx>
        <w:tc>
          <w:tcPr>
            <w:tcW w:w="170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三、本期增减变动金额（减少以</w:t>
            </w:r>
            <w:r>
              <w:rPr>
                <w:sz w:val="21"/>
                <w:szCs w:val="21"/>
              </w:rPr>
              <w:t>“</w:t>
            </w:r>
            <w:r>
              <w:rPr>
                <w:rFonts w:hint="eastAsia"/>
                <w:sz w:val="21"/>
                <w:szCs w:val="21"/>
              </w:rPr>
              <w:t>－</w:t>
            </w:r>
            <w:r>
              <w:rPr>
                <w:sz w:val="21"/>
                <w:szCs w:val="21"/>
              </w:rPr>
              <w:t>”</w:t>
            </w:r>
            <w:r>
              <w:rPr>
                <w:rFonts w:hint="eastAsia"/>
                <w:sz w:val="21"/>
                <w:szCs w:val="21"/>
              </w:rPr>
              <w:t>号填列）</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31,054,708.00</w:t>
            </w: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500,210,481.04</w:t>
            </w: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4,614,584.58</w:t>
            </w: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3,428,150.01</w:t>
            </w: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43,438,169.48</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88,697,511.45</w:t>
            </w: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671,443,604.56</w:t>
            </w:r>
          </w:p>
        </w:tc>
      </w:tr>
      <w:tr>
        <w:tblPrEx>
          <w:tblLayout w:type="fixed"/>
          <w:tblCellMar>
            <w:top w:w="0" w:type="dxa"/>
            <w:left w:w="28" w:type="dxa"/>
            <w:bottom w:w="0" w:type="dxa"/>
            <w:right w:w="28" w:type="dxa"/>
          </w:tblCellMar>
        </w:tblPrEx>
        <w:tc>
          <w:tcPr>
            <w:tcW w:w="170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（一）综合收益总额</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958,093.22</w:t>
            </w: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35,429,529.71</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890,028.32</w:t>
            </w: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37,277,651.25</w:t>
            </w:r>
          </w:p>
        </w:tc>
      </w:tr>
      <w:tr>
        <w:tblPrEx>
          <w:tblLayout w:type="fixed"/>
          <w:tblCellMar>
            <w:top w:w="0" w:type="dxa"/>
            <w:left w:w="28" w:type="dxa"/>
            <w:bottom w:w="0" w:type="dxa"/>
            <w:right w:w="28" w:type="dxa"/>
          </w:tblCellMar>
        </w:tblPrEx>
        <w:tc>
          <w:tcPr>
            <w:tcW w:w="170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（二）所有者投入和减少资本</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31,054,708.00</w:t>
            </w: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500,210,481.04</w:t>
            </w: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3,656,491.36</w:t>
            </w: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17,751,967.98</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87,807,483.13</w:t>
            </w: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640,481,131.51</w:t>
            </w:r>
          </w:p>
        </w:tc>
      </w:tr>
      <w:tr>
        <w:tblPrEx>
          <w:tblLayout w:type="fixed"/>
          <w:tblCellMar>
            <w:top w:w="0" w:type="dxa"/>
            <w:left w:w="28" w:type="dxa"/>
            <w:bottom w:w="0" w:type="dxa"/>
            <w:right w:w="28" w:type="dxa"/>
          </w:tblCellMar>
        </w:tblPrEx>
        <w:tc>
          <w:tcPr>
            <w:tcW w:w="170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1</w:t>
            </w:r>
            <w:r>
              <w:rPr>
                <w:rFonts w:hint="eastAsia"/>
                <w:sz w:val="21"/>
                <w:szCs w:val="21"/>
              </w:rPr>
              <w:t>．股东投入的普通股</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31,054,708.00</w:t>
            </w: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513,913,216.52</w:t>
            </w: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544,967,924.52</w:t>
            </w:r>
          </w:p>
        </w:tc>
      </w:tr>
      <w:tr>
        <w:tblPrEx>
          <w:tblLayout w:type="fixed"/>
          <w:tblCellMar>
            <w:top w:w="0" w:type="dxa"/>
            <w:left w:w="28" w:type="dxa"/>
            <w:bottom w:w="0" w:type="dxa"/>
            <w:right w:w="28" w:type="dxa"/>
          </w:tblCellMar>
        </w:tblPrEx>
        <w:tc>
          <w:tcPr>
            <w:tcW w:w="170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2</w:t>
            </w:r>
            <w:r>
              <w:rPr>
                <w:rFonts w:hint="eastAsia"/>
                <w:sz w:val="21"/>
                <w:szCs w:val="21"/>
              </w:rPr>
              <w:t>．其他权益工具持有者投入资本</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70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3</w:t>
            </w:r>
            <w:r>
              <w:rPr>
                <w:rFonts w:hint="eastAsia"/>
                <w:sz w:val="21"/>
                <w:szCs w:val="21"/>
              </w:rPr>
              <w:t>．股份支付计入所有者权益的金额</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70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4</w:t>
            </w:r>
            <w:r>
              <w:rPr>
                <w:rFonts w:hint="eastAsia"/>
                <w:sz w:val="21"/>
                <w:szCs w:val="21"/>
              </w:rPr>
              <w:t>．其他</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-13,702,735.48</w:t>
            </w: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3,656,491.36</w:t>
            </w: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17,751,967.98</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87,807,483.13</w:t>
            </w: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95,513,206.99</w:t>
            </w:r>
          </w:p>
        </w:tc>
      </w:tr>
      <w:tr>
        <w:tblPrEx>
          <w:tblLayout w:type="fixed"/>
          <w:tblCellMar>
            <w:top w:w="0" w:type="dxa"/>
            <w:left w:w="28" w:type="dxa"/>
            <w:bottom w:w="0" w:type="dxa"/>
            <w:right w:w="28" w:type="dxa"/>
          </w:tblCellMar>
        </w:tblPrEx>
        <w:tc>
          <w:tcPr>
            <w:tcW w:w="170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（三）利润分配</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3,428,150.01</w:t>
            </w: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-9,743,328.21</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-6,315,178.20</w:t>
            </w:r>
          </w:p>
        </w:tc>
      </w:tr>
      <w:tr>
        <w:tblPrEx>
          <w:tblLayout w:type="fixed"/>
          <w:tblCellMar>
            <w:top w:w="0" w:type="dxa"/>
            <w:left w:w="28" w:type="dxa"/>
            <w:bottom w:w="0" w:type="dxa"/>
            <w:right w:w="28" w:type="dxa"/>
          </w:tblCellMar>
        </w:tblPrEx>
        <w:tc>
          <w:tcPr>
            <w:tcW w:w="170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1</w:t>
            </w:r>
            <w:r>
              <w:rPr>
                <w:rFonts w:hint="eastAsia"/>
                <w:sz w:val="21"/>
                <w:szCs w:val="21"/>
              </w:rPr>
              <w:t>．提取盈余公积</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3,428,150.01</w:t>
            </w: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-3,428,150.01</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70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2</w:t>
            </w:r>
            <w:r>
              <w:rPr>
                <w:rFonts w:hint="eastAsia"/>
                <w:sz w:val="21"/>
                <w:szCs w:val="21"/>
              </w:rPr>
              <w:t>．提取一般风险准备</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70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3</w:t>
            </w:r>
            <w:r>
              <w:rPr>
                <w:rFonts w:hint="eastAsia"/>
                <w:sz w:val="21"/>
                <w:szCs w:val="21"/>
              </w:rPr>
              <w:t>．对所有者（或股东）的分配</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-6,315,178.20</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-6,315,178.20</w:t>
            </w:r>
          </w:p>
        </w:tc>
      </w:tr>
      <w:tr>
        <w:tblPrEx>
          <w:tblLayout w:type="fixed"/>
          <w:tblCellMar>
            <w:top w:w="0" w:type="dxa"/>
            <w:left w:w="28" w:type="dxa"/>
            <w:bottom w:w="0" w:type="dxa"/>
            <w:right w:w="28" w:type="dxa"/>
          </w:tblCellMar>
        </w:tblPrEx>
        <w:tc>
          <w:tcPr>
            <w:tcW w:w="170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4</w:t>
            </w:r>
            <w:r>
              <w:rPr>
                <w:rFonts w:hint="eastAsia"/>
                <w:sz w:val="21"/>
                <w:szCs w:val="21"/>
              </w:rPr>
              <w:t>．其他</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70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（四）所有者权益内部结转</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70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1</w:t>
            </w:r>
            <w:r>
              <w:rPr>
                <w:rFonts w:hint="eastAsia"/>
                <w:sz w:val="21"/>
                <w:szCs w:val="21"/>
              </w:rPr>
              <w:t>．资本公积转增资本（或股本）</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70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2</w:t>
            </w:r>
            <w:r>
              <w:rPr>
                <w:rFonts w:hint="eastAsia"/>
                <w:sz w:val="21"/>
                <w:szCs w:val="21"/>
              </w:rPr>
              <w:t>．盈余公积转增资本（或股本）</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70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3</w:t>
            </w:r>
            <w:r>
              <w:rPr>
                <w:rFonts w:hint="eastAsia"/>
                <w:sz w:val="21"/>
                <w:szCs w:val="21"/>
              </w:rPr>
              <w:t>．盈余公积弥补亏损</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70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4</w:t>
            </w:r>
            <w:r>
              <w:rPr>
                <w:rFonts w:hint="eastAsia"/>
                <w:sz w:val="21"/>
                <w:szCs w:val="21"/>
              </w:rPr>
              <w:t>．其他</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70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（五）专项储备</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70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1</w:t>
            </w:r>
            <w:r>
              <w:rPr>
                <w:rFonts w:hint="eastAsia"/>
                <w:sz w:val="21"/>
                <w:szCs w:val="21"/>
              </w:rPr>
              <w:t>．本期提取</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70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2</w:t>
            </w:r>
            <w:r>
              <w:rPr>
                <w:rFonts w:hint="eastAsia"/>
                <w:sz w:val="21"/>
                <w:szCs w:val="21"/>
              </w:rPr>
              <w:t>．本期使用</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70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（六）其他</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70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四、本期期末余额</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241,560,648.00</w:t>
            </w: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793,499,814.18</w:t>
            </w: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4,112,440.91</w:t>
            </w: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13,974,525.93</w:t>
            </w:r>
          </w:p>
        </w:tc>
        <w:tc>
          <w:tcPr>
            <w:tcW w:w="5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129,390,199.83</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170,886,846.29</w:t>
            </w: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1,353,424,475.14</w:t>
            </w:r>
          </w:p>
        </w:tc>
      </w:tr>
    </w:tbl>
    <w:p>
      <w:pPr>
        <w:pStyle w:val="11"/>
        <w:outlineLvl w:val="2"/>
        <w:rPr>
          <w:bCs w:val="0"/>
          <w:szCs w:val="24"/>
        </w:rPr>
      </w:pPr>
      <w:r>
        <w:rPr>
          <w:bCs w:val="0"/>
          <w:szCs w:val="24"/>
        </w:rPr>
        <w:t>8</w:t>
      </w:r>
      <w:r>
        <w:rPr>
          <w:rFonts w:hint="eastAsia"/>
          <w:bCs w:val="0"/>
          <w:szCs w:val="24"/>
        </w:rPr>
        <w:t>、母公司所有者权益变动表</w:t>
      </w:r>
    </w:p>
    <w:p>
      <w:pPr>
        <w:jc w:val="left"/>
        <w:rPr>
          <w:sz w:val="21"/>
          <w:szCs w:val="21"/>
        </w:rPr>
      </w:pPr>
      <w:r>
        <w:rPr>
          <w:rFonts w:hint="eastAsia"/>
          <w:sz w:val="21"/>
          <w:szCs w:val="21"/>
        </w:rPr>
        <w:t>本期金额</w:t>
      </w:r>
    </w:p>
    <w:p>
      <w:pPr>
        <w:jc w:val="right"/>
        <w:rPr>
          <w:sz w:val="21"/>
          <w:szCs w:val="21"/>
        </w:rPr>
      </w:pPr>
      <w:r>
        <w:rPr>
          <w:rFonts w:hint="eastAsia"/>
          <w:sz w:val="21"/>
          <w:szCs w:val="21"/>
        </w:rPr>
        <w:t>单位：元</w:t>
      </w:r>
    </w:p>
    <w:tbl>
      <w:tblPr>
        <w:tblStyle w:val="8"/>
        <w:tblW w:w="14014" w:type="dxa"/>
        <w:tblInd w:w="0" w:type="dxa"/>
        <w:tblLayout w:type="fixed"/>
        <w:tblCellMar>
          <w:top w:w="0" w:type="dxa"/>
          <w:left w:w="28" w:type="dxa"/>
          <w:bottom w:w="0" w:type="dxa"/>
          <w:right w:w="28" w:type="dxa"/>
        </w:tblCellMar>
      </w:tblPr>
      <w:tblGrid>
        <w:gridCol w:w="1909"/>
        <w:gridCol w:w="1369"/>
        <w:gridCol w:w="771"/>
        <w:gridCol w:w="771"/>
        <w:gridCol w:w="773"/>
        <w:gridCol w:w="1369"/>
        <w:gridCol w:w="968"/>
        <w:gridCol w:w="965"/>
        <w:gridCol w:w="968"/>
        <w:gridCol w:w="1264"/>
        <w:gridCol w:w="1361"/>
        <w:gridCol w:w="1526"/>
      </w:tblGrid>
      <w:tr>
        <w:tblPrEx>
          <w:tblLayout w:type="fixed"/>
          <w:tblCellMar>
            <w:top w:w="0" w:type="dxa"/>
            <w:left w:w="28" w:type="dxa"/>
            <w:bottom w:w="0" w:type="dxa"/>
            <w:right w:w="28" w:type="dxa"/>
          </w:tblCellMar>
        </w:tblPrEx>
        <w:tc>
          <w:tcPr>
            <w:tcW w:w="1909"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12105" w:type="dxa"/>
            <w:gridSpan w:val="11"/>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w:t>
            </w:r>
          </w:p>
        </w:tc>
      </w:tr>
      <w:tr>
        <w:tblPrEx>
          <w:tblLayout w:type="fixed"/>
          <w:tblCellMar>
            <w:top w:w="0" w:type="dxa"/>
            <w:left w:w="28" w:type="dxa"/>
            <w:bottom w:w="0" w:type="dxa"/>
            <w:right w:w="28" w:type="dxa"/>
          </w:tblCellMar>
        </w:tblPrEx>
        <w:tc>
          <w:tcPr>
            <w:tcW w:w="1909"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369"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股本</w:t>
            </w:r>
          </w:p>
        </w:tc>
        <w:tc>
          <w:tcPr>
            <w:tcW w:w="2315" w:type="dxa"/>
            <w:gridSpan w:val="3"/>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其他权益工具</w:t>
            </w:r>
          </w:p>
        </w:tc>
        <w:tc>
          <w:tcPr>
            <w:tcW w:w="1369"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资本公积</w:t>
            </w:r>
          </w:p>
        </w:tc>
        <w:tc>
          <w:tcPr>
            <w:tcW w:w="968"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减：库存股</w:t>
            </w:r>
          </w:p>
        </w:tc>
        <w:tc>
          <w:tcPr>
            <w:tcW w:w="965"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其他综合收益</w:t>
            </w:r>
          </w:p>
        </w:tc>
        <w:tc>
          <w:tcPr>
            <w:tcW w:w="968"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专项储备</w:t>
            </w:r>
          </w:p>
        </w:tc>
        <w:tc>
          <w:tcPr>
            <w:tcW w:w="1264"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盈余公积</w:t>
            </w:r>
          </w:p>
        </w:tc>
        <w:tc>
          <w:tcPr>
            <w:tcW w:w="1361"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未分配利润</w:t>
            </w:r>
          </w:p>
        </w:tc>
        <w:tc>
          <w:tcPr>
            <w:tcW w:w="1526"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所有者权益合计</w:t>
            </w:r>
          </w:p>
        </w:tc>
      </w:tr>
      <w:tr>
        <w:tblPrEx>
          <w:tblLayout w:type="fixed"/>
          <w:tblCellMar>
            <w:top w:w="0" w:type="dxa"/>
            <w:left w:w="28" w:type="dxa"/>
            <w:bottom w:w="0" w:type="dxa"/>
            <w:right w:w="28" w:type="dxa"/>
          </w:tblCellMar>
        </w:tblPrEx>
        <w:tc>
          <w:tcPr>
            <w:tcW w:w="1909"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369"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77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优先股</w:t>
            </w:r>
          </w:p>
        </w:tc>
        <w:tc>
          <w:tcPr>
            <w:tcW w:w="77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永续债</w:t>
            </w:r>
          </w:p>
        </w:tc>
        <w:tc>
          <w:tcPr>
            <w:tcW w:w="77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其他</w:t>
            </w:r>
          </w:p>
        </w:tc>
        <w:tc>
          <w:tcPr>
            <w:tcW w:w="1369"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968"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965"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968"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264"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361"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526"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r>
      <w:tr>
        <w:tblPrEx>
          <w:tblLayout w:type="fixed"/>
          <w:tblCellMar>
            <w:top w:w="0" w:type="dxa"/>
            <w:left w:w="28" w:type="dxa"/>
            <w:bottom w:w="0" w:type="dxa"/>
            <w:right w:w="28" w:type="dxa"/>
          </w:tblCellMar>
        </w:tblPrEx>
        <w:tc>
          <w:tcPr>
            <w:tcW w:w="190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一、上年期末余额</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241,560,648.00</w:t>
            </w:r>
          </w:p>
        </w:tc>
        <w:tc>
          <w:tcPr>
            <w:tcW w:w="7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807,231,456.29</w:t>
            </w:r>
          </w:p>
        </w:tc>
        <w:tc>
          <w:tcPr>
            <w:tcW w:w="9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13,852,905.35</w:t>
            </w:r>
          </w:p>
        </w:tc>
        <w:tc>
          <w:tcPr>
            <w:tcW w:w="136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85,385,603.40</w:t>
            </w: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1,148,030,613.04</w:t>
            </w:r>
          </w:p>
        </w:tc>
      </w:tr>
      <w:tr>
        <w:tblPrEx>
          <w:tblLayout w:type="fixed"/>
          <w:tblCellMar>
            <w:top w:w="0" w:type="dxa"/>
            <w:left w:w="28" w:type="dxa"/>
            <w:bottom w:w="0" w:type="dxa"/>
            <w:right w:w="28" w:type="dxa"/>
          </w:tblCellMar>
        </w:tblPrEx>
        <w:tc>
          <w:tcPr>
            <w:tcW w:w="190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加：会计政策变更</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90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前期差错更正</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90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其他</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90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二、本年期初余额</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241,560,648.00</w:t>
            </w:r>
          </w:p>
        </w:tc>
        <w:tc>
          <w:tcPr>
            <w:tcW w:w="7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807,231,456.29</w:t>
            </w:r>
          </w:p>
        </w:tc>
        <w:tc>
          <w:tcPr>
            <w:tcW w:w="9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13,852,905.35</w:t>
            </w:r>
          </w:p>
        </w:tc>
        <w:tc>
          <w:tcPr>
            <w:tcW w:w="136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85,385,603.40</w:t>
            </w: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1,148,030,613.04</w:t>
            </w:r>
          </w:p>
        </w:tc>
      </w:tr>
      <w:tr>
        <w:tblPrEx>
          <w:tblLayout w:type="fixed"/>
          <w:tblCellMar>
            <w:top w:w="0" w:type="dxa"/>
            <w:left w:w="28" w:type="dxa"/>
            <w:bottom w:w="0" w:type="dxa"/>
            <w:right w:w="28" w:type="dxa"/>
          </w:tblCellMar>
        </w:tblPrEx>
        <w:tc>
          <w:tcPr>
            <w:tcW w:w="190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三、本期增减变动金额（减少以</w:t>
            </w:r>
            <w:r>
              <w:rPr>
                <w:sz w:val="21"/>
                <w:szCs w:val="21"/>
              </w:rPr>
              <w:t>“</w:t>
            </w:r>
            <w:r>
              <w:rPr>
                <w:rFonts w:hint="eastAsia"/>
                <w:sz w:val="21"/>
                <w:szCs w:val="21"/>
              </w:rPr>
              <w:t>－</w:t>
            </w:r>
            <w:r>
              <w:rPr>
                <w:sz w:val="21"/>
                <w:szCs w:val="21"/>
              </w:rPr>
              <w:t>”</w:t>
            </w:r>
            <w:r>
              <w:rPr>
                <w:rFonts w:hint="eastAsia"/>
                <w:sz w:val="21"/>
                <w:szCs w:val="21"/>
              </w:rPr>
              <w:t>号填列）</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151,234.83</w:t>
            </w:r>
          </w:p>
        </w:tc>
        <w:tc>
          <w:tcPr>
            <w:tcW w:w="9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4,281,941.84</w:t>
            </w:r>
          </w:p>
        </w:tc>
        <w:tc>
          <w:tcPr>
            <w:tcW w:w="136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31,290,657.12</w:t>
            </w: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35,723,833.79</w:t>
            </w:r>
          </w:p>
        </w:tc>
      </w:tr>
      <w:tr>
        <w:tblPrEx>
          <w:tblLayout w:type="fixed"/>
          <w:tblCellMar>
            <w:top w:w="0" w:type="dxa"/>
            <w:left w:w="28" w:type="dxa"/>
            <w:bottom w:w="0" w:type="dxa"/>
            <w:right w:w="28" w:type="dxa"/>
          </w:tblCellMar>
        </w:tblPrEx>
        <w:tc>
          <w:tcPr>
            <w:tcW w:w="190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（一）综合收益总额</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42,819,418.39</w:t>
            </w: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42,819,418.39</w:t>
            </w:r>
          </w:p>
        </w:tc>
      </w:tr>
      <w:tr>
        <w:tblPrEx>
          <w:tblLayout w:type="fixed"/>
          <w:tblCellMar>
            <w:top w:w="0" w:type="dxa"/>
            <w:left w:w="28" w:type="dxa"/>
            <w:bottom w:w="0" w:type="dxa"/>
            <w:right w:w="28" w:type="dxa"/>
          </w:tblCellMar>
        </w:tblPrEx>
        <w:tc>
          <w:tcPr>
            <w:tcW w:w="190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（二）所有者投入和减少资本</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151,234.83</w:t>
            </w:r>
          </w:p>
        </w:tc>
        <w:tc>
          <w:tcPr>
            <w:tcW w:w="9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151,234.83</w:t>
            </w:r>
          </w:p>
        </w:tc>
      </w:tr>
      <w:tr>
        <w:tblPrEx>
          <w:tblLayout w:type="fixed"/>
          <w:tblCellMar>
            <w:top w:w="0" w:type="dxa"/>
            <w:left w:w="28" w:type="dxa"/>
            <w:bottom w:w="0" w:type="dxa"/>
            <w:right w:w="28" w:type="dxa"/>
          </w:tblCellMar>
        </w:tblPrEx>
        <w:tc>
          <w:tcPr>
            <w:tcW w:w="190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1</w:t>
            </w:r>
            <w:r>
              <w:rPr>
                <w:rFonts w:hint="eastAsia"/>
                <w:sz w:val="21"/>
                <w:szCs w:val="21"/>
              </w:rPr>
              <w:t>．股东投入的普通股</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90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2</w:t>
            </w:r>
            <w:r>
              <w:rPr>
                <w:rFonts w:hint="eastAsia"/>
                <w:sz w:val="21"/>
                <w:szCs w:val="21"/>
              </w:rPr>
              <w:t>．其他权益工具持有者投入资本</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90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3</w:t>
            </w:r>
            <w:r>
              <w:rPr>
                <w:rFonts w:hint="eastAsia"/>
                <w:sz w:val="21"/>
                <w:szCs w:val="21"/>
              </w:rPr>
              <w:t>．股份支付计入所有者权益的金额</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90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4</w:t>
            </w:r>
            <w:r>
              <w:rPr>
                <w:rFonts w:hint="eastAsia"/>
                <w:sz w:val="21"/>
                <w:szCs w:val="21"/>
              </w:rPr>
              <w:t>．其他</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151,234.83</w:t>
            </w:r>
          </w:p>
        </w:tc>
        <w:tc>
          <w:tcPr>
            <w:tcW w:w="9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151,234.83</w:t>
            </w:r>
          </w:p>
        </w:tc>
      </w:tr>
      <w:tr>
        <w:tblPrEx>
          <w:tblLayout w:type="fixed"/>
          <w:tblCellMar>
            <w:top w:w="0" w:type="dxa"/>
            <w:left w:w="28" w:type="dxa"/>
            <w:bottom w:w="0" w:type="dxa"/>
            <w:right w:w="28" w:type="dxa"/>
          </w:tblCellMar>
        </w:tblPrEx>
        <w:tc>
          <w:tcPr>
            <w:tcW w:w="190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（三）利润分配</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4,281,941.84</w:t>
            </w:r>
          </w:p>
        </w:tc>
        <w:tc>
          <w:tcPr>
            <w:tcW w:w="136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-11,528,761.27</w:t>
            </w: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-7,246,819.43</w:t>
            </w:r>
          </w:p>
        </w:tc>
      </w:tr>
      <w:tr>
        <w:tblPrEx>
          <w:tblLayout w:type="fixed"/>
          <w:tblCellMar>
            <w:top w:w="0" w:type="dxa"/>
            <w:left w:w="28" w:type="dxa"/>
            <w:bottom w:w="0" w:type="dxa"/>
            <w:right w:w="28" w:type="dxa"/>
          </w:tblCellMar>
        </w:tblPrEx>
        <w:tc>
          <w:tcPr>
            <w:tcW w:w="190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1</w:t>
            </w:r>
            <w:r>
              <w:rPr>
                <w:rFonts w:hint="eastAsia"/>
                <w:sz w:val="21"/>
                <w:szCs w:val="21"/>
              </w:rPr>
              <w:t>．提取盈余公积</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4,281,941.84</w:t>
            </w:r>
          </w:p>
        </w:tc>
        <w:tc>
          <w:tcPr>
            <w:tcW w:w="136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-4,281,941.84</w:t>
            </w: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90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2</w:t>
            </w:r>
            <w:r>
              <w:rPr>
                <w:rFonts w:hint="eastAsia"/>
                <w:sz w:val="21"/>
                <w:szCs w:val="21"/>
              </w:rPr>
              <w:t>．对所有者（或股东）的分配</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-7,246,819.43</w:t>
            </w: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-7,246,819.43</w:t>
            </w:r>
          </w:p>
        </w:tc>
      </w:tr>
      <w:tr>
        <w:tblPrEx>
          <w:tblLayout w:type="fixed"/>
          <w:tblCellMar>
            <w:top w:w="0" w:type="dxa"/>
            <w:left w:w="28" w:type="dxa"/>
            <w:bottom w:w="0" w:type="dxa"/>
            <w:right w:w="28" w:type="dxa"/>
          </w:tblCellMar>
        </w:tblPrEx>
        <w:tc>
          <w:tcPr>
            <w:tcW w:w="190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3</w:t>
            </w:r>
            <w:r>
              <w:rPr>
                <w:rFonts w:hint="eastAsia"/>
                <w:sz w:val="21"/>
                <w:szCs w:val="21"/>
              </w:rPr>
              <w:t>．其他</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90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（四）所有者权益内部结转</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90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1</w:t>
            </w:r>
            <w:r>
              <w:rPr>
                <w:rFonts w:hint="eastAsia"/>
                <w:sz w:val="21"/>
                <w:szCs w:val="21"/>
              </w:rPr>
              <w:t>．资本公积转增资本（或股本）</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90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2</w:t>
            </w:r>
            <w:r>
              <w:rPr>
                <w:rFonts w:hint="eastAsia"/>
                <w:sz w:val="21"/>
                <w:szCs w:val="21"/>
              </w:rPr>
              <w:t>．盈余公积转增资本（或股本）</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90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3</w:t>
            </w:r>
            <w:r>
              <w:rPr>
                <w:rFonts w:hint="eastAsia"/>
                <w:sz w:val="21"/>
                <w:szCs w:val="21"/>
              </w:rPr>
              <w:t>．盈余公积弥补亏损</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90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4</w:t>
            </w:r>
            <w:r>
              <w:rPr>
                <w:rFonts w:hint="eastAsia"/>
                <w:sz w:val="21"/>
                <w:szCs w:val="21"/>
              </w:rPr>
              <w:t>．其他</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90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（五）专项储备</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90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1</w:t>
            </w:r>
            <w:r>
              <w:rPr>
                <w:rFonts w:hint="eastAsia"/>
                <w:sz w:val="21"/>
                <w:szCs w:val="21"/>
              </w:rPr>
              <w:t>．本期提取</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90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2</w:t>
            </w:r>
            <w:r>
              <w:rPr>
                <w:rFonts w:hint="eastAsia"/>
                <w:sz w:val="21"/>
                <w:szCs w:val="21"/>
              </w:rPr>
              <w:t>．本期使用</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90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（六）其他</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90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四、本期期末余额</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241,560,648.00</w:t>
            </w:r>
          </w:p>
        </w:tc>
        <w:tc>
          <w:tcPr>
            <w:tcW w:w="7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7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807,382,691.12</w:t>
            </w:r>
          </w:p>
        </w:tc>
        <w:tc>
          <w:tcPr>
            <w:tcW w:w="9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18,134,847.19</w:t>
            </w:r>
          </w:p>
        </w:tc>
        <w:tc>
          <w:tcPr>
            <w:tcW w:w="136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116,676,260.52</w:t>
            </w:r>
          </w:p>
        </w:tc>
        <w:tc>
          <w:tcPr>
            <w:tcW w:w="1526"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1,183,754,446.83</w:t>
            </w:r>
          </w:p>
        </w:tc>
      </w:tr>
    </w:tbl>
    <w:p>
      <w:pPr>
        <w:jc w:val="left"/>
        <w:rPr>
          <w:sz w:val="21"/>
          <w:szCs w:val="21"/>
        </w:rPr>
      </w:pPr>
      <w:r>
        <w:rPr>
          <w:rFonts w:hint="eastAsia"/>
          <w:sz w:val="21"/>
          <w:szCs w:val="21"/>
        </w:rPr>
        <w:t>上期金额</w:t>
      </w:r>
    </w:p>
    <w:p>
      <w:pPr>
        <w:jc w:val="right"/>
        <w:rPr>
          <w:sz w:val="21"/>
          <w:szCs w:val="21"/>
        </w:rPr>
      </w:pPr>
      <w:r>
        <w:rPr>
          <w:rFonts w:hint="eastAsia"/>
          <w:sz w:val="21"/>
          <w:szCs w:val="21"/>
        </w:rPr>
        <w:t>单位：元</w:t>
      </w:r>
    </w:p>
    <w:tbl>
      <w:tblPr>
        <w:tblStyle w:val="8"/>
        <w:tblW w:w="14014" w:type="dxa"/>
        <w:tblInd w:w="0" w:type="dxa"/>
        <w:tblLayout w:type="fixed"/>
        <w:tblCellMar>
          <w:top w:w="0" w:type="dxa"/>
          <w:left w:w="28" w:type="dxa"/>
          <w:bottom w:w="0" w:type="dxa"/>
          <w:right w:w="28" w:type="dxa"/>
        </w:tblCellMar>
      </w:tblPr>
      <w:tblGrid>
        <w:gridCol w:w="1923"/>
        <w:gridCol w:w="1369"/>
        <w:gridCol w:w="785"/>
        <w:gridCol w:w="785"/>
        <w:gridCol w:w="787"/>
        <w:gridCol w:w="1369"/>
        <w:gridCol w:w="981"/>
        <w:gridCol w:w="979"/>
        <w:gridCol w:w="982"/>
        <w:gridCol w:w="1264"/>
        <w:gridCol w:w="1264"/>
        <w:gridCol w:w="1526"/>
      </w:tblGrid>
      <w:tr>
        <w:tblPrEx>
          <w:tblLayout w:type="fixed"/>
          <w:tblCellMar>
            <w:top w:w="0" w:type="dxa"/>
            <w:left w:w="28" w:type="dxa"/>
            <w:bottom w:w="0" w:type="dxa"/>
            <w:right w:w="28" w:type="dxa"/>
          </w:tblCellMar>
        </w:tblPrEx>
        <w:tc>
          <w:tcPr>
            <w:tcW w:w="1923"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12091" w:type="dxa"/>
            <w:gridSpan w:val="11"/>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上期</w:t>
            </w:r>
          </w:p>
        </w:tc>
      </w:tr>
      <w:tr>
        <w:tblPrEx>
          <w:tblLayout w:type="fixed"/>
          <w:tblCellMar>
            <w:top w:w="0" w:type="dxa"/>
            <w:left w:w="28" w:type="dxa"/>
            <w:bottom w:w="0" w:type="dxa"/>
            <w:right w:w="28" w:type="dxa"/>
          </w:tblCellMar>
        </w:tblPrEx>
        <w:tc>
          <w:tcPr>
            <w:tcW w:w="1923"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369"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股本</w:t>
            </w:r>
          </w:p>
        </w:tc>
        <w:tc>
          <w:tcPr>
            <w:tcW w:w="2357" w:type="dxa"/>
            <w:gridSpan w:val="3"/>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其他权益工具</w:t>
            </w:r>
          </w:p>
        </w:tc>
        <w:tc>
          <w:tcPr>
            <w:tcW w:w="1369"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资本公积</w:t>
            </w:r>
          </w:p>
        </w:tc>
        <w:tc>
          <w:tcPr>
            <w:tcW w:w="981"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减：库存股</w:t>
            </w:r>
          </w:p>
        </w:tc>
        <w:tc>
          <w:tcPr>
            <w:tcW w:w="979"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其他综合收益</w:t>
            </w:r>
          </w:p>
        </w:tc>
        <w:tc>
          <w:tcPr>
            <w:tcW w:w="982"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专项储备</w:t>
            </w:r>
          </w:p>
        </w:tc>
        <w:tc>
          <w:tcPr>
            <w:tcW w:w="1264"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盈余公积</w:t>
            </w:r>
          </w:p>
        </w:tc>
        <w:tc>
          <w:tcPr>
            <w:tcW w:w="1264"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未分配利润</w:t>
            </w:r>
          </w:p>
        </w:tc>
        <w:tc>
          <w:tcPr>
            <w:tcW w:w="1526"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所有者权益合计</w:t>
            </w:r>
          </w:p>
        </w:tc>
      </w:tr>
      <w:tr>
        <w:tblPrEx>
          <w:tblLayout w:type="fixed"/>
          <w:tblCellMar>
            <w:top w:w="0" w:type="dxa"/>
            <w:left w:w="28" w:type="dxa"/>
            <w:bottom w:w="0" w:type="dxa"/>
            <w:right w:w="28" w:type="dxa"/>
          </w:tblCellMar>
        </w:tblPrEx>
        <w:tc>
          <w:tcPr>
            <w:tcW w:w="1923"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369"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78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优先股</w:t>
            </w:r>
          </w:p>
        </w:tc>
        <w:tc>
          <w:tcPr>
            <w:tcW w:w="78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永续债</w:t>
            </w:r>
          </w:p>
        </w:tc>
        <w:tc>
          <w:tcPr>
            <w:tcW w:w="78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其他</w:t>
            </w:r>
          </w:p>
        </w:tc>
        <w:tc>
          <w:tcPr>
            <w:tcW w:w="1369"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981"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979"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982"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264"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264"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526"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r>
      <w:tr>
        <w:tblPrEx>
          <w:tblLayout w:type="fixed"/>
          <w:tblCellMar>
            <w:top w:w="0" w:type="dxa"/>
            <w:left w:w="28" w:type="dxa"/>
            <w:bottom w:w="0" w:type="dxa"/>
            <w:right w:w="28" w:type="dxa"/>
          </w:tblCellMar>
        </w:tblPrEx>
        <w:tc>
          <w:tcPr>
            <w:tcW w:w="192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一、上年期末余额</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210,505,940.00</w:t>
            </w:r>
          </w:p>
        </w:tc>
        <w:tc>
          <w:tcPr>
            <w:tcW w:w="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293,318,239.77</w:t>
            </w:r>
          </w:p>
        </w:tc>
        <w:tc>
          <w:tcPr>
            <w:tcW w:w="9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8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10,424,755.34</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60,847,431.52</w:t>
            </w: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575,096,366.63</w:t>
            </w:r>
          </w:p>
        </w:tc>
      </w:tr>
      <w:tr>
        <w:tblPrEx>
          <w:tblLayout w:type="fixed"/>
          <w:tblCellMar>
            <w:top w:w="0" w:type="dxa"/>
            <w:left w:w="28" w:type="dxa"/>
            <w:bottom w:w="0" w:type="dxa"/>
            <w:right w:w="28" w:type="dxa"/>
          </w:tblCellMar>
        </w:tblPrEx>
        <w:tc>
          <w:tcPr>
            <w:tcW w:w="192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加：会计政策变更</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8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92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前期差错更正</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8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92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其他</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8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92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二、本年期初余额</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210,505,940.00</w:t>
            </w:r>
          </w:p>
        </w:tc>
        <w:tc>
          <w:tcPr>
            <w:tcW w:w="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293,318,239.77</w:t>
            </w:r>
          </w:p>
        </w:tc>
        <w:tc>
          <w:tcPr>
            <w:tcW w:w="9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8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10,424,755.34</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60,847,431.52</w:t>
            </w: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575,096,366.63</w:t>
            </w:r>
          </w:p>
        </w:tc>
      </w:tr>
      <w:tr>
        <w:tblPrEx>
          <w:tblLayout w:type="fixed"/>
          <w:tblCellMar>
            <w:top w:w="0" w:type="dxa"/>
            <w:left w:w="28" w:type="dxa"/>
            <w:bottom w:w="0" w:type="dxa"/>
            <w:right w:w="28" w:type="dxa"/>
          </w:tblCellMar>
        </w:tblPrEx>
        <w:tc>
          <w:tcPr>
            <w:tcW w:w="192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三、本期增减变动金额（减少以</w:t>
            </w:r>
            <w:r>
              <w:rPr>
                <w:sz w:val="21"/>
                <w:szCs w:val="21"/>
              </w:rPr>
              <w:t>“</w:t>
            </w:r>
            <w:r>
              <w:rPr>
                <w:rFonts w:hint="eastAsia"/>
                <w:sz w:val="21"/>
                <w:szCs w:val="21"/>
              </w:rPr>
              <w:t>－</w:t>
            </w:r>
            <w:r>
              <w:rPr>
                <w:sz w:val="21"/>
                <w:szCs w:val="21"/>
              </w:rPr>
              <w:t>”</w:t>
            </w:r>
            <w:r>
              <w:rPr>
                <w:rFonts w:hint="eastAsia"/>
                <w:sz w:val="21"/>
                <w:szCs w:val="21"/>
              </w:rPr>
              <w:t>号填列）</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31,054,708.00</w:t>
            </w:r>
          </w:p>
        </w:tc>
        <w:tc>
          <w:tcPr>
            <w:tcW w:w="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513,913,216.52</w:t>
            </w:r>
          </w:p>
        </w:tc>
        <w:tc>
          <w:tcPr>
            <w:tcW w:w="9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8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3,428,150.01</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24,538,171.88</w:t>
            </w: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572,934,246.41</w:t>
            </w:r>
          </w:p>
        </w:tc>
      </w:tr>
      <w:tr>
        <w:tblPrEx>
          <w:tblLayout w:type="fixed"/>
          <w:tblCellMar>
            <w:top w:w="0" w:type="dxa"/>
            <w:left w:w="28" w:type="dxa"/>
            <w:bottom w:w="0" w:type="dxa"/>
            <w:right w:w="28" w:type="dxa"/>
          </w:tblCellMar>
        </w:tblPrEx>
        <w:tc>
          <w:tcPr>
            <w:tcW w:w="192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（一）综合收益总额</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8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34,281,500.09</w:t>
            </w: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34,281,500.09</w:t>
            </w:r>
          </w:p>
        </w:tc>
      </w:tr>
      <w:tr>
        <w:tblPrEx>
          <w:tblLayout w:type="fixed"/>
          <w:tblCellMar>
            <w:top w:w="0" w:type="dxa"/>
            <w:left w:w="28" w:type="dxa"/>
            <w:bottom w:w="0" w:type="dxa"/>
            <w:right w:w="28" w:type="dxa"/>
          </w:tblCellMar>
        </w:tblPrEx>
        <w:tc>
          <w:tcPr>
            <w:tcW w:w="192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（二）所有者投入和减少资本</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31,054,708.00</w:t>
            </w:r>
          </w:p>
        </w:tc>
        <w:tc>
          <w:tcPr>
            <w:tcW w:w="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513,913,216.52</w:t>
            </w:r>
          </w:p>
        </w:tc>
        <w:tc>
          <w:tcPr>
            <w:tcW w:w="9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8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544,967,924.52</w:t>
            </w:r>
          </w:p>
        </w:tc>
      </w:tr>
      <w:tr>
        <w:tblPrEx>
          <w:tblLayout w:type="fixed"/>
          <w:tblCellMar>
            <w:top w:w="0" w:type="dxa"/>
            <w:left w:w="28" w:type="dxa"/>
            <w:bottom w:w="0" w:type="dxa"/>
            <w:right w:w="28" w:type="dxa"/>
          </w:tblCellMar>
        </w:tblPrEx>
        <w:tc>
          <w:tcPr>
            <w:tcW w:w="192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1</w:t>
            </w:r>
            <w:r>
              <w:rPr>
                <w:rFonts w:hint="eastAsia"/>
                <w:sz w:val="21"/>
                <w:szCs w:val="21"/>
              </w:rPr>
              <w:t>．股东投入的普通股</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31,054,708.00</w:t>
            </w:r>
          </w:p>
        </w:tc>
        <w:tc>
          <w:tcPr>
            <w:tcW w:w="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513,913,216.52</w:t>
            </w:r>
          </w:p>
        </w:tc>
        <w:tc>
          <w:tcPr>
            <w:tcW w:w="9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8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544,967,924.52</w:t>
            </w:r>
          </w:p>
        </w:tc>
      </w:tr>
      <w:tr>
        <w:tblPrEx>
          <w:tblLayout w:type="fixed"/>
          <w:tblCellMar>
            <w:top w:w="0" w:type="dxa"/>
            <w:left w:w="28" w:type="dxa"/>
            <w:bottom w:w="0" w:type="dxa"/>
            <w:right w:w="28" w:type="dxa"/>
          </w:tblCellMar>
        </w:tblPrEx>
        <w:tc>
          <w:tcPr>
            <w:tcW w:w="192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2</w:t>
            </w:r>
            <w:r>
              <w:rPr>
                <w:rFonts w:hint="eastAsia"/>
                <w:sz w:val="21"/>
                <w:szCs w:val="21"/>
              </w:rPr>
              <w:t>．其他权益工具持有者投入资本</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8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92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3</w:t>
            </w:r>
            <w:r>
              <w:rPr>
                <w:rFonts w:hint="eastAsia"/>
                <w:sz w:val="21"/>
                <w:szCs w:val="21"/>
              </w:rPr>
              <w:t>．股份支付计入所有者权益的金额</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8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92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4</w:t>
            </w:r>
            <w:r>
              <w:rPr>
                <w:rFonts w:hint="eastAsia"/>
                <w:sz w:val="21"/>
                <w:szCs w:val="21"/>
              </w:rPr>
              <w:t>．其他</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8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92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（三）利润分配</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8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3,428,150.01</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-9,743,328.21</w:t>
            </w: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-6,315,178.20</w:t>
            </w:r>
          </w:p>
        </w:tc>
      </w:tr>
      <w:tr>
        <w:tblPrEx>
          <w:tblLayout w:type="fixed"/>
          <w:tblCellMar>
            <w:top w:w="0" w:type="dxa"/>
            <w:left w:w="28" w:type="dxa"/>
            <w:bottom w:w="0" w:type="dxa"/>
            <w:right w:w="28" w:type="dxa"/>
          </w:tblCellMar>
        </w:tblPrEx>
        <w:tc>
          <w:tcPr>
            <w:tcW w:w="192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1</w:t>
            </w:r>
            <w:r>
              <w:rPr>
                <w:rFonts w:hint="eastAsia"/>
                <w:sz w:val="21"/>
                <w:szCs w:val="21"/>
              </w:rPr>
              <w:t>．提取盈余公积</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8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3,428,150.01</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-3,428,150.01</w:t>
            </w: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92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2</w:t>
            </w:r>
            <w:r>
              <w:rPr>
                <w:rFonts w:hint="eastAsia"/>
                <w:sz w:val="21"/>
                <w:szCs w:val="21"/>
              </w:rPr>
              <w:t>．对所有者（或股东）的分配</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8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-6,315,178.20</w:t>
            </w: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-6,315,178.20</w:t>
            </w:r>
          </w:p>
        </w:tc>
      </w:tr>
      <w:tr>
        <w:tblPrEx>
          <w:tblLayout w:type="fixed"/>
          <w:tblCellMar>
            <w:top w:w="0" w:type="dxa"/>
            <w:left w:w="28" w:type="dxa"/>
            <w:bottom w:w="0" w:type="dxa"/>
            <w:right w:w="28" w:type="dxa"/>
          </w:tblCellMar>
        </w:tblPrEx>
        <w:tc>
          <w:tcPr>
            <w:tcW w:w="192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3</w:t>
            </w:r>
            <w:r>
              <w:rPr>
                <w:rFonts w:hint="eastAsia"/>
                <w:sz w:val="21"/>
                <w:szCs w:val="21"/>
              </w:rPr>
              <w:t>．其他</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8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92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（四）所有者权益内部结转</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8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92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1</w:t>
            </w:r>
            <w:r>
              <w:rPr>
                <w:rFonts w:hint="eastAsia"/>
                <w:sz w:val="21"/>
                <w:szCs w:val="21"/>
              </w:rPr>
              <w:t>．资本公积转增资本（或股本）</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8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92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2</w:t>
            </w:r>
            <w:r>
              <w:rPr>
                <w:rFonts w:hint="eastAsia"/>
                <w:sz w:val="21"/>
                <w:szCs w:val="21"/>
              </w:rPr>
              <w:t>．盈余公积转增资本（或股本）</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8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92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3</w:t>
            </w:r>
            <w:r>
              <w:rPr>
                <w:rFonts w:hint="eastAsia"/>
                <w:sz w:val="21"/>
                <w:szCs w:val="21"/>
              </w:rPr>
              <w:t>．盈余公积弥补亏损</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8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92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4</w:t>
            </w:r>
            <w:r>
              <w:rPr>
                <w:rFonts w:hint="eastAsia"/>
                <w:sz w:val="21"/>
                <w:szCs w:val="21"/>
              </w:rPr>
              <w:t>．其他</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8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92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（五）专项储备</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8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92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1</w:t>
            </w:r>
            <w:r>
              <w:rPr>
                <w:rFonts w:hint="eastAsia"/>
                <w:sz w:val="21"/>
                <w:szCs w:val="21"/>
              </w:rPr>
              <w:t>．本期提取</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8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92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2</w:t>
            </w:r>
            <w:r>
              <w:rPr>
                <w:rFonts w:hint="eastAsia"/>
                <w:sz w:val="21"/>
                <w:szCs w:val="21"/>
              </w:rPr>
              <w:t>．本期使用</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8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92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（六）其他</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8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92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四、本期期末余额</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241,560,648.00</w:t>
            </w:r>
          </w:p>
        </w:tc>
        <w:tc>
          <w:tcPr>
            <w:tcW w:w="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807,231,456.29</w:t>
            </w:r>
          </w:p>
        </w:tc>
        <w:tc>
          <w:tcPr>
            <w:tcW w:w="98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98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13,852,905.35</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85,385,603.40</w:t>
            </w:r>
          </w:p>
        </w:tc>
        <w:tc>
          <w:tcPr>
            <w:tcW w:w="1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1,148,030,613.04</w:t>
            </w:r>
          </w:p>
        </w:tc>
      </w:tr>
    </w:tbl>
    <w:p>
      <w:pPr>
        <w:pStyle w:val="10"/>
        <w:outlineLvl w:val="1"/>
        <w:rPr>
          <w:bCs w:val="0"/>
        </w:rPr>
        <w:sectPr>
          <w:pgSz w:w="16838" w:h="11906" w:orient="landscape"/>
          <w:pgMar w:top="1134" w:right="1440" w:bottom="1134" w:left="1440" w:header="851" w:footer="992" w:gutter="0"/>
          <w:cols w:space="425" w:num="1"/>
          <w:docGrid w:type="linesAndChars" w:linePitch="312" w:charSpace="0"/>
        </w:sectPr>
      </w:pPr>
    </w:p>
    <w:p>
      <w:pPr>
        <w:pStyle w:val="10"/>
        <w:outlineLvl w:val="1"/>
        <w:rPr>
          <w:bCs w:val="0"/>
        </w:rPr>
      </w:pPr>
      <w:r>
        <w:rPr>
          <w:rFonts w:hint="eastAsia"/>
          <w:bCs w:val="0"/>
        </w:rPr>
        <w:t>三、公司基本情况</w:t>
      </w:r>
    </w:p>
    <w:p>
      <w:pPr>
        <w:autoSpaceDE w:val="0"/>
        <w:autoSpaceDN w:val="0"/>
        <w:adjustRightInd w:val="0"/>
        <w:spacing w:before="240" w:after="0" w:line="360" w:lineRule="auto"/>
        <w:ind w:firstLine="420" w:firstLineChars="200"/>
        <w:rPr>
          <w:rFonts w:ascii="宋体" w:hAnsi="宋体"/>
          <w:kern w:val="0"/>
          <w:sz w:val="21"/>
          <w:szCs w:val="21"/>
          <w:lang w:val="zh-CN"/>
        </w:rPr>
      </w:pPr>
      <w:r>
        <w:rPr>
          <w:rFonts w:hint="eastAsia" w:ascii="宋体" w:hAnsi="宋体" w:cs="宋体"/>
          <w:kern w:val="0"/>
          <w:sz w:val="21"/>
          <w:szCs w:val="21"/>
          <w:lang w:val="zh-CN"/>
        </w:rPr>
        <w:t>北京海兰信数据科技股份有限公司（以下简称本公司，在包含子公司时统称本集团）前身为北京海兰信数据记录科技有限公司（以下简称海兰信数据记录公司），成立于</w:t>
      </w:r>
      <w:r>
        <w:rPr>
          <w:rFonts w:ascii="宋体" w:hAnsi="宋体"/>
          <w:kern w:val="0"/>
          <w:sz w:val="21"/>
          <w:szCs w:val="21"/>
          <w:lang w:val="en-GB"/>
        </w:rPr>
        <w:t>2001</w:t>
      </w:r>
      <w:r>
        <w:rPr>
          <w:rFonts w:hint="eastAsia" w:ascii="宋体" w:hAnsi="宋体" w:cs="宋体"/>
          <w:kern w:val="0"/>
          <w:sz w:val="21"/>
          <w:szCs w:val="21"/>
          <w:lang w:val="zh-CN"/>
        </w:rPr>
        <w:t>年</w:t>
      </w:r>
      <w:r>
        <w:rPr>
          <w:rFonts w:ascii="宋体" w:hAnsi="宋体"/>
          <w:kern w:val="0"/>
          <w:sz w:val="21"/>
          <w:szCs w:val="21"/>
          <w:lang w:val="en-GB"/>
        </w:rPr>
        <w:t>2</w:t>
      </w:r>
      <w:r>
        <w:rPr>
          <w:rFonts w:hint="eastAsia" w:ascii="宋体" w:hAnsi="宋体" w:cs="宋体"/>
          <w:kern w:val="0"/>
          <w:sz w:val="21"/>
          <w:szCs w:val="21"/>
          <w:lang w:val="zh-CN"/>
        </w:rPr>
        <w:t>月，注册资本</w:t>
      </w:r>
      <w:r>
        <w:rPr>
          <w:rFonts w:ascii="宋体" w:hAnsi="宋体"/>
          <w:kern w:val="0"/>
          <w:sz w:val="21"/>
          <w:szCs w:val="21"/>
          <w:lang w:val="en-GB"/>
        </w:rPr>
        <w:t>100</w:t>
      </w:r>
      <w:r>
        <w:rPr>
          <w:rFonts w:hint="eastAsia" w:ascii="宋体" w:hAnsi="宋体" w:cs="宋体"/>
          <w:kern w:val="0"/>
          <w:sz w:val="21"/>
          <w:szCs w:val="21"/>
          <w:lang w:val="zh-CN"/>
        </w:rPr>
        <w:t>万元。</w:t>
      </w:r>
    </w:p>
    <w:p>
      <w:pPr>
        <w:autoSpaceDE w:val="0"/>
        <w:autoSpaceDN w:val="0"/>
        <w:adjustRightInd w:val="0"/>
        <w:spacing w:before="240" w:after="0" w:line="360" w:lineRule="auto"/>
        <w:ind w:firstLine="420" w:firstLineChars="200"/>
        <w:rPr>
          <w:rFonts w:ascii="宋体" w:hAnsi="宋体" w:cs="宋体"/>
          <w:kern w:val="0"/>
          <w:sz w:val="21"/>
          <w:szCs w:val="21"/>
          <w:lang w:val="zh-CN"/>
        </w:rPr>
      </w:pPr>
      <w:r>
        <w:rPr>
          <w:rFonts w:ascii="宋体" w:hAnsi="宋体" w:cs="宋体"/>
          <w:kern w:val="0"/>
          <w:sz w:val="21"/>
          <w:szCs w:val="21"/>
          <w:lang w:val="zh-CN"/>
        </w:rPr>
        <w:t>2008</w:t>
      </w:r>
      <w:r>
        <w:rPr>
          <w:rFonts w:hint="eastAsia" w:ascii="宋体" w:hAnsi="宋体" w:cs="宋体"/>
          <w:kern w:val="0"/>
          <w:sz w:val="21"/>
          <w:szCs w:val="21"/>
          <w:lang w:val="zh-CN"/>
        </w:rPr>
        <w:t>年</w:t>
      </w:r>
      <w:r>
        <w:rPr>
          <w:rFonts w:ascii="宋体" w:hAnsi="宋体" w:cs="宋体"/>
          <w:kern w:val="0"/>
          <w:sz w:val="21"/>
          <w:szCs w:val="21"/>
          <w:lang w:val="zh-CN"/>
        </w:rPr>
        <w:t>3</w:t>
      </w:r>
      <w:r>
        <w:rPr>
          <w:rFonts w:hint="eastAsia" w:ascii="宋体" w:hAnsi="宋体" w:cs="宋体"/>
          <w:kern w:val="0"/>
          <w:sz w:val="21"/>
          <w:szCs w:val="21"/>
          <w:lang w:val="zh-CN"/>
        </w:rPr>
        <w:t>月，海兰信数据记录公司召开临时股东会，决议将公司整体变更为股份有限公司。本公司注册资本变更为</w:t>
      </w:r>
      <w:r>
        <w:rPr>
          <w:rFonts w:ascii="宋体" w:hAnsi="宋体" w:cs="宋体"/>
          <w:kern w:val="0"/>
          <w:sz w:val="21"/>
          <w:szCs w:val="21"/>
          <w:lang w:val="zh-CN"/>
        </w:rPr>
        <w:t>3,300</w:t>
      </w:r>
      <w:r>
        <w:rPr>
          <w:rFonts w:hint="eastAsia" w:ascii="宋体" w:hAnsi="宋体" w:cs="宋体"/>
          <w:kern w:val="0"/>
          <w:sz w:val="21"/>
          <w:szCs w:val="21"/>
          <w:lang w:val="zh-CN"/>
        </w:rPr>
        <w:t>万元。</w:t>
      </w:r>
      <w:r>
        <w:rPr>
          <w:rFonts w:ascii="宋体" w:hAnsi="宋体" w:cs="宋体"/>
          <w:kern w:val="0"/>
          <w:sz w:val="21"/>
          <w:szCs w:val="21"/>
          <w:lang w:val="zh-CN"/>
        </w:rPr>
        <w:t xml:space="preserve"> </w:t>
      </w:r>
    </w:p>
    <w:p>
      <w:pPr>
        <w:autoSpaceDE w:val="0"/>
        <w:autoSpaceDN w:val="0"/>
        <w:adjustRightInd w:val="0"/>
        <w:spacing w:before="240" w:after="0" w:line="360" w:lineRule="auto"/>
        <w:ind w:firstLine="420" w:firstLineChars="200"/>
        <w:rPr>
          <w:rFonts w:ascii="宋体" w:hAnsi="宋体" w:cs="宋体"/>
          <w:kern w:val="0"/>
          <w:sz w:val="21"/>
          <w:szCs w:val="21"/>
          <w:lang w:val="zh-CN"/>
        </w:rPr>
      </w:pPr>
      <w:r>
        <w:rPr>
          <w:rFonts w:ascii="宋体" w:hAnsi="宋体" w:cs="宋体"/>
          <w:kern w:val="0"/>
          <w:sz w:val="21"/>
          <w:szCs w:val="21"/>
          <w:lang w:val="zh-CN"/>
        </w:rPr>
        <w:t>2009</w:t>
      </w:r>
      <w:r>
        <w:rPr>
          <w:rFonts w:hint="eastAsia" w:ascii="宋体" w:hAnsi="宋体" w:cs="宋体"/>
          <w:kern w:val="0"/>
          <w:sz w:val="21"/>
          <w:szCs w:val="21"/>
          <w:lang w:val="zh-CN"/>
        </w:rPr>
        <w:t>年</w:t>
      </w:r>
      <w:r>
        <w:rPr>
          <w:rFonts w:ascii="宋体" w:hAnsi="宋体" w:cs="宋体"/>
          <w:kern w:val="0"/>
          <w:sz w:val="21"/>
          <w:szCs w:val="21"/>
          <w:lang w:val="zh-CN"/>
        </w:rPr>
        <w:t>3</w:t>
      </w:r>
      <w:r>
        <w:rPr>
          <w:rFonts w:hint="eastAsia" w:ascii="宋体" w:hAnsi="宋体" w:cs="宋体"/>
          <w:kern w:val="0"/>
          <w:sz w:val="21"/>
          <w:szCs w:val="21"/>
          <w:lang w:val="zh-CN"/>
        </w:rPr>
        <w:t>月，本公司召开</w:t>
      </w:r>
      <w:r>
        <w:rPr>
          <w:rFonts w:ascii="宋体" w:hAnsi="宋体" w:cs="宋体"/>
          <w:kern w:val="0"/>
          <w:sz w:val="21"/>
          <w:szCs w:val="21"/>
          <w:lang w:val="zh-CN"/>
        </w:rPr>
        <w:t>2009</w:t>
      </w:r>
      <w:r>
        <w:rPr>
          <w:rFonts w:hint="eastAsia" w:ascii="宋体" w:hAnsi="宋体" w:cs="宋体"/>
          <w:kern w:val="0"/>
          <w:sz w:val="21"/>
          <w:szCs w:val="21"/>
          <w:lang w:val="zh-CN"/>
        </w:rPr>
        <w:t>年第二次临时股东大会，决议由深圳力合创业投资有限公司对本公司增资</w:t>
      </w:r>
      <w:r>
        <w:rPr>
          <w:rFonts w:ascii="宋体" w:hAnsi="宋体" w:cs="宋体"/>
          <w:kern w:val="0"/>
          <w:sz w:val="21"/>
          <w:szCs w:val="21"/>
          <w:lang w:val="zh-CN"/>
        </w:rPr>
        <w:t>1,500.00</w:t>
      </w:r>
      <w:r>
        <w:rPr>
          <w:rFonts w:hint="eastAsia" w:ascii="宋体" w:hAnsi="宋体" w:cs="宋体"/>
          <w:kern w:val="0"/>
          <w:sz w:val="21"/>
          <w:szCs w:val="21"/>
          <w:lang w:val="zh-CN"/>
        </w:rPr>
        <w:t>万元（其中：增加注册资本</w:t>
      </w:r>
      <w:r>
        <w:rPr>
          <w:rFonts w:ascii="宋体" w:hAnsi="宋体" w:cs="宋体"/>
          <w:kern w:val="0"/>
          <w:sz w:val="21"/>
          <w:szCs w:val="21"/>
          <w:lang w:val="zh-CN"/>
        </w:rPr>
        <w:t>415.97</w:t>
      </w:r>
      <w:r>
        <w:rPr>
          <w:rFonts w:hint="eastAsia" w:ascii="宋体" w:hAnsi="宋体" w:cs="宋体"/>
          <w:kern w:val="0"/>
          <w:sz w:val="21"/>
          <w:szCs w:val="21"/>
          <w:lang w:val="zh-CN"/>
        </w:rPr>
        <w:t>万元，增加资本公积</w:t>
      </w:r>
      <w:r>
        <w:rPr>
          <w:rFonts w:ascii="宋体" w:hAnsi="宋体" w:cs="宋体"/>
          <w:kern w:val="0"/>
          <w:sz w:val="21"/>
          <w:szCs w:val="21"/>
          <w:lang w:val="zh-CN"/>
        </w:rPr>
        <w:t>1,084.03</w:t>
      </w:r>
      <w:r>
        <w:rPr>
          <w:rFonts w:hint="eastAsia" w:ascii="宋体" w:hAnsi="宋体" w:cs="宋体"/>
          <w:kern w:val="0"/>
          <w:sz w:val="21"/>
          <w:szCs w:val="21"/>
          <w:lang w:val="zh-CN"/>
        </w:rPr>
        <w:t>万元）；由启迪控股股份有限公司对本公司增资</w:t>
      </w:r>
      <w:r>
        <w:rPr>
          <w:rFonts w:ascii="宋体" w:hAnsi="宋体" w:cs="宋体"/>
          <w:kern w:val="0"/>
          <w:sz w:val="21"/>
          <w:szCs w:val="21"/>
          <w:lang w:val="zh-CN"/>
        </w:rPr>
        <w:t>500.00</w:t>
      </w:r>
      <w:r>
        <w:rPr>
          <w:rFonts w:hint="eastAsia" w:ascii="宋体" w:hAnsi="宋体" w:cs="宋体"/>
          <w:kern w:val="0"/>
          <w:sz w:val="21"/>
          <w:szCs w:val="21"/>
          <w:lang w:val="zh-CN"/>
        </w:rPr>
        <w:t>万元（其中：增加注册资本</w:t>
      </w:r>
      <w:r>
        <w:rPr>
          <w:rFonts w:ascii="宋体" w:hAnsi="宋体" w:cs="宋体"/>
          <w:kern w:val="0"/>
          <w:sz w:val="21"/>
          <w:szCs w:val="21"/>
          <w:lang w:val="zh-CN"/>
        </w:rPr>
        <w:t>138.66</w:t>
      </w:r>
      <w:r>
        <w:rPr>
          <w:rFonts w:hint="eastAsia" w:ascii="宋体" w:hAnsi="宋体" w:cs="宋体"/>
          <w:kern w:val="0"/>
          <w:sz w:val="21"/>
          <w:szCs w:val="21"/>
          <w:lang w:val="zh-CN"/>
        </w:rPr>
        <w:t>万元，增加资本公积</w:t>
      </w:r>
      <w:r>
        <w:rPr>
          <w:rFonts w:ascii="宋体" w:hAnsi="宋体" w:cs="宋体"/>
          <w:kern w:val="0"/>
          <w:sz w:val="21"/>
          <w:szCs w:val="21"/>
          <w:lang w:val="zh-CN"/>
        </w:rPr>
        <w:t>361.34</w:t>
      </w:r>
      <w:r>
        <w:rPr>
          <w:rFonts w:hint="eastAsia" w:ascii="宋体" w:hAnsi="宋体" w:cs="宋体"/>
          <w:kern w:val="0"/>
          <w:sz w:val="21"/>
          <w:szCs w:val="21"/>
          <w:lang w:val="zh-CN"/>
        </w:rPr>
        <w:t>万元）。上述增资均为货币资金出资，业经北京永恩力合会计师事务所有限公司永恩验字（</w:t>
      </w:r>
      <w:r>
        <w:rPr>
          <w:rFonts w:ascii="宋体" w:hAnsi="宋体" w:cs="宋体"/>
          <w:kern w:val="0"/>
          <w:sz w:val="21"/>
          <w:szCs w:val="21"/>
          <w:lang w:val="zh-CN"/>
        </w:rPr>
        <w:t>2009</w:t>
      </w:r>
      <w:r>
        <w:rPr>
          <w:rFonts w:hint="eastAsia" w:ascii="宋体" w:hAnsi="宋体" w:cs="宋体"/>
          <w:kern w:val="0"/>
          <w:sz w:val="21"/>
          <w:szCs w:val="21"/>
          <w:lang w:val="zh-CN"/>
        </w:rPr>
        <w:t>）第</w:t>
      </w:r>
      <w:r>
        <w:rPr>
          <w:rFonts w:ascii="宋体" w:hAnsi="宋体" w:cs="宋体"/>
          <w:kern w:val="0"/>
          <w:sz w:val="21"/>
          <w:szCs w:val="21"/>
          <w:lang w:val="zh-CN"/>
        </w:rPr>
        <w:t>09A103556</w:t>
      </w:r>
      <w:r>
        <w:rPr>
          <w:rFonts w:hint="eastAsia" w:ascii="宋体" w:hAnsi="宋体" w:cs="宋体"/>
          <w:kern w:val="0"/>
          <w:sz w:val="21"/>
          <w:szCs w:val="21"/>
          <w:lang w:val="zh-CN"/>
        </w:rPr>
        <w:t>号验资报告审验。</w:t>
      </w:r>
    </w:p>
    <w:p>
      <w:pPr>
        <w:autoSpaceDE w:val="0"/>
        <w:autoSpaceDN w:val="0"/>
        <w:adjustRightInd w:val="0"/>
        <w:spacing w:before="240" w:after="0" w:line="360" w:lineRule="auto"/>
        <w:ind w:firstLine="420" w:firstLineChars="200"/>
        <w:rPr>
          <w:rFonts w:ascii="宋体" w:hAnsi="宋体" w:cs="宋体"/>
          <w:kern w:val="0"/>
          <w:sz w:val="21"/>
          <w:szCs w:val="21"/>
          <w:lang w:val="zh-CN"/>
        </w:rPr>
      </w:pPr>
      <w:r>
        <w:rPr>
          <w:rFonts w:ascii="宋体" w:hAnsi="宋体" w:cs="宋体"/>
          <w:kern w:val="0"/>
          <w:sz w:val="21"/>
          <w:szCs w:val="21"/>
          <w:lang w:val="zh-CN"/>
        </w:rPr>
        <w:t>2009</w:t>
      </w:r>
      <w:r>
        <w:rPr>
          <w:rFonts w:hint="eastAsia" w:ascii="宋体" w:hAnsi="宋体" w:cs="宋体"/>
          <w:kern w:val="0"/>
          <w:sz w:val="21"/>
          <w:szCs w:val="21"/>
          <w:lang w:val="zh-CN"/>
        </w:rPr>
        <w:t>年</w:t>
      </w:r>
      <w:r>
        <w:rPr>
          <w:rFonts w:ascii="宋体" w:hAnsi="宋体" w:cs="宋体"/>
          <w:kern w:val="0"/>
          <w:sz w:val="21"/>
          <w:szCs w:val="21"/>
          <w:lang w:val="zh-CN"/>
        </w:rPr>
        <w:t>6</w:t>
      </w:r>
      <w:r>
        <w:rPr>
          <w:rFonts w:hint="eastAsia" w:ascii="宋体" w:hAnsi="宋体" w:cs="宋体"/>
          <w:kern w:val="0"/>
          <w:sz w:val="21"/>
          <w:szCs w:val="21"/>
          <w:lang w:val="zh-CN"/>
        </w:rPr>
        <w:t>月，本公司召开</w:t>
      </w:r>
      <w:r>
        <w:rPr>
          <w:rFonts w:ascii="宋体" w:hAnsi="宋体" w:cs="宋体"/>
          <w:kern w:val="0"/>
          <w:sz w:val="21"/>
          <w:szCs w:val="21"/>
          <w:lang w:val="zh-CN"/>
        </w:rPr>
        <w:t>2009</w:t>
      </w:r>
      <w:r>
        <w:rPr>
          <w:rFonts w:hint="eastAsia" w:ascii="宋体" w:hAnsi="宋体" w:cs="宋体"/>
          <w:kern w:val="0"/>
          <w:sz w:val="21"/>
          <w:szCs w:val="21"/>
          <w:lang w:val="zh-CN"/>
        </w:rPr>
        <w:t>年第三次临时股东大会，决议由江苏中舟海洋工程装备有限公司对本公司增资</w:t>
      </w:r>
      <w:r>
        <w:rPr>
          <w:rFonts w:ascii="宋体" w:hAnsi="宋体" w:cs="宋体"/>
          <w:kern w:val="0"/>
          <w:sz w:val="21"/>
          <w:szCs w:val="21"/>
          <w:lang w:val="zh-CN"/>
        </w:rPr>
        <w:t>720.00</w:t>
      </w:r>
      <w:r>
        <w:rPr>
          <w:rFonts w:hint="eastAsia" w:ascii="宋体" w:hAnsi="宋体" w:cs="宋体"/>
          <w:kern w:val="0"/>
          <w:sz w:val="21"/>
          <w:szCs w:val="21"/>
          <w:lang w:val="zh-CN"/>
        </w:rPr>
        <w:t>万元（其中：增加注册资本</w:t>
      </w:r>
      <w:r>
        <w:rPr>
          <w:rFonts w:ascii="宋体" w:hAnsi="宋体" w:cs="宋体"/>
          <w:kern w:val="0"/>
          <w:sz w:val="21"/>
          <w:szCs w:val="21"/>
          <w:lang w:val="zh-CN"/>
        </w:rPr>
        <w:t>200.00</w:t>
      </w:r>
      <w:r>
        <w:rPr>
          <w:rFonts w:hint="eastAsia" w:ascii="宋体" w:hAnsi="宋体" w:cs="宋体"/>
          <w:kern w:val="0"/>
          <w:sz w:val="21"/>
          <w:szCs w:val="21"/>
          <w:lang w:val="zh-CN"/>
        </w:rPr>
        <w:t>万元，增加资本公积</w:t>
      </w:r>
      <w:r>
        <w:rPr>
          <w:rFonts w:ascii="宋体" w:hAnsi="宋体" w:cs="宋体"/>
          <w:kern w:val="0"/>
          <w:sz w:val="21"/>
          <w:szCs w:val="21"/>
          <w:lang w:val="zh-CN"/>
        </w:rPr>
        <w:t>520.00</w:t>
      </w:r>
      <w:r>
        <w:rPr>
          <w:rFonts w:hint="eastAsia" w:ascii="宋体" w:hAnsi="宋体" w:cs="宋体"/>
          <w:kern w:val="0"/>
          <w:sz w:val="21"/>
          <w:szCs w:val="21"/>
          <w:lang w:val="zh-CN"/>
        </w:rPr>
        <w:t>万元）；由乳山市造船有限责任公司对本公司增资</w:t>
      </w:r>
      <w:r>
        <w:rPr>
          <w:rFonts w:ascii="宋体" w:hAnsi="宋体" w:cs="宋体"/>
          <w:kern w:val="0"/>
          <w:sz w:val="21"/>
          <w:szCs w:val="21"/>
          <w:lang w:val="zh-CN"/>
        </w:rPr>
        <w:t>360.00</w:t>
      </w:r>
      <w:r>
        <w:rPr>
          <w:rFonts w:hint="eastAsia" w:ascii="宋体" w:hAnsi="宋体" w:cs="宋体"/>
          <w:kern w:val="0"/>
          <w:sz w:val="21"/>
          <w:szCs w:val="21"/>
          <w:lang w:val="zh-CN"/>
        </w:rPr>
        <w:t>万元（其中：增加注册资本</w:t>
      </w:r>
      <w:r>
        <w:rPr>
          <w:rFonts w:ascii="宋体" w:hAnsi="宋体" w:cs="宋体"/>
          <w:kern w:val="0"/>
          <w:sz w:val="21"/>
          <w:szCs w:val="21"/>
          <w:lang w:val="zh-CN"/>
        </w:rPr>
        <w:t>100.00</w:t>
      </w:r>
      <w:r>
        <w:rPr>
          <w:rFonts w:hint="eastAsia" w:ascii="宋体" w:hAnsi="宋体" w:cs="宋体"/>
          <w:kern w:val="0"/>
          <w:sz w:val="21"/>
          <w:szCs w:val="21"/>
          <w:lang w:val="zh-CN"/>
        </w:rPr>
        <w:t>万元，增加资本公积</w:t>
      </w:r>
      <w:r>
        <w:rPr>
          <w:rFonts w:ascii="宋体" w:hAnsi="宋体" w:cs="宋体"/>
          <w:kern w:val="0"/>
          <w:sz w:val="21"/>
          <w:szCs w:val="21"/>
          <w:lang w:val="zh-CN"/>
        </w:rPr>
        <w:t>260.00</w:t>
      </w:r>
      <w:r>
        <w:rPr>
          <w:rFonts w:hint="eastAsia" w:ascii="宋体" w:hAnsi="宋体" w:cs="宋体"/>
          <w:kern w:val="0"/>
          <w:sz w:val="21"/>
          <w:szCs w:val="21"/>
          <w:lang w:val="zh-CN"/>
        </w:rPr>
        <w:t>万元）。上述增资均为货币资金出资，业经北京永恩力合会计师事务所有限公司永恩验字（</w:t>
      </w:r>
      <w:r>
        <w:rPr>
          <w:rFonts w:ascii="宋体" w:hAnsi="宋体" w:cs="宋体"/>
          <w:kern w:val="0"/>
          <w:sz w:val="21"/>
          <w:szCs w:val="21"/>
          <w:lang w:val="zh-CN"/>
        </w:rPr>
        <w:t>2009</w:t>
      </w:r>
      <w:r>
        <w:rPr>
          <w:rFonts w:hint="eastAsia" w:ascii="宋体" w:hAnsi="宋体" w:cs="宋体"/>
          <w:kern w:val="0"/>
          <w:sz w:val="21"/>
          <w:szCs w:val="21"/>
          <w:lang w:val="zh-CN"/>
        </w:rPr>
        <w:t>）第</w:t>
      </w:r>
      <w:r>
        <w:rPr>
          <w:rFonts w:ascii="宋体" w:hAnsi="宋体" w:cs="宋体"/>
          <w:kern w:val="0"/>
          <w:sz w:val="21"/>
          <w:szCs w:val="21"/>
          <w:lang w:val="zh-CN"/>
        </w:rPr>
        <w:t>09A179541</w:t>
      </w:r>
      <w:r>
        <w:rPr>
          <w:rFonts w:hint="eastAsia" w:ascii="宋体" w:hAnsi="宋体" w:cs="宋体"/>
          <w:kern w:val="0"/>
          <w:sz w:val="21"/>
          <w:szCs w:val="21"/>
          <w:lang w:val="zh-CN"/>
        </w:rPr>
        <w:t>号验资报告审验。</w:t>
      </w:r>
    </w:p>
    <w:p>
      <w:pPr>
        <w:autoSpaceDE w:val="0"/>
        <w:autoSpaceDN w:val="0"/>
        <w:adjustRightInd w:val="0"/>
        <w:spacing w:before="240" w:after="0" w:line="360" w:lineRule="auto"/>
        <w:ind w:firstLine="420" w:firstLineChars="200"/>
        <w:rPr>
          <w:rFonts w:ascii="宋体" w:hAnsi="宋体" w:cs="宋体"/>
          <w:kern w:val="0"/>
          <w:sz w:val="21"/>
          <w:szCs w:val="21"/>
          <w:lang w:val="zh-CN"/>
        </w:rPr>
      </w:pPr>
      <w:r>
        <w:rPr>
          <w:rFonts w:hint="eastAsia" w:ascii="宋体" w:hAnsi="宋体" w:cs="宋体"/>
          <w:kern w:val="0"/>
          <w:sz w:val="21"/>
          <w:szCs w:val="21"/>
          <w:lang w:val="zh-CN"/>
        </w:rPr>
        <w:t>经中国证券监督管理委员会（证监许可</w:t>
      </w:r>
      <w:r>
        <w:rPr>
          <w:rFonts w:ascii="宋体" w:hAnsi="宋体" w:cs="宋体"/>
          <w:kern w:val="0"/>
          <w:sz w:val="21"/>
          <w:szCs w:val="21"/>
          <w:lang w:val="zh-CN"/>
        </w:rPr>
        <w:t>[2010]268</w:t>
      </w:r>
      <w:r>
        <w:rPr>
          <w:rFonts w:hint="eastAsia" w:ascii="宋体" w:hAnsi="宋体" w:cs="宋体"/>
          <w:kern w:val="0"/>
          <w:sz w:val="21"/>
          <w:szCs w:val="21"/>
          <w:lang w:val="zh-CN"/>
        </w:rPr>
        <w:t>号）批准，本公司于</w:t>
      </w:r>
      <w:r>
        <w:rPr>
          <w:rFonts w:ascii="宋体" w:hAnsi="宋体" w:cs="宋体"/>
          <w:kern w:val="0"/>
          <w:sz w:val="21"/>
          <w:szCs w:val="21"/>
          <w:lang w:val="zh-CN"/>
        </w:rPr>
        <w:t>2010</w:t>
      </w:r>
      <w:r>
        <w:rPr>
          <w:rFonts w:hint="eastAsia" w:ascii="宋体" w:hAnsi="宋体" w:cs="宋体"/>
          <w:kern w:val="0"/>
          <w:sz w:val="21"/>
          <w:szCs w:val="21"/>
          <w:lang w:val="zh-CN"/>
        </w:rPr>
        <w:t>年</w:t>
      </w:r>
      <w:r>
        <w:rPr>
          <w:rFonts w:ascii="宋体" w:hAnsi="宋体" w:cs="宋体"/>
          <w:kern w:val="0"/>
          <w:sz w:val="21"/>
          <w:szCs w:val="21"/>
          <w:lang w:val="zh-CN"/>
        </w:rPr>
        <w:t>3</w:t>
      </w:r>
      <w:r>
        <w:rPr>
          <w:rFonts w:hint="eastAsia" w:ascii="宋体" w:hAnsi="宋体" w:cs="宋体"/>
          <w:kern w:val="0"/>
          <w:sz w:val="21"/>
          <w:szCs w:val="21"/>
          <w:lang w:val="zh-CN"/>
        </w:rPr>
        <w:t>月</w:t>
      </w:r>
      <w:r>
        <w:rPr>
          <w:rFonts w:ascii="宋体" w:hAnsi="宋体" w:cs="宋体"/>
          <w:kern w:val="0"/>
          <w:sz w:val="21"/>
          <w:szCs w:val="21"/>
          <w:lang w:val="zh-CN"/>
        </w:rPr>
        <w:t>17</w:t>
      </w:r>
      <w:r>
        <w:rPr>
          <w:rFonts w:hint="eastAsia" w:ascii="宋体" w:hAnsi="宋体" w:cs="宋体"/>
          <w:kern w:val="0"/>
          <w:sz w:val="21"/>
          <w:szCs w:val="21"/>
          <w:lang w:val="zh-CN"/>
        </w:rPr>
        <w:t>日公开发行人民币普通股</w:t>
      </w:r>
      <w:r>
        <w:rPr>
          <w:rFonts w:ascii="宋体" w:hAnsi="宋体" w:cs="宋体"/>
          <w:kern w:val="0"/>
          <w:sz w:val="21"/>
          <w:szCs w:val="21"/>
          <w:lang w:val="zh-CN"/>
        </w:rPr>
        <w:t>1,385</w:t>
      </w:r>
      <w:r>
        <w:rPr>
          <w:rFonts w:hint="eastAsia" w:ascii="宋体" w:hAnsi="宋体" w:cs="宋体"/>
          <w:kern w:val="0"/>
          <w:sz w:val="21"/>
          <w:szCs w:val="21"/>
          <w:lang w:val="zh-CN"/>
        </w:rPr>
        <w:t>万股，并于</w:t>
      </w:r>
      <w:r>
        <w:rPr>
          <w:rFonts w:ascii="宋体" w:hAnsi="宋体" w:cs="宋体"/>
          <w:kern w:val="0"/>
          <w:sz w:val="21"/>
          <w:szCs w:val="21"/>
          <w:lang w:val="zh-CN"/>
        </w:rPr>
        <w:t>2010</w:t>
      </w:r>
      <w:r>
        <w:rPr>
          <w:rFonts w:hint="eastAsia" w:ascii="宋体" w:hAnsi="宋体" w:cs="宋体"/>
          <w:kern w:val="0"/>
          <w:sz w:val="21"/>
          <w:szCs w:val="21"/>
          <w:lang w:val="zh-CN"/>
        </w:rPr>
        <w:t>年</w:t>
      </w:r>
      <w:r>
        <w:rPr>
          <w:rFonts w:ascii="宋体" w:hAnsi="宋体" w:cs="宋体"/>
          <w:kern w:val="0"/>
          <w:sz w:val="21"/>
          <w:szCs w:val="21"/>
          <w:lang w:val="zh-CN"/>
        </w:rPr>
        <w:t>3</w:t>
      </w:r>
      <w:r>
        <w:rPr>
          <w:rFonts w:hint="eastAsia" w:ascii="宋体" w:hAnsi="宋体" w:cs="宋体"/>
          <w:kern w:val="0"/>
          <w:sz w:val="21"/>
          <w:szCs w:val="21"/>
          <w:lang w:val="zh-CN"/>
        </w:rPr>
        <w:t>月</w:t>
      </w:r>
      <w:r>
        <w:rPr>
          <w:rFonts w:ascii="宋体" w:hAnsi="宋体" w:cs="宋体"/>
          <w:kern w:val="0"/>
          <w:sz w:val="21"/>
          <w:szCs w:val="21"/>
          <w:lang w:val="zh-CN"/>
        </w:rPr>
        <w:t>26</w:t>
      </w:r>
      <w:r>
        <w:rPr>
          <w:rFonts w:hint="eastAsia" w:ascii="宋体" w:hAnsi="宋体" w:cs="宋体"/>
          <w:kern w:val="0"/>
          <w:sz w:val="21"/>
          <w:szCs w:val="21"/>
          <w:lang w:val="zh-CN"/>
        </w:rPr>
        <w:t>日在深圳证券交易所创业板上市交易，共募集资金净额</w:t>
      </w:r>
      <w:r>
        <w:rPr>
          <w:rFonts w:ascii="宋体" w:hAnsi="宋体" w:cs="宋体"/>
          <w:kern w:val="0"/>
          <w:sz w:val="21"/>
          <w:szCs w:val="21"/>
          <w:lang w:val="zh-CN"/>
        </w:rPr>
        <w:t>42,231.78</w:t>
      </w:r>
      <w:r>
        <w:rPr>
          <w:rFonts w:hint="eastAsia" w:ascii="宋体" w:hAnsi="宋体" w:cs="宋体"/>
          <w:kern w:val="0"/>
          <w:sz w:val="21"/>
          <w:szCs w:val="21"/>
          <w:lang w:val="zh-CN"/>
        </w:rPr>
        <w:t>万元</w:t>
      </w:r>
      <w:r>
        <w:rPr>
          <w:rFonts w:ascii="宋体" w:hAnsi="宋体" w:cs="宋体"/>
          <w:kern w:val="0"/>
          <w:sz w:val="21"/>
          <w:szCs w:val="21"/>
          <w:lang w:val="zh-CN"/>
        </w:rPr>
        <w:t>(</w:t>
      </w:r>
      <w:r>
        <w:rPr>
          <w:rFonts w:hint="eastAsia" w:ascii="宋体" w:hAnsi="宋体" w:cs="宋体"/>
          <w:kern w:val="0"/>
          <w:sz w:val="21"/>
          <w:szCs w:val="21"/>
          <w:lang w:val="zh-CN"/>
        </w:rPr>
        <w:t>其中股本</w:t>
      </w:r>
      <w:r>
        <w:rPr>
          <w:rFonts w:ascii="宋体" w:hAnsi="宋体" w:cs="宋体"/>
          <w:kern w:val="0"/>
          <w:sz w:val="21"/>
          <w:szCs w:val="21"/>
          <w:lang w:val="zh-CN"/>
        </w:rPr>
        <w:t>1,385</w:t>
      </w:r>
      <w:r>
        <w:rPr>
          <w:rFonts w:hint="eastAsia" w:ascii="宋体" w:hAnsi="宋体" w:cs="宋体"/>
          <w:kern w:val="0"/>
          <w:sz w:val="21"/>
          <w:szCs w:val="21"/>
          <w:lang w:val="zh-CN"/>
        </w:rPr>
        <w:t>万元，资本公积</w:t>
      </w:r>
      <w:r>
        <w:rPr>
          <w:rFonts w:ascii="宋体" w:hAnsi="宋体" w:cs="宋体"/>
          <w:kern w:val="0"/>
          <w:sz w:val="21"/>
          <w:szCs w:val="21"/>
          <w:lang w:val="zh-CN"/>
        </w:rPr>
        <w:t>40,846.78</w:t>
      </w:r>
      <w:r>
        <w:rPr>
          <w:rFonts w:hint="eastAsia" w:ascii="宋体" w:hAnsi="宋体" w:cs="宋体"/>
          <w:kern w:val="0"/>
          <w:sz w:val="21"/>
          <w:szCs w:val="21"/>
          <w:lang w:val="zh-CN"/>
        </w:rPr>
        <w:t>万元</w:t>
      </w:r>
      <w:r>
        <w:rPr>
          <w:rFonts w:ascii="宋体" w:hAnsi="宋体" w:cs="宋体"/>
          <w:kern w:val="0"/>
          <w:sz w:val="21"/>
          <w:szCs w:val="21"/>
          <w:lang w:val="zh-CN"/>
        </w:rPr>
        <w:t>),</w:t>
      </w:r>
      <w:r>
        <w:rPr>
          <w:rFonts w:hint="eastAsia" w:ascii="宋体" w:hAnsi="宋体" w:cs="宋体"/>
          <w:kern w:val="0"/>
          <w:sz w:val="21"/>
          <w:szCs w:val="21"/>
          <w:lang w:val="zh-CN"/>
        </w:rPr>
        <w:t>上述募集资金业经中瑞岳华会计师事务所有限公司中瑞岳华验字</w:t>
      </w:r>
      <w:r>
        <w:rPr>
          <w:rFonts w:ascii="宋体" w:hAnsi="宋体" w:cs="宋体"/>
          <w:kern w:val="0"/>
          <w:sz w:val="21"/>
          <w:szCs w:val="21"/>
          <w:lang w:val="zh-CN"/>
        </w:rPr>
        <w:t>[2010]</w:t>
      </w:r>
      <w:r>
        <w:rPr>
          <w:rFonts w:hint="eastAsia" w:ascii="宋体" w:hAnsi="宋体" w:cs="宋体"/>
          <w:kern w:val="0"/>
          <w:sz w:val="21"/>
          <w:szCs w:val="21"/>
          <w:lang w:val="zh-CN"/>
        </w:rPr>
        <w:t>第</w:t>
      </w:r>
      <w:r>
        <w:rPr>
          <w:rFonts w:ascii="宋体" w:hAnsi="宋体" w:cs="宋体"/>
          <w:kern w:val="0"/>
          <w:sz w:val="21"/>
          <w:szCs w:val="21"/>
          <w:lang w:val="zh-CN"/>
        </w:rPr>
        <w:t>061</w:t>
      </w:r>
      <w:r>
        <w:rPr>
          <w:rFonts w:hint="eastAsia" w:ascii="宋体" w:hAnsi="宋体" w:cs="宋体"/>
          <w:kern w:val="0"/>
          <w:sz w:val="21"/>
          <w:szCs w:val="21"/>
          <w:lang w:val="zh-CN"/>
        </w:rPr>
        <w:t>号验资报告审验。根据财政部《关于执行企业会计准则的上市公司和非上市企业做好</w:t>
      </w:r>
      <w:r>
        <w:rPr>
          <w:rFonts w:ascii="宋体" w:hAnsi="宋体" w:cs="宋体"/>
          <w:kern w:val="0"/>
          <w:sz w:val="21"/>
          <w:szCs w:val="21"/>
          <w:lang w:val="zh-CN"/>
        </w:rPr>
        <w:t>2010</w:t>
      </w:r>
      <w:r>
        <w:rPr>
          <w:rFonts w:hint="eastAsia" w:ascii="宋体" w:hAnsi="宋体" w:cs="宋体"/>
          <w:kern w:val="0"/>
          <w:sz w:val="21"/>
          <w:szCs w:val="21"/>
          <w:lang w:val="zh-CN"/>
        </w:rPr>
        <w:t>年年报工作的通知》</w:t>
      </w:r>
      <w:r>
        <w:rPr>
          <w:rFonts w:ascii="宋体" w:hAnsi="宋体" w:cs="宋体"/>
          <w:kern w:val="0"/>
          <w:sz w:val="21"/>
          <w:szCs w:val="21"/>
          <w:lang w:val="zh-CN"/>
        </w:rPr>
        <w:t>(</w:t>
      </w:r>
      <w:r>
        <w:rPr>
          <w:rFonts w:hint="eastAsia" w:ascii="宋体" w:hAnsi="宋体" w:cs="宋体"/>
          <w:kern w:val="0"/>
          <w:sz w:val="21"/>
          <w:szCs w:val="21"/>
          <w:lang w:val="zh-CN"/>
        </w:rPr>
        <w:t>财会</w:t>
      </w:r>
      <w:r>
        <w:rPr>
          <w:rFonts w:ascii="宋体" w:hAnsi="宋体" w:cs="宋体"/>
          <w:kern w:val="0"/>
          <w:sz w:val="21"/>
          <w:szCs w:val="21"/>
          <w:lang w:val="zh-CN"/>
        </w:rPr>
        <w:t>[2010]25</w:t>
      </w:r>
      <w:r>
        <w:rPr>
          <w:rFonts w:hint="eastAsia" w:ascii="宋体" w:hAnsi="宋体" w:cs="宋体"/>
          <w:kern w:val="0"/>
          <w:sz w:val="21"/>
          <w:szCs w:val="21"/>
          <w:lang w:val="zh-CN"/>
        </w:rPr>
        <w:t>号</w:t>
      </w:r>
      <w:r>
        <w:rPr>
          <w:rFonts w:ascii="宋体" w:hAnsi="宋体" w:cs="宋体"/>
          <w:kern w:val="0"/>
          <w:sz w:val="21"/>
          <w:szCs w:val="21"/>
          <w:lang w:val="zh-CN"/>
        </w:rPr>
        <w:t>)</w:t>
      </w:r>
      <w:r>
        <w:rPr>
          <w:rFonts w:hint="eastAsia" w:ascii="宋体" w:hAnsi="宋体" w:cs="宋体"/>
          <w:kern w:val="0"/>
          <w:sz w:val="21"/>
          <w:szCs w:val="21"/>
          <w:lang w:val="zh-CN"/>
        </w:rPr>
        <w:t>的规定，本公司对发行费用进行了重新确认，应将广告费、路演费、上市酒会费等费用共计</w:t>
      </w:r>
      <w:r>
        <w:rPr>
          <w:rFonts w:ascii="宋体" w:hAnsi="宋体" w:cs="宋体"/>
          <w:kern w:val="0"/>
          <w:sz w:val="21"/>
          <w:szCs w:val="21"/>
          <w:lang w:val="zh-CN"/>
        </w:rPr>
        <w:t>342.44</w:t>
      </w:r>
      <w:r>
        <w:rPr>
          <w:rFonts w:hint="eastAsia" w:ascii="宋体" w:hAnsi="宋体" w:cs="宋体"/>
          <w:kern w:val="0"/>
          <w:sz w:val="21"/>
          <w:szCs w:val="21"/>
          <w:lang w:val="zh-CN"/>
        </w:rPr>
        <w:t>万元转入募集资金专户，最终确认的发行费用金额为人民币</w:t>
      </w:r>
      <w:r>
        <w:rPr>
          <w:rFonts w:ascii="宋体" w:hAnsi="宋体" w:cs="宋体"/>
          <w:kern w:val="0"/>
          <w:sz w:val="21"/>
          <w:szCs w:val="21"/>
          <w:lang w:val="zh-CN"/>
        </w:rPr>
        <w:t xml:space="preserve"> 2,853.78</w:t>
      </w:r>
      <w:r>
        <w:rPr>
          <w:rFonts w:hint="eastAsia" w:ascii="宋体" w:hAnsi="宋体" w:cs="宋体"/>
          <w:kern w:val="0"/>
          <w:sz w:val="21"/>
          <w:szCs w:val="21"/>
          <w:lang w:val="zh-CN"/>
        </w:rPr>
        <w:t>万元，最终确定的募集资金净额为人民币</w:t>
      </w:r>
      <w:r>
        <w:rPr>
          <w:rFonts w:ascii="宋体" w:hAnsi="宋体" w:cs="宋体"/>
          <w:kern w:val="0"/>
          <w:sz w:val="21"/>
          <w:szCs w:val="21"/>
          <w:lang w:val="zh-CN"/>
        </w:rPr>
        <w:t>42,574.22</w:t>
      </w:r>
      <w:r>
        <w:rPr>
          <w:rFonts w:hint="eastAsia" w:ascii="宋体" w:hAnsi="宋体" w:cs="宋体"/>
          <w:kern w:val="0"/>
          <w:sz w:val="21"/>
          <w:szCs w:val="21"/>
          <w:lang w:val="zh-CN"/>
        </w:rPr>
        <w:t>万元，确定增加的资本公积为人民币</w:t>
      </w:r>
      <w:r>
        <w:rPr>
          <w:rFonts w:ascii="宋体" w:hAnsi="宋体" w:cs="宋体"/>
          <w:kern w:val="0"/>
          <w:sz w:val="21"/>
          <w:szCs w:val="21"/>
          <w:lang w:val="zh-CN"/>
        </w:rPr>
        <w:t>41,189.22</w:t>
      </w:r>
      <w:r>
        <w:rPr>
          <w:rFonts w:hint="eastAsia" w:ascii="宋体" w:hAnsi="宋体" w:cs="宋体"/>
          <w:kern w:val="0"/>
          <w:sz w:val="21"/>
          <w:szCs w:val="21"/>
          <w:lang w:val="zh-CN"/>
        </w:rPr>
        <w:t>万元。</w:t>
      </w:r>
    </w:p>
    <w:p>
      <w:pPr>
        <w:autoSpaceDE w:val="0"/>
        <w:autoSpaceDN w:val="0"/>
        <w:adjustRightInd w:val="0"/>
        <w:spacing w:before="240" w:after="0" w:line="360" w:lineRule="auto"/>
        <w:ind w:firstLine="420" w:firstLineChars="200"/>
        <w:rPr>
          <w:rFonts w:ascii="宋体" w:hAnsi="宋体" w:cs="宋体"/>
          <w:kern w:val="0"/>
          <w:sz w:val="21"/>
          <w:szCs w:val="21"/>
          <w:lang w:val="zh-CN"/>
        </w:rPr>
      </w:pPr>
      <w:r>
        <w:rPr>
          <w:rFonts w:ascii="宋体" w:hAnsi="宋体" w:cs="宋体"/>
          <w:kern w:val="0"/>
          <w:sz w:val="21"/>
          <w:szCs w:val="21"/>
          <w:lang w:val="zh-CN"/>
        </w:rPr>
        <w:t>2012</w:t>
      </w:r>
      <w:r>
        <w:rPr>
          <w:rFonts w:hint="eastAsia" w:ascii="宋体" w:hAnsi="宋体" w:cs="宋体"/>
          <w:kern w:val="0"/>
          <w:sz w:val="21"/>
          <w:szCs w:val="21"/>
          <w:lang w:val="zh-CN"/>
        </w:rPr>
        <w:t>年</w:t>
      </w:r>
      <w:r>
        <w:rPr>
          <w:rFonts w:ascii="宋体" w:hAnsi="宋体" w:cs="宋体"/>
          <w:kern w:val="0"/>
          <w:sz w:val="21"/>
          <w:szCs w:val="21"/>
          <w:lang w:val="zh-CN"/>
        </w:rPr>
        <w:t>5</w:t>
      </w:r>
      <w:r>
        <w:rPr>
          <w:rFonts w:hint="eastAsia" w:ascii="宋体" w:hAnsi="宋体" w:cs="宋体"/>
          <w:kern w:val="0"/>
          <w:sz w:val="21"/>
          <w:szCs w:val="21"/>
          <w:lang w:val="zh-CN"/>
        </w:rPr>
        <w:t>月，公司</w:t>
      </w:r>
      <w:r>
        <w:rPr>
          <w:rFonts w:ascii="宋体" w:hAnsi="宋体" w:cs="宋体"/>
          <w:kern w:val="0"/>
          <w:sz w:val="21"/>
          <w:szCs w:val="21"/>
          <w:lang w:val="zh-CN"/>
        </w:rPr>
        <w:t>2011</w:t>
      </w:r>
      <w:r>
        <w:rPr>
          <w:rFonts w:hint="eastAsia" w:ascii="宋体" w:hAnsi="宋体" w:cs="宋体"/>
          <w:kern w:val="0"/>
          <w:sz w:val="21"/>
          <w:szCs w:val="21"/>
          <w:lang w:val="zh-CN"/>
        </w:rPr>
        <w:t>年度股东大会决议通过</w:t>
      </w:r>
      <w:r>
        <w:rPr>
          <w:rFonts w:ascii="宋体" w:hAnsi="宋体" w:cs="宋体"/>
          <w:kern w:val="0"/>
          <w:sz w:val="21"/>
          <w:szCs w:val="21"/>
          <w:lang w:val="zh-CN"/>
        </w:rPr>
        <w:t>2011</w:t>
      </w:r>
      <w:r>
        <w:rPr>
          <w:rFonts w:hint="eastAsia" w:ascii="宋体" w:hAnsi="宋体" w:cs="宋体"/>
          <w:kern w:val="0"/>
          <w:sz w:val="21"/>
          <w:szCs w:val="21"/>
          <w:lang w:val="zh-CN"/>
        </w:rPr>
        <w:t>年度利润分配预案，以</w:t>
      </w:r>
      <w:r>
        <w:rPr>
          <w:rFonts w:ascii="宋体" w:hAnsi="宋体" w:cs="宋体"/>
          <w:kern w:val="0"/>
          <w:sz w:val="21"/>
          <w:szCs w:val="21"/>
          <w:lang w:val="zh-CN"/>
        </w:rPr>
        <w:t>2011</w:t>
      </w:r>
      <w:r>
        <w:rPr>
          <w:rFonts w:hint="eastAsia" w:ascii="宋体" w:hAnsi="宋体" w:cs="宋体"/>
          <w:kern w:val="0"/>
          <w:sz w:val="21"/>
          <w:szCs w:val="21"/>
          <w:lang w:val="zh-CN"/>
        </w:rPr>
        <w:t>年</w:t>
      </w:r>
      <w:r>
        <w:rPr>
          <w:rFonts w:ascii="宋体" w:hAnsi="宋体" w:cs="宋体"/>
          <w:kern w:val="0"/>
          <w:sz w:val="21"/>
          <w:szCs w:val="21"/>
          <w:lang w:val="zh-CN"/>
        </w:rPr>
        <w:t>12</w:t>
      </w:r>
      <w:r>
        <w:rPr>
          <w:rFonts w:hint="eastAsia" w:ascii="宋体" w:hAnsi="宋体" w:cs="宋体"/>
          <w:kern w:val="0"/>
          <w:sz w:val="21"/>
          <w:szCs w:val="21"/>
          <w:lang w:val="zh-CN"/>
        </w:rPr>
        <w:t>月</w:t>
      </w:r>
      <w:r>
        <w:rPr>
          <w:rFonts w:ascii="宋体" w:hAnsi="宋体" w:cs="宋体"/>
          <w:kern w:val="0"/>
          <w:sz w:val="21"/>
          <w:szCs w:val="21"/>
          <w:lang w:val="zh-CN"/>
        </w:rPr>
        <w:t>31</w:t>
      </w:r>
      <w:r>
        <w:rPr>
          <w:rFonts w:hint="eastAsia" w:ascii="宋体" w:hAnsi="宋体" w:cs="宋体"/>
          <w:kern w:val="0"/>
          <w:sz w:val="21"/>
          <w:szCs w:val="21"/>
          <w:lang w:val="zh-CN"/>
        </w:rPr>
        <w:t>日公司总股本</w:t>
      </w:r>
      <w:r>
        <w:rPr>
          <w:rFonts w:ascii="宋体" w:hAnsi="宋体" w:cs="宋体"/>
          <w:kern w:val="0"/>
          <w:sz w:val="21"/>
          <w:szCs w:val="21"/>
          <w:lang w:val="zh-CN"/>
        </w:rPr>
        <w:t>55,396,300</w:t>
      </w:r>
      <w:r>
        <w:rPr>
          <w:rFonts w:hint="eastAsia" w:ascii="宋体" w:hAnsi="宋体" w:cs="宋体"/>
          <w:kern w:val="0"/>
          <w:sz w:val="21"/>
          <w:szCs w:val="21"/>
          <w:lang w:val="zh-CN"/>
        </w:rPr>
        <w:t>股为基数，以资本公积金向全体股东每</w:t>
      </w:r>
      <w:r>
        <w:rPr>
          <w:rFonts w:ascii="宋体" w:hAnsi="宋体" w:cs="宋体"/>
          <w:kern w:val="0"/>
          <w:sz w:val="21"/>
          <w:szCs w:val="21"/>
          <w:lang w:val="zh-CN"/>
        </w:rPr>
        <w:t>10</w:t>
      </w:r>
      <w:r>
        <w:rPr>
          <w:rFonts w:hint="eastAsia" w:ascii="宋体" w:hAnsi="宋体" w:cs="宋体"/>
          <w:kern w:val="0"/>
          <w:sz w:val="21"/>
          <w:szCs w:val="21"/>
          <w:lang w:val="zh-CN"/>
        </w:rPr>
        <w:t>股转增</w:t>
      </w:r>
      <w:r>
        <w:rPr>
          <w:rFonts w:ascii="宋体" w:hAnsi="宋体" w:cs="宋体"/>
          <w:kern w:val="0"/>
          <w:sz w:val="21"/>
          <w:szCs w:val="21"/>
          <w:lang w:val="zh-CN"/>
        </w:rPr>
        <w:t>9</w:t>
      </w:r>
      <w:r>
        <w:rPr>
          <w:rFonts w:hint="eastAsia" w:ascii="宋体" w:hAnsi="宋体" w:cs="宋体"/>
          <w:kern w:val="0"/>
          <w:sz w:val="21"/>
          <w:szCs w:val="21"/>
          <w:lang w:val="zh-CN"/>
        </w:rPr>
        <w:t>股，共计</w:t>
      </w:r>
      <w:r>
        <w:rPr>
          <w:rFonts w:ascii="宋体" w:hAnsi="宋体" w:cs="宋体"/>
          <w:kern w:val="0"/>
          <w:sz w:val="21"/>
          <w:szCs w:val="21"/>
          <w:lang w:val="zh-CN"/>
        </w:rPr>
        <w:t>49,856,670</w:t>
      </w:r>
      <w:r>
        <w:rPr>
          <w:rFonts w:hint="eastAsia" w:ascii="宋体" w:hAnsi="宋体" w:cs="宋体"/>
          <w:kern w:val="0"/>
          <w:sz w:val="21"/>
          <w:szCs w:val="21"/>
          <w:lang w:val="zh-CN"/>
        </w:rPr>
        <w:t>股。分红后总股本增至</w:t>
      </w:r>
      <w:r>
        <w:rPr>
          <w:rFonts w:ascii="宋体" w:hAnsi="宋体" w:cs="宋体"/>
          <w:kern w:val="0"/>
          <w:sz w:val="21"/>
          <w:szCs w:val="21"/>
          <w:lang w:val="zh-CN"/>
        </w:rPr>
        <w:t>105,252,970</w:t>
      </w:r>
      <w:r>
        <w:rPr>
          <w:rFonts w:hint="eastAsia" w:ascii="宋体" w:hAnsi="宋体" w:cs="宋体"/>
          <w:kern w:val="0"/>
          <w:sz w:val="21"/>
          <w:szCs w:val="21"/>
          <w:lang w:val="zh-CN"/>
        </w:rPr>
        <w:t>股。</w:t>
      </w:r>
    </w:p>
    <w:p>
      <w:pPr>
        <w:autoSpaceDE w:val="0"/>
        <w:autoSpaceDN w:val="0"/>
        <w:adjustRightInd w:val="0"/>
        <w:spacing w:before="240" w:after="0" w:line="360" w:lineRule="auto"/>
        <w:ind w:firstLine="420" w:firstLineChars="200"/>
        <w:rPr>
          <w:rFonts w:ascii="宋体" w:hAnsi="宋体" w:cs="宋体"/>
          <w:kern w:val="0"/>
          <w:sz w:val="21"/>
          <w:szCs w:val="21"/>
          <w:lang w:val="zh-CN"/>
        </w:rPr>
      </w:pPr>
      <w:r>
        <w:rPr>
          <w:rFonts w:ascii="宋体" w:hAnsi="宋体" w:cs="宋体"/>
          <w:kern w:val="0"/>
          <w:sz w:val="21"/>
          <w:szCs w:val="21"/>
          <w:lang w:val="zh-CN"/>
        </w:rPr>
        <w:t>2014</w:t>
      </w:r>
      <w:r>
        <w:rPr>
          <w:rFonts w:hint="eastAsia" w:ascii="宋体" w:hAnsi="宋体" w:cs="宋体"/>
          <w:kern w:val="0"/>
          <w:sz w:val="21"/>
          <w:szCs w:val="21"/>
          <w:lang w:val="zh-CN"/>
        </w:rPr>
        <w:t>年</w:t>
      </w:r>
      <w:r>
        <w:rPr>
          <w:rFonts w:ascii="宋体" w:hAnsi="宋体" w:cs="宋体"/>
          <w:kern w:val="0"/>
          <w:sz w:val="21"/>
          <w:szCs w:val="21"/>
          <w:lang w:val="zh-CN"/>
        </w:rPr>
        <w:t>5</w:t>
      </w:r>
      <w:r>
        <w:rPr>
          <w:rFonts w:hint="eastAsia" w:ascii="宋体" w:hAnsi="宋体" w:cs="宋体"/>
          <w:kern w:val="0"/>
          <w:sz w:val="21"/>
          <w:szCs w:val="21"/>
          <w:lang w:val="zh-CN"/>
        </w:rPr>
        <w:t>月，本公司</w:t>
      </w:r>
      <w:r>
        <w:rPr>
          <w:rFonts w:ascii="宋体" w:hAnsi="宋体" w:cs="宋体"/>
          <w:kern w:val="0"/>
          <w:sz w:val="21"/>
          <w:szCs w:val="21"/>
          <w:lang w:val="zh-CN"/>
        </w:rPr>
        <w:t>2013</w:t>
      </w:r>
      <w:r>
        <w:rPr>
          <w:rFonts w:hint="eastAsia" w:ascii="宋体" w:hAnsi="宋体" w:cs="宋体"/>
          <w:kern w:val="0"/>
          <w:sz w:val="21"/>
          <w:szCs w:val="21"/>
          <w:lang w:val="zh-CN"/>
        </w:rPr>
        <w:t>年度股东大会审议通过</w:t>
      </w:r>
      <w:r>
        <w:rPr>
          <w:rFonts w:ascii="宋体" w:hAnsi="宋体" w:cs="宋体"/>
          <w:kern w:val="0"/>
          <w:sz w:val="21"/>
          <w:szCs w:val="21"/>
          <w:lang w:val="zh-CN"/>
        </w:rPr>
        <w:t>2013</w:t>
      </w:r>
      <w:r>
        <w:rPr>
          <w:rFonts w:hint="eastAsia" w:ascii="宋体" w:hAnsi="宋体" w:cs="宋体"/>
          <w:kern w:val="0"/>
          <w:sz w:val="21"/>
          <w:szCs w:val="21"/>
          <w:lang w:val="zh-CN"/>
        </w:rPr>
        <w:t>年度权益分派方案，本公司以资本公积金转增股本，向全体股东每</w:t>
      </w:r>
      <w:r>
        <w:rPr>
          <w:rFonts w:ascii="宋体" w:hAnsi="宋体" w:cs="宋体"/>
          <w:kern w:val="0"/>
          <w:sz w:val="21"/>
          <w:szCs w:val="21"/>
          <w:lang w:val="zh-CN"/>
        </w:rPr>
        <w:t>10</w:t>
      </w:r>
      <w:r>
        <w:rPr>
          <w:rFonts w:hint="eastAsia" w:ascii="宋体" w:hAnsi="宋体" w:cs="宋体"/>
          <w:kern w:val="0"/>
          <w:sz w:val="21"/>
          <w:szCs w:val="21"/>
          <w:lang w:val="zh-CN"/>
        </w:rPr>
        <w:t>股增派</w:t>
      </w:r>
      <w:r>
        <w:rPr>
          <w:rFonts w:ascii="宋体" w:hAnsi="宋体" w:cs="宋体"/>
          <w:kern w:val="0"/>
          <w:sz w:val="21"/>
          <w:szCs w:val="21"/>
          <w:lang w:val="zh-CN"/>
        </w:rPr>
        <w:t>10</w:t>
      </w:r>
      <w:r>
        <w:rPr>
          <w:rFonts w:hint="eastAsia" w:ascii="宋体" w:hAnsi="宋体" w:cs="宋体"/>
          <w:kern w:val="0"/>
          <w:sz w:val="21"/>
          <w:szCs w:val="21"/>
          <w:lang w:val="zh-CN"/>
        </w:rPr>
        <w:t>股，共计转增股本</w:t>
      </w:r>
      <w:r>
        <w:rPr>
          <w:rFonts w:ascii="宋体" w:hAnsi="宋体" w:cs="宋体"/>
          <w:kern w:val="0"/>
          <w:sz w:val="21"/>
          <w:szCs w:val="21"/>
          <w:lang w:val="zh-CN"/>
        </w:rPr>
        <w:t>105,252,970</w:t>
      </w:r>
      <w:r>
        <w:rPr>
          <w:rFonts w:hint="eastAsia" w:ascii="宋体" w:hAnsi="宋体" w:cs="宋体"/>
          <w:kern w:val="0"/>
          <w:sz w:val="21"/>
          <w:szCs w:val="21"/>
          <w:lang w:val="zh-CN"/>
        </w:rPr>
        <w:t>股。转增后，本公司总股本为</w:t>
      </w:r>
      <w:r>
        <w:rPr>
          <w:rFonts w:ascii="宋体" w:hAnsi="宋体" w:cs="宋体"/>
          <w:kern w:val="0"/>
          <w:sz w:val="21"/>
          <w:szCs w:val="21"/>
          <w:lang w:val="zh-CN"/>
        </w:rPr>
        <w:t>210,505,940</w:t>
      </w:r>
      <w:r>
        <w:rPr>
          <w:rFonts w:hint="eastAsia" w:ascii="宋体" w:hAnsi="宋体" w:cs="宋体"/>
          <w:kern w:val="0"/>
          <w:sz w:val="21"/>
          <w:szCs w:val="21"/>
          <w:lang w:val="zh-CN"/>
        </w:rPr>
        <w:t>股。</w:t>
      </w:r>
    </w:p>
    <w:p>
      <w:pPr>
        <w:autoSpaceDE w:val="0"/>
        <w:autoSpaceDN w:val="0"/>
        <w:adjustRightInd w:val="0"/>
        <w:spacing w:before="240" w:after="0" w:line="360" w:lineRule="auto"/>
        <w:ind w:firstLine="420" w:firstLineChars="200"/>
        <w:rPr>
          <w:rFonts w:ascii="宋体" w:hAnsi="宋体" w:cs="宋体"/>
          <w:kern w:val="0"/>
          <w:sz w:val="21"/>
          <w:szCs w:val="21"/>
          <w:lang w:val="zh-CN"/>
        </w:rPr>
      </w:pPr>
      <w:r>
        <w:rPr>
          <w:rFonts w:ascii="宋体" w:hAnsi="宋体" w:cs="宋体"/>
          <w:kern w:val="0"/>
          <w:sz w:val="21"/>
          <w:szCs w:val="21"/>
          <w:lang w:val="zh-CN"/>
        </w:rPr>
        <w:t>2015</w:t>
      </w:r>
      <w:r>
        <w:rPr>
          <w:rFonts w:hint="eastAsia" w:ascii="宋体" w:hAnsi="宋体" w:cs="宋体"/>
          <w:kern w:val="0"/>
          <w:sz w:val="21"/>
          <w:szCs w:val="21"/>
          <w:lang w:val="zh-CN"/>
        </w:rPr>
        <w:t>年</w:t>
      </w:r>
      <w:r>
        <w:rPr>
          <w:rFonts w:ascii="宋体" w:hAnsi="宋体" w:cs="宋体"/>
          <w:kern w:val="0"/>
          <w:sz w:val="21"/>
          <w:szCs w:val="21"/>
          <w:lang w:val="zh-CN"/>
        </w:rPr>
        <w:t>12</w:t>
      </w:r>
      <w:r>
        <w:rPr>
          <w:rFonts w:hint="eastAsia" w:ascii="宋体" w:hAnsi="宋体" w:cs="宋体"/>
          <w:kern w:val="0"/>
          <w:sz w:val="21"/>
          <w:szCs w:val="21"/>
          <w:lang w:val="zh-CN"/>
        </w:rPr>
        <w:t>月</w:t>
      </w:r>
      <w:r>
        <w:rPr>
          <w:rFonts w:ascii="宋体" w:hAnsi="宋体" w:cs="宋体"/>
          <w:kern w:val="0"/>
          <w:sz w:val="21"/>
          <w:szCs w:val="21"/>
          <w:lang w:val="zh-CN"/>
        </w:rPr>
        <w:t>25</w:t>
      </w:r>
      <w:r>
        <w:rPr>
          <w:rFonts w:hint="eastAsia" w:ascii="宋体" w:hAnsi="宋体" w:cs="宋体"/>
          <w:kern w:val="0"/>
          <w:sz w:val="21"/>
          <w:szCs w:val="21"/>
          <w:lang w:val="zh-CN"/>
        </w:rPr>
        <w:t>日，本公司取得了中国证监会《关于核准北京海兰信数据科技股份有限公司向申万秋等发行股份购买资产的批复》（证监许可【</w:t>
      </w:r>
      <w:r>
        <w:rPr>
          <w:rFonts w:ascii="宋体" w:hAnsi="宋体" w:cs="宋体"/>
          <w:kern w:val="0"/>
          <w:sz w:val="21"/>
          <w:szCs w:val="21"/>
          <w:lang w:val="zh-CN"/>
        </w:rPr>
        <w:t>2015</w:t>
      </w:r>
      <w:r>
        <w:rPr>
          <w:rFonts w:hint="eastAsia" w:ascii="宋体" w:hAnsi="宋体" w:cs="宋体"/>
          <w:kern w:val="0"/>
          <w:sz w:val="21"/>
          <w:szCs w:val="21"/>
          <w:lang w:val="zh-CN"/>
        </w:rPr>
        <w:t>】</w:t>
      </w:r>
      <w:r>
        <w:rPr>
          <w:rFonts w:ascii="宋体" w:hAnsi="宋体" w:cs="宋体"/>
          <w:kern w:val="0"/>
          <w:sz w:val="21"/>
          <w:szCs w:val="21"/>
          <w:lang w:val="zh-CN"/>
        </w:rPr>
        <w:t>3008</w:t>
      </w:r>
      <w:r>
        <w:rPr>
          <w:rFonts w:hint="eastAsia" w:ascii="宋体" w:hAnsi="宋体" w:cs="宋体"/>
          <w:kern w:val="0"/>
          <w:sz w:val="21"/>
          <w:szCs w:val="21"/>
          <w:lang w:val="zh-CN"/>
        </w:rPr>
        <w:t>号），核准公司分别向申万秋及上海言盛投资合伙企业（有限合伙）发行</w:t>
      </w:r>
      <w:r>
        <w:rPr>
          <w:rFonts w:ascii="宋体" w:hAnsi="宋体" w:cs="宋体"/>
          <w:kern w:val="0"/>
          <w:sz w:val="21"/>
          <w:szCs w:val="21"/>
          <w:lang w:val="zh-CN"/>
        </w:rPr>
        <w:t>11,292,621</w:t>
      </w:r>
      <w:r>
        <w:rPr>
          <w:rFonts w:hint="eastAsia" w:ascii="宋体" w:hAnsi="宋体" w:cs="宋体"/>
          <w:kern w:val="0"/>
          <w:sz w:val="21"/>
          <w:szCs w:val="21"/>
          <w:lang w:val="zh-CN"/>
        </w:rPr>
        <w:t>股及</w:t>
      </w:r>
      <w:r>
        <w:rPr>
          <w:rFonts w:ascii="宋体" w:hAnsi="宋体" w:cs="宋体"/>
          <w:kern w:val="0"/>
          <w:sz w:val="21"/>
          <w:szCs w:val="21"/>
          <w:lang w:val="zh-CN"/>
        </w:rPr>
        <w:t>19,762,087</w:t>
      </w:r>
      <w:r>
        <w:rPr>
          <w:rFonts w:hint="eastAsia" w:ascii="宋体" w:hAnsi="宋体" w:cs="宋体"/>
          <w:kern w:val="0"/>
          <w:sz w:val="21"/>
          <w:szCs w:val="21"/>
          <w:lang w:val="zh-CN"/>
        </w:rPr>
        <w:t>股股份购买相关资产。本次发行股份增加股本</w:t>
      </w:r>
      <w:r>
        <w:rPr>
          <w:rFonts w:ascii="宋体" w:hAnsi="宋体" w:cs="宋体"/>
          <w:kern w:val="0"/>
          <w:sz w:val="21"/>
          <w:szCs w:val="21"/>
          <w:lang w:val="zh-CN"/>
        </w:rPr>
        <w:t>31,054,708.00</w:t>
      </w:r>
      <w:r>
        <w:rPr>
          <w:rFonts w:hint="eastAsia" w:ascii="宋体" w:hAnsi="宋体" w:cs="宋体"/>
          <w:kern w:val="0"/>
          <w:sz w:val="21"/>
          <w:szCs w:val="21"/>
          <w:lang w:val="zh-CN"/>
        </w:rPr>
        <w:t>元，增加资本公积</w:t>
      </w:r>
      <w:r>
        <w:rPr>
          <w:rFonts w:ascii="宋体" w:hAnsi="宋体" w:cs="宋体"/>
          <w:kern w:val="0"/>
          <w:sz w:val="21"/>
          <w:szCs w:val="21"/>
          <w:lang w:val="zh-CN"/>
        </w:rPr>
        <w:t>513,913,216.52</w:t>
      </w:r>
      <w:r>
        <w:rPr>
          <w:rFonts w:hint="eastAsia" w:ascii="宋体" w:hAnsi="宋体" w:cs="宋体"/>
          <w:kern w:val="0"/>
          <w:sz w:val="21"/>
          <w:szCs w:val="21"/>
          <w:lang w:val="zh-CN"/>
        </w:rPr>
        <w:t>元，业经天职国际会计师事务所（特殊普通合伙）于</w:t>
      </w:r>
      <w:r>
        <w:rPr>
          <w:rFonts w:ascii="宋体" w:hAnsi="宋体" w:cs="宋体"/>
          <w:kern w:val="0"/>
          <w:sz w:val="21"/>
          <w:szCs w:val="21"/>
          <w:lang w:val="zh-CN"/>
        </w:rPr>
        <w:t>2015</w:t>
      </w:r>
      <w:r>
        <w:rPr>
          <w:rFonts w:hint="eastAsia" w:ascii="宋体" w:hAnsi="宋体" w:cs="宋体"/>
          <w:kern w:val="0"/>
          <w:sz w:val="21"/>
          <w:szCs w:val="21"/>
          <w:lang w:val="zh-CN"/>
        </w:rPr>
        <w:t>年</w:t>
      </w:r>
      <w:r>
        <w:rPr>
          <w:rFonts w:ascii="宋体" w:hAnsi="宋体" w:cs="宋体"/>
          <w:kern w:val="0"/>
          <w:sz w:val="21"/>
          <w:szCs w:val="21"/>
          <w:lang w:val="zh-CN"/>
        </w:rPr>
        <w:t>12</w:t>
      </w:r>
      <w:r>
        <w:rPr>
          <w:rFonts w:hint="eastAsia" w:ascii="宋体" w:hAnsi="宋体" w:cs="宋体"/>
          <w:kern w:val="0"/>
          <w:sz w:val="21"/>
          <w:szCs w:val="21"/>
          <w:lang w:val="zh-CN"/>
        </w:rPr>
        <w:t>月</w:t>
      </w:r>
      <w:r>
        <w:rPr>
          <w:rFonts w:ascii="宋体" w:hAnsi="宋体" w:cs="宋体"/>
          <w:kern w:val="0"/>
          <w:sz w:val="21"/>
          <w:szCs w:val="21"/>
          <w:lang w:val="zh-CN"/>
        </w:rPr>
        <w:t>28</w:t>
      </w:r>
      <w:r>
        <w:rPr>
          <w:rFonts w:hint="eastAsia" w:ascii="宋体" w:hAnsi="宋体" w:cs="宋体"/>
          <w:kern w:val="0"/>
          <w:sz w:val="21"/>
          <w:szCs w:val="21"/>
          <w:lang w:val="zh-CN"/>
        </w:rPr>
        <w:t>日出具的《北京海兰信数据科技股份有限公司验资报告》</w:t>
      </w:r>
      <w:r>
        <w:rPr>
          <w:rFonts w:ascii="宋体" w:hAnsi="宋体" w:cs="宋体"/>
          <w:kern w:val="0"/>
          <w:sz w:val="21"/>
          <w:szCs w:val="21"/>
          <w:lang w:val="zh-CN"/>
        </w:rPr>
        <w:t>(</w:t>
      </w:r>
      <w:r>
        <w:rPr>
          <w:rFonts w:hint="eastAsia" w:ascii="宋体" w:hAnsi="宋体" w:cs="宋体"/>
          <w:kern w:val="0"/>
          <w:sz w:val="21"/>
          <w:szCs w:val="21"/>
          <w:lang w:val="zh-CN"/>
        </w:rPr>
        <w:t>天职业字</w:t>
      </w:r>
      <w:r>
        <w:rPr>
          <w:rFonts w:ascii="宋体" w:hAnsi="宋体" w:cs="宋体"/>
          <w:kern w:val="0"/>
          <w:sz w:val="21"/>
          <w:szCs w:val="21"/>
          <w:lang w:val="zh-CN"/>
        </w:rPr>
        <w:t>[2015]15713</w:t>
      </w:r>
      <w:r>
        <w:rPr>
          <w:rFonts w:hint="eastAsia" w:ascii="宋体" w:hAnsi="宋体" w:cs="宋体"/>
          <w:kern w:val="0"/>
          <w:sz w:val="21"/>
          <w:szCs w:val="21"/>
          <w:lang w:val="zh-CN"/>
        </w:rPr>
        <w:t>号</w:t>
      </w:r>
      <w:r>
        <w:rPr>
          <w:rFonts w:ascii="宋体" w:hAnsi="宋体" w:cs="宋体"/>
          <w:kern w:val="0"/>
          <w:sz w:val="21"/>
          <w:szCs w:val="21"/>
          <w:lang w:val="zh-CN"/>
        </w:rPr>
        <w:t>)</w:t>
      </w:r>
      <w:r>
        <w:rPr>
          <w:rFonts w:hint="eastAsia" w:ascii="宋体" w:hAnsi="宋体" w:cs="宋体"/>
          <w:kern w:val="0"/>
          <w:sz w:val="21"/>
          <w:szCs w:val="21"/>
          <w:lang w:val="zh-CN"/>
        </w:rPr>
        <w:t>审验。截至</w:t>
      </w:r>
      <w:r>
        <w:rPr>
          <w:rFonts w:ascii="宋体" w:hAnsi="宋体" w:cs="宋体"/>
          <w:kern w:val="0"/>
          <w:sz w:val="21"/>
          <w:szCs w:val="21"/>
          <w:lang w:val="zh-CN"/>
        </w:rPr>
        <w:t>2015</w:t>
      </w:r>
      <w:r>
        <w:rPr>
          <w:rFonts w:hint="eastAsia" w:ascii="宋体" w:hAnsi="宋体" w:cs="宋体"/>
          <w:kern w:val="0"/>
          <w:sz w:val="21"/>
          <w:szCs w:val="21"/>
          <w:lang w:val="zh-CN"/>
        </w:rPr>
        <w:t>年</w:t>
      </w:r>
      <w:r>
        <w:rPr>
          <w:rFonts w:ascii="宋体" w:hAnsi="宋体" w:cs="宋体"/>
          <w:kern w:val="0"/>
          <w:sz w:val="21"/>
          <w:szCs w:val="21"/>
          <w:lang w:val="zh-CN"/>
        </w:rPr>
        <w:t>12</w:t>
      </w:r>
      <w:r>
        <w:rPr>
          <w:rFonts w:hint="eastAsia" w:ascii="宋体" w:hAnsi="宋体" w:cs="宋体"/>
          <w:kern w:val="0"/>
          <w:sz w:val="21"/>
          <w:szCs w:val="21"/>
          <w:lang w:val="zh-CN"/>
        </w:rPr>
        <w:t>月</w:t>
      </w:r>
      <w:r>
        <w:rPr>
          <w:rFonts w:ascii="宋体" w:hAnsi="宋体" w:cs="宋体"/>
          <w:kern w:val="0"/>
          <w:sz w:val="21"/>
          <w:szCs w:val="21"/>
          <w:lang w:val="zh-CN"/>
        </w:rPr>
        <w:t>31</w:t>
      </w:r>
      <w:r>
        <w:rPr>
          <w:rFonts w:hint="eastAsia" w:ascii="宋体" w:hAnsi="宋体" w:cs="宋体"/>
          <w:kern w:val="0"/>
          <w:sz w:val="21"/>
          <w:szCs w:val="21"/>
          <w:lang w:val="zh-CN"/>
        </w:rPr>
        <w:t>日，本公司总股数为</w:t>
      </w:r>
      <w:r>
        <w:rPr>
          <w:rFonts w:ascii="宋体" w:hAnsi="宋体" w:cs="宋体"/>
          <w:kern w:val="0"/>
          <w:sz w:val="21"/>
          <w:szCs w:val="21"/>
          <w:lang w:val="zh-CN"/>
        </w:rPr>
        <w:t>241,560,648</w:t>
      </w:r>
      <w:r>
        <w:rPr>
          <w:rFonts w:hint="eastAsia" w:ascii="宋体" w:hAnsi="宋体" w:cs="宋体"/>
          <w:kern w:val="0"/>
          <w:sz w:val="21"/>
          <w:szCs w:val="21"/>
          <w:lang w:val="zh-CN"/>
        </w:rPr>
        <w:t>股。</w:t>
      </w:r>
    </w:p>
    <w:p>
      <w:pPr>
        <w:autoSpaceDE w:val="0"/>
        <w:autoSpaceDN w:val="0"/>
        <w:adjustRightInd w:val="0"/>
        <w:spacing w:before="240" w:after="0" w:line="360" w:lineRule="auto"/>
        <w:ind w:firstLine="420" w:firstLineChars="200"/>
        <w:rPr>
          <w:rFonts w:ascii="宋体" w:hAnsi="宋体" w:cs="宋体"/>
          <w:kern w:val="0"/>
          <w:sz w:val="21"/>
          <w:szCs w:val="21"/>
          <w:lang w:val="zh-CN"/>
        </w:rPr>
      </w:pPr>
      <w:r>
        <w:rPr>
          <w:rFonts w:hint="eastAsia" w:ascii="宋体" w:hAnsi="宋体" w:cs="宋体"/>
          <w:kern w:val="0"/>
          <w:sz w:val="21"/>
          <w:szCs w:val="21"/>
          <w:lang w:val="zh-CN"/>
        </w:rPr>
        <w:t>本公司定位于智能航海和智慧海洋两大业务领域。公司的经营范围为：技术开发、转让、咨询、服务、培训；生产船舶电子集成系统；销售开发后的产品、通信设备、五金交电、船舶电子设备；经营本企业自产产品的出口业务和本企业所需的机械设备、零配件、原辅材料的进口业务，但国家限定公司经营或禁止进出口的商品及技术除外。（企业依法自主选择经营项目，开展经营活动；依法须经批准的项目，经相关部门批准后依批准的内容开展经营活动；不得从事本市产业政策禁止和限制类项目的经营活动）。</w:t>
      </w:r>
    </w:p>
    <w:p>
      <w:pPr>
        <w:autoSpaceDE w:val="0"/>
        <w:autoSpaceDN w:val="0"/>
        <w:adjustRightInd w:val="0"/>
        <w:spacing w:before="240" w:after="0" w:line="360" w:lineRule="auto"/>
        <w:ind w:firstLine="420" w:firstLineChars="200"/>
        <w:rPr>
          <w:rFonts w:ascii="宋体" w:hAnsi="宋体" w:cs="宋体"/>
          <w:kern w:val="0"/>
          <w:sz w:val="21"/>
          <w:szCs w:val="21"/>
          <w:lang w:val="zh-CN"/>
        </w:rPr>
      </w:pPr>
      <w:r>
        <w:rPr>
          <w:rFonts w:hint="eastAsia" w:ascii="宋体" w:hAnsi="宋体" w:cs="宋体"/>
          <w:kern w:val="0"/>
          <w:sz w:val="21"/>
          <w:szCs w:val="21"/>
          <w:lang w:val="zh-CN"/>
        </w:rPr>
        <w:t>股东大会是本公司的权力机构，依法行使公司经营方针、筹资、投资、利润分配等重大事项决议权。董事会对股东大会负责，依法行使公司的经营决策权；经理层负责组织实施股东大会、董事会决议事项，主持企业的生产经营管理工作。</w:t>
      </w:r>
    </w:p>
    <w:p>
      <w:pPr>
        <w:autoSpaceDE w:val="0"/>
        <w:autoSpaceDN w:val="0"/>
        <w:adjustRightInd w:val="0"/>
        <w:spacing w:before="240" w:after="0" w:line="360" w:lineRule="auto"/>
        <w:ind w:firstLine="420" w:firstLineChars="200"/>
        <w:rPr>
          <w:rFonts w:ascii="宋体" w:hAnsi="宋体" w:cs="宋体"/>
          <w:kern w:val="0"/>
          <w:sz w:val="21"/>
          <w:szCs w:val="21"/>
          <w:lang w:val="zh-CN"/>
        </w:rPr>
      </w:pPr>
      <w:r>
        <w:rPr>
          <w:rFonts w:hint="eastAsia" w:ascii="宋体" w:hAnsi="宋体" w:cs="宋体"/>
          <w:kern w:val="0"/>
          <w:sz w:val="21"/>
          <w:szCs w:val="21"/>
          <w:lang w:val="zh-CN"/>
        </w:rPr>
        <w:t>本集团合并财务报表范围详见本附注</w:t>
      </w:r>
      <w:r>
        <w:rPr>
          <w:rFonts w:ascii="宋体" w:hAnsi="宋体" w:cs="宋体"/>
          <w:kern w:val="0"/>
          <w:sz w:val="21"/>
          <w:szCs w:val="21"/>
          <w:lang w:val="zh-CN"/>
        </w:rPr>
        <w:t>“</w:t>
      </w:r>
      <w:r>
        <w:rPr>
          <w:rFonts w:hint="eastAsia" w:ascii="宋体" w:hAnsi="宋体" w:cs="宋体"/>
          <w:kern w:val="0"/>
          <w:sz w:val="21"/>
          <w:szCs w:val="21"/>
          <w:lang w:val="zh-CN"/>
        </w:rPr>
        <w:t>九、在其他主体中的权益</w:t>
      </w:r>
      <w:r>
        <w:rPr>
          <w:rFonts w:ascii="宋体" w:hAnsi="宋体" w:cs="宋体"/>
          <w:kern w:val="0"/>
          <w:sz w:val="21"/>
          <w:szCs w:val="21"/>
          <w:lang w:val="zh-CN"/>
        </w:rPr>
        <w:t>”</w:t>
      </w:r>
      <w:r>
        <w:rPr>
          <w:rFonts w:hint="eastAsia" w:ascii="宋体" w:hAnsi="宋体" w:cs="宋体"/>
          <w:kern w:val="0"/>
          <w:sz w:val="21"/>
          <w:szCs w:val="21"/>
          <w:lang w:val="zh-CN"/>
        </w:rPr>
        <w:t>。与上年相比，本年收购了广东蓝图信息技术有限公司及</w:t>
      </w:r>
      <w:r>
        <w:rPr>
          <w:rFonts w:ascii="宋体" w:hAnsi="宋体" w:cs="宋体"/>
          <w:kern w:val="0"/>
          <w:sz w:val="21"/>
          <w:szCs w:val="21"/>
          <w:lang w:val="zh-CN"/>
        </w:rPr>
        <w:t>Rockson Automation GmbH</w:t>
      </w:r>
      <w:r>
        <w:rPr>
          <w:rFonts w:hint="eastAsia" w:ascii="宋体" w:hAnsi="宋体" w:cs="宋体"/>
          <w:kern w:val="0"/>
          <w:sz w:val="21"/>
          <w:szCs w:val="21"/>
          <w:lang w:val="zh-CN"/>
        </w:rPr>
        <w:t>。</w:t>
      </w:r>
    </w:p>
    <w:p>
      <w:pPr>
        <w:autoSpaceDE w:val="0"/>
        <w:autoSpaceDN w:val="0"/>
        <w:adjustRightInd w:val="0"/>
        <w:spacing w:before="240" w:after="0" w:line="360" w:lineRule="auto"/>
        <w:ind w:firstLine="420" w:firstLineChars="200"/>
        <w:rPr>
          <w:rFonts w:ascii="宋体" w:hAnsi="宋体" w:cs="宋体"/>
          <w:kern w:val="0"/>
          <w:sz w:val="21"/>
          <w:szCs w:val="21"/>
          <w:lang w:val="zh-CN"/>
        </w:rPr>
      </w:pPr>
      <w:r>
        <w:rPr>
          <w:rFonts w:hint="eastAsia" w:ascii="宋体" w:hAnsi="宋体" w:cs="宋体"/>
          <w:kern w:val="0"/>
          <w:sz w:val="21"/>
          <w:szCs w:val="21"/>
          <w:lang w:val="zh-CN"/>
        </w:rPr>
        <w:t>详见本附注</w:t>
      </w:r>
      <w:r>
        <w:rPr>
          <w:rFonts w:ascii="宋体" w:hAnsi="宋体" w:cs="宋体"/>
          <w:kern w:val="0"/>
          <w:sz w:val="21"/>
          <w:szCs w:val="21"/>
          <w:lang w:val="zh-CN"/>
        </w:rPr>
        <w:t>“</w:t>
      </w:r>
      <w:r>
        <w:rPr>
          <w:rFonts w:hint="eastAsia" w:ascii="宋体" w:hAnsi="宋体" w:cs="宋体"/>
          <w:kern w:val="0"/>
          <w:sz w:val="21"/>
          <w:szCs w:val="21"/>
          <w:lang w:val="zh-CN"/>
        </w:rPr>
        <w:t>八、合并范围的变化</w:t>
      </w:r>
      <w:r>
        <w:rPr>
          <w:rFonts w:ascii="宋体" w:hAnsi="宋体" w:cs="宋体"/>
          <w:kern w:val="0"/>
          <w:sz w:val="21"/>
          <w:szCs w:val="21"/>
          <w:lang w:val="zh-CN"/>
        </w:rPr>
        <w:t>”</w:t>
      </w:r>
      <w:r>
        <w:rPr>
          <w:rFonts w:hint="eastAsia" w:ascii="宋体" w:hAnsi="宋体" w:cs="宋体"/>
          <w:kern w:val="0"/>
          <w:sz w:val="21"/>
          <w:szCs w:val="21"/>
          <w:lang w:val="zh-CN"/>
        </w:rPr>
        <w:t>及本附注</w:t>
      </w:r>
      <w:r>
        <w:rPr>
          <w:rFonts w:ascii="宋体" w:hAnsi="宋体" w:cs="宋体"/>
          <w:kern w:val="0"/>
          <w:sz w:val="21"/>
          <w:szCs w:val="21"/>
          <w:lang w:val="zh-CN"/>
        </w:rPr>
        <w:t>“</w:t>
      </w:r>
      <w:r>
        <w:rPr>
          <w:rFonts w:hint="eastAsia" w:ascii="宋体" w:hAnsi="宋体" w:cs="宋体"/>
          <w:kern w:val="0"/>
          <w:sz w:val="21"/>
          <w:szCs w:val="21"/>
          <w:lang w:val="zh-CN"/>
        </w:rPr>
        <w:t>八、在其他主体中的权益</w:t>
      </w:r>
      <w:r>
        <w:rPr>
          <w:rFonts w:ascii="宋体" w:hAnsi="宋体" w:cs="宋体"/>
          <w:kern w:val="0"/>
          <w:sz w:val="21"/>
          <w:szCs w:val="21"/>
          <w:lang w:val="zh-CN"/>
        </w:rPr>
        <w:t>”</w:t>
      </w:r>
      <w:r>
        <w:rPr>
          <w:rFonts w:hint="eastAsia" w:ascii="宋体" w:hAnsi="宋体" w:cs="宋体"/>
          <w:kern w:val="0"/>
          <w:sz w:val="21"/>
          <w:szCs w:val="21"/>
          <w:lang w:val="zh-CN"/>
        </w:rPr>
        <w:t>相关内容。</w:t>
      </w:r>
    </w:p>
    <w:p>
      <w:pPr>
        <w:pStyle w:val="10"/>
        <w:outlineLvl w:val="1"/>
        <w:rPr>
          <w:bCs w:val="0"/>
        </w:rPr>
      </w:pPr>
      <w:r>
        <w:rPr>
          <w:rFonts w:hint="eastAsia"/>
          <w:bCs w:val="0"/>
        </w:rPr>
        <w:t>四、财务报表的编制基础</w:t>
      </w:r>
    </w:p>
    <w:p>
      <w:pPr>
        <w:pStyle w:val="11"/>
        <w:outlineLvl w:val="2"/>
        <w:rPr>
          <w:bCs w:val="0"/>
          <w:szCs w:val="24"/>
        </w:rPr>
      </w:pPr>
      <w:r>
        <w:rPr>
          <w:bCs w:val="0"/>
          <w:szCs w:val="24"/>
        </w:rPr>
        <w:t>1</w:t>
      </w:r>
      <w:r>
        <w:rPr>
          <w:rFonts w:hint="eastAsia"/>
          <w:bCs w:val="0"/>
          <w:szCs w:val="24"/>
        </w:rPr>
        <w:t>、编制基础</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本集团财务报表以持续经营为基础，根据实际发生的交易和事项，按照财政部颁布的《企业会计准则》及相关规定，并基于本附注</w:t>
      </w:r>
      <w:r>
        <w:rPr>
          <w:rFonts w:hint="eastAsia" w:ascii="宋体" w:cs="宋体"/>
          <w:kern w:val="0"/>
          <w:sz w:val="21"/>
          <w:szCs w:val="24"/>
          <w:lang w:val="zh-CN"/>
        </w:rPr>
        <w:t>“</w:t>
      </w:r>
      <w:r>
        <w:rPr>
          <w:rFonts w:hint="eastAsia" w:ascii="宋体" w:hAnsi="宋体" w:cs="宋体"/>
          <w:kern w:val="0"/>
          <w:sz w:val="21"/>
          <w:szCs w:val="24"/>
          <w:lang w:val="zh-CN"/>
        </w:rPr>
        <w:t>四、重要会计政策及会计估计</w:t>
      </w:r>
      <w:r>
        <w:rPr>
          <w:rFonts w:hint="eastAsia" w:ascii="宋体" w:cs="宋体"/>
          <w:kern w:val="0"/>
          <w:sz w:val="21"/>
          <w:szCs w:val="24"/>
          <w:lang w:val="zh-CN"/>
        </w:rPr>
        <w:t>”</w:t>
      </w:r>
      <w:r>
        <w:rPr>
          <w:rFonts w:hint="eastAsia" w:ascii="宋体" w:hAnsi="宋体" w:cs="宋体"/>
          <w:kern w:val="0"/>
          <w:sz w:val="21"/>
          <w:szCs w:val="24"/>
          <w:lang w:val="zh-CN"/>
        </w:rPr>
        <w:t>所述会计政策和会计估计编制。</w:t>
      </w:r>
    </w:p>
    <w:p>
      <w:pPr>
        <w:pStyle w:val="11"/>
        <w:outlineLvl w:val="2"/>
        <w:rPr>
          <w:bCs w:val="0"/>
          <w:szCs w:val="24"/>
        </w:rPr>
      </w:pPr>
      <w:r>
        <w:rPr>
          <w:bCs w:val="0"/>
          <w:szCs w:val="24"/>
        </w:rPr>
        <w:t>2</w:t>
      </w:r>
      <w:r>
        <w:rPr>
          <w:rFonts w:hint="eastAsia"/>
          <w:bCs w:val="0"/>
          <w:szCs w:val="24"/>
        </w:rPr>
        <w:t>、持续经营</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本集团不存在导致对报告期末起</w:t>
      </w:r>
      <w:r>
        <w:rPr>
          <w:rFonts w:ascii="宋体" w:hAnsi="宋体" w:cs="宋体"/>
          <w:kern w:val="0"/>
          <w:sz w:val="21"/>
          <w:szCs w:val="24"/>
          <w:lang w:val="zh-CN"/>
        </w:rPr>
        <w:t>12</w:t>
      </w:r>
      <w:r>
        <w:rPr>
          <w:rFonts w:hint="eastAsia" w:ascii="宋体" w:hAnsi="宋体" w:cs="宋体"/>
          <w:kern w:val="0"/>
          <w:sz w:val="21"/>
          <w:szCs w:val="24"/>
          <w:lang w:val="zh-CN"/>
        </w:rPr>
        <w:t>个月内的持续经营假设产生重大疑虑的的事项或情况。</w:t>
      </w:r>
    </w:p>
    <w:p>
      <w:pPr>
        <w:pStyle w:val="10"/>
        <w:outlineLvl w:val="1"/>
        <w:rPr>
          <w:bCs w:val="0"/>
        </w:rPr>
      </w:pPr>
      <w:r>
        <w:rPr>
          <w:rFonts w:hint="eastAsia"/>
          <w:bCs w:val="0"/>
        </w:rPr>
        <w:t>五、重要会计政策及会计估计</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具体会计政策和会计估计提示：本集团根据实际生产经营特点制定的具体会计政策和会计估计包括营业周期、应收款项坏账准备的确认和计量、存货计价方法、固定资产分类及折旧方法、无形资产摊销、研发费用资本化条件、收入确认和计量等。</w:t>
      </w:r>
    </w:p>
    <w:p>
      <w:pPr>
        <w:pStyle w:val="11"/>
        <w:outlineLvl w:val="2"/>
        <w:rPr>
          <w:bCs w:val="0"/>
          <w:szCs w:val="24"/>
        </w:rPr>
      </w:pPr>
      <w:r>
        <w:rPr>
          <w:bCs w:val="0"/>
          <w:szCs w:val="24"/>
        </w:rPr>
        <w:t>1</w:t>
      </w:r>
      <w:r>
        <w:rPr>
          <w:rFonts w:hint="eastAsia"/>
          <w:bCs w:val="0"/>
          <w:szCs w:val="24"/>
        </w:rPr>
        <w:t>、遵循企业会计准则的声明</w:t>
      </w:r>
    </w:p>
    <w:p>
      <w:pPr>
        <w:autoSpaceDE w:val="0"/>
        <w:autoSpaceDN w:val="0"/>
        <w:adjustRightInd w:val="0"/>
        <w:spacing w:before="240" w:after="0"/>
        <w:ind w:firstLine="440"/>
        <w:rPr>
          <w:rFonts w:eastAsia="Times New Roman"/>
          <w:kern w:val="0"/>
          <w:sz w:val="22"/>
          <w:szCs w:val="24"/>
          <w:lang w:val="zh-CN"/>
        </w:rPr>
      </w:pPr>
      <w:r>
        <w:rPr>
          <w:rFonts w:hint="eastAsia" w:ascii="宋体" w:hAnsi="宋体" w:cs="宋体"/>
          <w:kern w:val="0"/>
          <w:sz w:val="22"/>
          <w:szCs w:val="24"/>
          <w:lang w:val="zh-CN"/>
        </w:rPr>
        <w:t>本集团编制的财务报表符合企业会计准则的要求，真实、完整地反映了本公司及本集团的财务状况、经营成果和现金流量等有关信息。</w:t>
      </w:r>
    </w:p>
    <w:p>
      <w:pPr>
        <w:pStyle w:val="11"/>
        <w:outlineLvl w:val="2"/>
        <w:rPr>
          <w:bCs w:val="0"/>
          <w:szCs w:val="24"/>
        </w:rPr>
      </w:pPr>
      <w:r>
        <w:rPr>
          <w:bCs w:val="0"/>
          <w:szCs w:val="24"/>
        </w:rPr>
        <w:t>2</w:t>
      </w:r>
      <w:r>
        <w:rPr>
          <w:rFonts w:hint="eastAsia"/>
          <w:bCs w:val="0"/>
          <w:szCs w:val="24"/>
        </w:rPr>
        <w:t>、会计期间</w:t>
      </w:r>
    </w:p>
    <w:p>
      <w:pPr>
        <w:autoSpaceDE w:val="0"/>
        <w:autoSpaceDN w:val="0"/>
        <w:adjustRightInd w:val="0"/>
        <w:spacing w:before="0" w:after="0"/>
        <w:jc w:val="left"/>
        <w:rPr>
          <w:rFonts w:eastAsia="Times New Roman"/>
          <w:kern w:val="0"/>
          <w:sz w:val="22"/>
          <w:szCs w:val="24"/>
          <w:lang w:val="zh-CN"/>
        </w:rPr>
      </w:pPr>
      <w:r>
        <w:rPr>
          <w:rFonts w:hint="eastAsia" w:ascii="宋体" w:hAnsi="宋体" w:cs="宋体"/>
          <w:kern w:val="0"/>
          <w:sz w:val="22"/>
          <w:szCs w:val="24"/>
          <w:lang w:val="zh-CN"/>
        </w:rPr>
        <w:t>本集团的会计期间为公历</w:t>
      </w:r>
      <w:r>
        <w:rPr>
          <w:rFonts w:eastAsia="Times New Roman"/>
          <w:kern w:val="0"/>
          <w:sz w:val="22"/>
          <w:szCs w:val="24"/>
          <w:lang w:val="zh-CN"/>
        </w:rPr>
        <w:t>1</w:t>
      </w:r>
      <w:r>
        <w:rPr>
          <w:rFonts w:hint="eastAsia" w:ascii="宋体" w:hAnsi="宋体" w:cs="宋体"/>
          <w:kern w:val="0"/>
          <w:sz w:val="22"/>
          <w:szCs w:val="24"/>
          <w:lang w:val="zh-CN"/>
        </w:rPr>
        <w:t>月</w:t>
      </w:r>
      <w:r>
        <w:rPr>
          <w:rFonts w:eastAsia="Times New Roman"/>
          <w:kern w:val="0"/>
          <w:sz w:val="22"/>
          <w:szCs w:val="24"/>
          <w:lang w:val="zh-CN"/>
        </w:rPr>
        <w:t>1</w:t>
      </w:r>
      <w:r>
        <w:rPr>
          <w:rFonts w:hint="eastAsia" w:ascii="宋体" w:hAnsi="宋体" w:cs="宋体"/>
          <w:kern w:val="0"/>
          <w:sz w:val="22"/>
          <w:szCs w:val="24"/>
          <w:lang w:val="zh-CN"/>
        </w:rPr>
        <w:t>日至</w:t>
      </w:r>
      <w:r>
        <w:rPr>
          <w:rFonts w:eastAsia="Times New Roman"/>
          <w:kern w:val="0"/>
          <w:sz w:val="22"/>
          <w:szCs w:val="24"/>
          <w:lang w:val="zh-CN"/>
        </w:rPr>
        <w:t>12</w:t>
      </w:r>
      <w:r>
        <w:rPr>
          <w:rFonts w:hint="eastAsia" w:ascii="宋体" w:hAnsi="宋体" w:cs="宋体"/>
          <w:kern w:val="0"/>
          <w:sz w:val="22"/>
          <w:szCs w:val="24"/>
          <w:lang w:val="zh-CN"/>
        </w:rPr>
        <w:t>月</w:t>
      </w:r>
      <w:r>
        <w:rPr>
          <w:rFonts w:eastAsia="Times New Roman"/>
          <w:kern w:val="0"/>
          <w:sz w:val="22"/>
          <w:szCs w:val="24"/>
          <w:lang w:val="zh-CN"/>
        </w:rPr>
        <w:t>31</w:t>
      </w:r>
      <w:r>
        <w:rPr>
          <w:rFonts w:hint="eastAsia" w:ascii="宋体" w:hAnsi="宋体" w:cs="宋体"/>
          <w:kern w:val="0"/>
          <w:sz w:val="22"/>
          <w:szCs w:val="24"/>
          <w:lang w:val="zh-CN"/>
        </w:rPr>
        <w:t>日。</w:t>
      </w:r>
    </w:p>
    <w:p>
      <w:pPr>
        <w:pStyle w:val="11"/>
        <w:outlineLvl w:val="2"/>
        <w:rPr>
          <w:bCs w:val="0"/>
          <w:szCs w:val="24"/>
        </w:rPr>
      </w:pPr>
      <w:r>
        <w:rPr>
          <w:bCs w:val="0"/>
          <w:szCs w:val="24"/>
        </w:rPr>
        <w:t>3</w:t>
      </w:r>
      <w:r>
        <w:rPr>
          <w:rFonts w:hint="eastAsia"/>
          <w:bCs w:val="0"/>
          <w:szCs w:val="24"/>
        </w:rPr>
        <w:t>、营业周期</w:t>
      </w:r>
    </w:p>
    <w:p>
      <w:pPr>
        <w:autoSpaceDE w:val="0"/>
        <w:autoSpaceDN w:val="0"/>
        <w:adjustRightInd w:val="0"/>
        <w:spacing w:before="0" w:after="0"/>
        <w:jc w:val="left"/>
        <w:rPr>
          <w:rFonts w:eastAsia="Times New Roman"/>
          <w:kern w:val="0"/>
          <w:sz w:val="22"/>
          <w:szCs w:val="24"/>
          <w:lang w:val="zh-CN"/>
        </w:rPr>
      </w:pPr>
      <w:r>
        <w:rPr>
          <w:rFonts w:hint="eastAsia" w:ascii="宋体" w:hAnsi="宋体" w:cs="宋体"/>
          <w:kern w:val="0"/>
          <w:sz w:val="22"/>
          <w:szCs w:val="24"/>
          <w:lang w:val="zh-CN"/>
        </w:rPr>
        <w:t>本集团以</w:t>
      </w:r>
      <w:r>
        <w:rPr>
          <w:rFonts w:eastAsia="Times New Roman"/>
          <w:kern w:val="0"/>
          <w:sz w:val="22"/>
          <w:szCs w:val="24"/>
          <w:lang w:val="zh-CN"/>
        </w:rPr>
        <w:t>12</w:t>
      </w:r>
      <w:r>
        <w:rPr>
          <w:rFonts w:hint="eastAsia" w:ascii="宋体" w:hAnsi="宋体" w:cs="宋体"/>
          <w:kern w:val="0"/>
          <w:sz w:val="22"/>
          <w:szCs w:val="24"/>
          <w:lang w:val="zh-CN"/>
        </w:rPr>
        <w:t>个月作为一个营业周期。</w:t>
      </w:r>
    </w:p>
    <w:p>
      <w:pPr>
        <w:pStyle w:val="11"/>
        <w:outlineLvl w:val="2"/>
        <w:rPr>
          <w:bCs w:val="0"/>
          <w:szCs w:val="24"/>
        </w:rPr>
      </w:pPr>
      <w:r>
        <w:rPr>
          <w:bCs w:val="0"/>
          <w:szCs w:val="24"/>
        </w:rPr>
        <w:t>4</w:t>
      </w:r>
      <w:r>
        <w:rPr>
          <w:rFonts w:hint="eastAsia"/>
          <w:bCs w:val="0"/>
          <w:szCs w:val="24"/>
        </w:rPr>
        <w:t>、记账本位币</w:t>
      </w:r>
    </w:p>
    <w:p>
      <w:pPr>
        <w:autoSpaceDE w:val="0"/>
        <w:autoSpaceDN w:val="0"/>
        <w:adjustRightInd w:val="0"/>
        <w:spacing w:before="0" w:after="0" w:line="360" w:lineRule="auto"/>
        <w:ind w:firstLine="420" w:firstLineChars="200"/>
        <w:jc w:val="left"/>
        <w:rPr>
          <w:rFonts w:ascii="宋体" w:cs="宋体"/>
          <w:kern w:val="0"/>
          <w:sz w:val="21"/>
          <w:szCs w:val="24"/>
        </w:rPr>
      </w:pPr>
      <w:r>
        <w:rPr>
          <w:rFonts w:hint="eastAsia" w:ascii="宋体" w:hAnsi="宋体" w:cs="宋体"/>
          <w:kern w:val="0"/>
          <w:sz w:val="21"/>
          <w:szCs w:val="24"/>
          <w:lang w:val="zh-CN"/>
        </w:rPr>
        <w:t>海兰信</w:t>
      </w:r>
      <w:r>
        <w:rPr>
          <w:rFonts w:hint="eastAsia" w:ascii="宋体" w:hAnsi="宋体" w:cs="宋体"/>
          <w:kern w:val="0"/>
          <w:sz w:val="21"/>
          <w:szCs w:val="24"/>
        </w:rPr>
        <w:t>（</w:t>
      </w:r>
      <w:r>
        <w:rPr>
          <w:rFonts w:hint="eastAsia" w:ascii="宋体" w:hAnsi="宋体" w:cs="宋体"/>
          <w:kern w:val="0"/>
          <w:sz w:val="21"/>
          <w:szCs w:val="24"/>
          <w:lang w:val="zh-CN"/>
        </w:rPr>
        <w:t>香港</w:t>
      </w:r>
      <w:r>
        <w:rPr>
          <w:rFonts w:hint="eastAsia" w:ascii="宋体" w:hAnsi="宋体" w:cs="宋体"/>
          <w:kern w:val="0"/>
          <w:sz w:val="21"/>
          <w:szCs w:val="24"/>
        </w:rPr>
        <w:t>）</w:t>
      </w:r>
      <w:r>
        <w:rPr>
          <w:rFonts w:hint="eastAsia" w:ascii="宋体" w:hAnsi="宋体" w:cs="宋体"/>
          <w:kern w:val="0"/>
          <w:sz w:val="21"/>
          <w:szCs w:val="24"/>
          <w:lang w:val="zh-CN"/>
        </w:rPr>
        <w:t>航海科技有限公司、香港海兰船舶电气系统科技有限公司及海兰盈华</w:t>
      </w:r>
      <w:r>
        <w:rPr>
          <w:rFonts w:hint="eastAsia" w:ascii="宋体" w:hAnsi="宋体" w:cs="宋体"/>
          <w:kern w:val="0"/>
          <w:sz w:val="21"/>
          <w:szCs w:val="24"/>
        </w:rPr>
        <w:t>（</w:t>
      </w:r>
      <w:r>
        <w:rPr>
          <w:rFonts w:hint="eastAsia" w:ascii="宋体" w:hAnsi="宋体" w:cs="宋体"/>
          <w:kern w:val="0"/>
          <w:sz w:val="21"/>
          <w:szCs w:val="24"/>
          <w:lang w:val="zh-CN"/>
        </w:rPr>
        <w:t>香港</w:t>
      </w:r>
      <w:r>
        <w:rPr>
          <w:rFonts w:hint="eastAsia" w:ascii="宋体" w:hAnsi="宋体" w:cs="宋体"/>
          <w:kern w:val="0"/>
          <w:sz w:val="21"/>
          <w:szCs w:val="24"/>
        </w:rPr>
        <w:t>）</w:t>
      </w:r>
      <w:r>
        <w:rPr>
          <w:rFonts w:hint="eastAsia" w:ascii="宋体" w:hAnsi="宋体" w:cs="宋体"/>
          <w:kern w:val="0"/>
          <w:sz w:val="21"/>
          <w:szCs w:val="24"/>
          <w:lang w:val="zh-CN"/>
        </w:rPr>
        <w:t>航海科技有限公司以美元为记账本位币</w:t>
      </w:r>
      <w:r>
        <w:rPr>
          <w:rFonts w:hint="eastAsia" w:ascii="宋体" w:hAnsi="宋体" w:cs="宋体"/>
          <w:kern w:val="0"/>
          <w:sz w:val="21"/>
          <w:szCs w:val="24"/>
        </w:rPr>
        <w:t>，</w:t>
      </w:r>
      <w:r>
        <w:rPr>
          <w:rFonts w:hint="eastAsia" w:ascii="宋体" w:hAnsi="宋体" w:cs="宋体"/>
          <w:kern w:val="0"/>
          <w:sz w:val="21"/>
          <w:szCs w:val="24"/>
          <w:lang w:val="zh-CN"/>
        </w:rPr>
        <w:t>劳雷海洋系统有限公司、</w:t>
      </w:r>
      <w:r>
        <w:rPr>
          <w:rFonts w:ascii="宋体" w:hAnsi="宋体" w:cs="宋体"/>
          <w:kern w:val="0"/>
          <w:sz w:val="21"/>
          <w:szCs w:val="24"/>
        </w:rPr>
        <w:t>Summerview Company Limited</w:t>
      </w:r>
      <w:r>
        <w:rPr>
          <w:rFonts w:hint="eastAsia" w:ascii="宋体" w:hAnsi="宋体" w:cs="宋体"/>
          <w:kern w:val="0"/>
          <w:sz w:val="21"/>
          <w:szCs w:val="24"/>
          <w:lang w:val="zh-CN"/>
        </w:rPr>
        <w:t>以港币为记账本位币</w:t>
      </w:r>
      <w:r>
        <w:rPr>
          <w:rFonts w:hint="eastAsia" w:ascii="宋体" w:hAnsi="宋体" w:cs="宋体"/>
          <w:kern w:val="0"/>
          <w:sz w:val="21"/>
          <w:szCs w:val="24"/>
        </w:rPr>
        <w:t>，</w:t>
      </w:r>
      <w:r>
        <w:rPr>
          <w:rFonts w:ascii="宋体" w:hAnsi="宋体" w:cs="宋体"/>
          <w:kern w:val="0"/>
          <w:sz w:val="21"/>
          <w:szCs w:val="24"/>
        </w:rPr>
        <w:t>Rockson Automation GmbH</w:t>
      </w:r>
      <w:r>
        <w:rPr>
          <w:rFonts w:hint="eastAsia" w:ascii="宋体" w:hAnsi="宋体" w:cs="宋体"/>
          <w:kern w:val="0"/>
          <w:sz w:val="21"/>
          <w:szCs w:val="24"/>
          <w:lang w:val="zh-CN"/>
        </w:rPr>
        <w:t>以欧元为记账本位币</w:t>
      </w:r>
      <w:r>
        <w:rPr>
          <w:rFonts w:hint="eastAsia" w:ascii="宋体" w:hAnsi="宋体" w:cs="宋体"/>
          <w:kern w:val="0"/>
          <w:sz w:val="21"/>
          <w:szCs w:val="24"/>
        </w:rPr>
        <w:t>，</w:t>
      </w:r>
      <w:r>
        <w:rPr>
          <w:rFonts w:hint="eastAsia" w:ascii="宋体" w:hAnsi="宋体" w:cs="宋体"/>
          <w:kern w:val="0"/>
          <w:sz w:val="21"/>
          <w:szCs w:val="24"/>
          <w:lang w:val="zh-CN"/>
        </w:rPr>
        <w:t>除此以外本集团其他公司均以人民币为记账本位币。</w:t>
      </w:r>
    </w:p>
    <w:p>
      <w:pPr>
        <w:pStyle w:val="11"/>
        <w:outlineLvl w:val="2"/>
        <w:rPr>
          <w:bCs w:val="0"/>
          <w:szCs w:val="24"/>
        </w:rPr>
      </w:pPr>
      <w:r>
        <w:rPr>
          <w:bCs w:val="0"/>
          <w:szCs w:val="24"/>
        </w:rPr>
        <w:t>5</w:t>
      </w:r>
      <w:r>
        <w:rPr>
          <w:rFonts w:hint="eastAsia"/>
          <w:bCs w:val="0"/>
          <w:szCs w:val="24"/>
        </w:rPr>
        <w:t>、同一控制下和非同一控制下企业合并的会计处理方法</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本集团作为合并方，在同一控制下企业合并中取得的资产和负债，在合并日按被合并方在最终控制方合并报表中的账面价值计量。取得的净资产账面价值与支付的合并对价账面价值的差额，调整资本公积；资本公积不足冲减的，调整留存收益。</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在非同一控制下企业合并中取得的被购买方可辨认资产、负债及或有负债在收购日以公允价值计量。合并成本为本集团在购买日为取得对被购买方的控制权而支付的现金或非现金资产、发行或承担的负债、发行的权益性证券等的公允价值以及在企业合并中发生的各项直接相关费用之和（通过多次交易分步实现的企业合并，其合并成本为每一单项交易的成本之和）。合并成本大于合并中取得的被购买方可辨认净资产公允价值份额的差额，确认为商誉；合并成本小于合并中取得的被购买方可辨认净资产公允价值份额的，首先对合并中取得的各项可辨认资产、负债及或有负债的公允价值、以及合并对价的非现金资产或发行的权益性证券等的公允价值进行复核，经复核后，合并成本仍小于合并中取得的被购买方可辨认净资产公允价值份额的，将其差额计入合并当期营业外收入。</w:t>
      </w:r>
    </w:p>
    <w:p>
      <w:pPr>
        <w:pStyle w:val="11"/>
        <w:outlineLvl w:val="2"/>
        <w:rPr>
          <w:bCs w:val="0"/>
          <w:szCs w:val="24"/>
        </w:rPr>
      </w:pPr>
      <w:r>
        <w:rPr>
          <w:bCs w:val="0"/>
          <w:szCs w:val="24"/>
        </w:rPr>
        <w:t>6</w:t>
      </w:r>
      <w:r>
        <w:rPr>
          <w:rFonts w:hint="eastAsia"/>
          <w:bCs w:val="0"/>
          <w:szCs w:val="24"/>
        </w:rPr>
        <w:t>、合并财务报表的编制方法</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本集团将所有控制的子公司纳入合并财务报表范围。</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在编制合并财务报表时，子公司与本公司采用的会计政策或会计期间不一致的，按照本公司的会计政策或会计期间对子公司财务报表进行必要的调整。</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合并范围内的所有重大内部交易、往来余额及未实现利润在合并报表编制时予以抵销。子公司的所有者权益中不属于母公司的份额以及当期净损益、其他综合收益及综合收益总额中属于少数股东权益的份额，分别在合并财务报表</w:t>
      </w:r>
      <w:r>
        <w:rPr>
          <w:rFonts w:hint="eastAsia" w:ascii="宋体" w:cs="宋体"/>
          <w:kern w:val="0"/>
          <w:sz w:val="21"/>
          <w:szCs w:val="24"/>
          <w:lang w:val="zh-CN"/>
        </w:rPr>
        <w:t>“</w:t>
      </w:r>
      <w:r>
        <w:rPr>
          <w:rFonts w:hint="eastAsia" w:ascii="宋体" w:hAnsi="宋体" w:cs="宋体"/>
          <w:kern w:val="0"/>
          <w:sz w:val="21"/>
          <w:szCs w:val="24"/>
          <w:lang w:val="zh-CN"/>
        </w:rPr>
        <w:t>少数股东权益、少数股东损益、归属于少数股东的其他综合收益及归属于少数股东的综合收益总额</w:t>
      </w:r>
      <w:r>
        <w:rPr>
          <w:rFonts w:hint="eastAsia" w:ascii="宋体" w:cs="宋体"/>
          <w:kern w:val="0"/>
          <w:sz w:val="21"/>
          <w:szCs w:val="24"/>
          <w:lang w:val="zh-CN"/>
        </w:rPr>
        <w:t>”</w:t>
      </w:r>
      <w:r>
        <w:rPr>
          <w:rFonts w:hint="eastAsia" w:ascii="宋体" w:hAnsi="宋体" w:cs="宋体"/>
          <w:kern w:val="0"/>
          <w:sz w:val="21"/>
          <w:szCs w:val="24"/>
          <w:lang w:val="zh-CN"/>
        </w:rPr>
        <w:t>项目列示。</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对于同一控制下企业合并取得的子公司，其经营成果和现金流量自合并当期期初纳入合并财务报表。编制比较合并财务报表时，对上年财务报表的相关项目进行调整，视同合并后形成的报告主体自最终控制方开始控制时点起一直存在。</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对于非同一控制下企业合并取得子公司，经营成果和现金流量自本集团取得控制权之日起纳入合并财务报表。在编制合并财务报表时，以购买日确定的各项可辨认资产、负债及或有负债的公允价值为基础对子公司的财务报表进行调整。</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本集团在不丧失控制权的情况下部分处置对子公司的长期股权投资，在合并财务报表中，处置价款与处置长期股权投资相对应享有子公司自购买日或合并日开始持续计算的净资产份额之间的差额，调整资本溢价或股本溢价，资本公积不足冲减的，调整留存收益。</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本集团因处置部分股权投资等原因丧失了对被投资方的控制权的，在编制合并财务报表时，对于剩余股权，按照其在丧失控制权日的公允价值进行重新计量。处置股权取得的对价与剩余股权公允价值之和，减去按原持股比例计算应享有原有子公司自购买日或合并日开始持续计算的净资产的份额之间的差额，计入丧失控制权当期的投资损益，同时冲减商誉。与原有子公司股权投资相关的其他综合收益等，在丧失控制权时转为当期投资损益。</w:t>
      </w:r>
    </w:p>
    <w:p>
      <w:pPr>
        <w:pStyle w:val="11"/>
        <w:outlineLvl w:val="2"/>
        <w:rPr>
          <w:bCs w:val="0"/>
          <w:szCs w:val="24"/>
        </w:rPr>
      </w:pPr>
      <w:r>
        <w:rPr>
          <w:bCs w:val="0"/>
          <w:szCs w:val="24"/>
        </w:rPr>
        <w:t>7</w:t>
      </w:r>
      <w:r>
        <w:rPr>
          <w:rFonts w:hint="eastAsia"/>
          <w:bCs w:val="0"/>
          <w:szCs w:val="24"/>
        </w:rPr>
        <w:t>、现金及现金等价物的确定标准</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本集团现金流量表之现金指库存现金以及可以随时用于支付的存款。现金流量表之现金等价物指持有期限不超过</w:t>
      </w:r>
      <w:r>
        <w:rPr>
          <w:rFonts w:ascii="宋体" w:hAnsi="宋体" w:cs="宋体"/>
          <w:kern w:val="0"/>
          <w:sz w:val="21"/>
          <w:szCs w:val="24"/>
          <w:lang w:val="zh-CN"/>
        </w:rPr>
        <w:t>3</w:t>
      </w:r>
      <w:r>
        <w:rPr>
          <w:rFonts w:hint="eastAsia" w:ascii="宋体" w:hAnsi="宋体" w:cs="宋体"/>
          <w:kern w:val="0"/>
          <w:sz w:val="21"/>
          <w:szCs w:val="24"/>
          <w:lang w:val="zh-CN"/>
        </w:rPr>
        <w:t>个月、流动性强、易于转换为已知金额现金且价值变动风险很小的投资。</w:t>
      </w:r>
    </w:p>
    <w:p>
      <w:pPr>
        <w:pStyle w:val="11"/>
        <w:outlineLvl w:val="2"/>
        <w:rPr>
          <w:bCs w:val="0"/>
          <w:szCs w:val="24"/>
        </w:rPr>
      </w:pPr>
      <w:r>
        <w:rPr>
          <w:bCs w:val="0"/>
          <w:szCs w:val="24"/>
        </w:rPr>
        <w:t>8</w:t>
      </w:r>
      <w:r>
        <w:rPr>
          <w:rFonts w:hint="eastAsia"/>
          <w:bCs w:val="0"/>
          <w:szCs w:val="24"/>
        </w:rPr>
        <w:t>、外币业务和外币报表折算</w:t>
      </w:r>
    </w:p>
    <w:p>
      <w:pPr>
        <w:autoSpaceDE w:val="0"/>
        <w:autoSpaceDN w:val="0"/>
        <w:adjustRightInd w:val="0"/>
        <w:spacing w:before="240" w:after="0"/>
        <w:ind w:left="440"/>
        <w:rPr>
          <w:rFonts w:eastAsia="Times New Roman"/>
          <w:b/>
          <w:kern w:val="0"/>
          <w:sz w:val="21"/>
          <w:szCs w:val="21"/>
          <w:lang w:val="zh-CN"/>
        </w:rPr>
      </w:pPr>
      <w:r>
        <w:rPr>
          <w:rFonts w:hint="eastAsia" w:ascii="宋体" w:hAnsi="宋体" w:cs="宋体"/>
          <w:b/>
          <w:kern w:val="0"/>
          <w:sz w:val="21"/>
          <w:szCs w:val="21"/>
          <w:lang w:val="zh-CN"/>
        </w:rPr>
        <w:t>（</w:t>
      </w:r>
      <w:r>
        <w:rPr>
          <w:rFonts w:eastAsia="Times New Roman"/>
          <w:b/>
          <w:kern w:val="0"/>
          <w:sz w:val="21"/>
          <w:szCs w:val="21"/>
          <w:lang w:val="zh-CN"/>
        </w:rPr>
        <w:t>1</w:t>
      </w:r>
      <w:r>
        <w:rPr>
          <w:rFonts w:hint="eastAsia" w:ascii="宋体" w:hAnsi="宋体" w:cs="宋体"/>
          <w:b/>
          <w:kern w:val="0"/>
          <w:sz w:val="21"/>
          <w:szCs w:val="21"/>
          <w:lang w:val="zh-CN"/>
        </w:rPr>
        <w:t>）外币交易</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本集团外币交易按交易发生日的即期汇率将外币金额折算为人民币金额。于资产负债表日，外币货币性项目采用资产负债表日的即期汇率折算为人民币，所产生的折算差额除了为购建或生产符合资本化条件的资产而借入的外币专门借款产生的汇兑差额按资本化的原则处理外，直接计入当期损益。以公允价值计量的外币非货币性项目，采用公允价值确定日的即期汇率折算为人民币，所产生的折算差额，作为公允价值变动直接计入当期损益。以历史成本计量的外币非货币性项目，仍采用交易发生日的即期汇率折算，不改变其人民币金额。</w:t>
      </w:r>
    </w:p>
    <w:p>
      <w:pPr>
        <w:autoSpaceDE w:val="0"/>
        <w:autoSpaceDN w:val="0"/>
        <w:adjustRightInd w:val="0"/>
        <w:spacing w:before="240" w:after="0"/>
        <w:ind w:firstLine="440"/>
        <w:rPr>
          <w:rFonts w:eastAsia="Times New Roman"/>
          <w:b/>
          <w:kern w:val="0"/>
          <w:sz w:val="21"/>
          <w:szCs w:val="21"/>
          <w:lang w:val="zh-CN"/>
        </w:rPr>
      </w:pPr>
      <w:r>
        <w:rPr>
          <w:rFonts w:hint="eastAsia" w:ascii="宋体" w:hAnsi="宋体" w:cs="宋体"/>
          <w:b/>
          <w:kern w:val="0"/>
          <w:sz w:val="21"/>
          <w:szCs w:val="21"/>
          <w:lang w:val="zh-CN"/>
        </w:rPr>
        <w:t>（</w:t>
      </w:r>
      <w:r>
        <w:rPr>
          <w:rFonts w:eastAsia="Times New Roman"/>
          <w:b/>
          <w:kern w:val="0"/>
          <w:sz w:val="21"/>
          <w:szCs w:val="21"/>
          <w:lang w:val="en-GB"/>
        </w:rPr>
        <w:t>2</w:t>
      </w:r>
      <w:r>
        <w:rPr>
          <w:rFonts w:hint="eastAsia" w:ascii="宋体" w:hAnsi="宋体" w:cs="宋体"/>
          <w:b/>
          <w:kern w:val="0"/>
          <w:sz w:val="21"/>
          <w:szCs w:val="21"/>
          <w:lang w:val="zh-CN"/>
        </w:rPr>
        <w:t>）外币财务报表的折算</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外币资产负债表中资产、负债类项目采用资产负债表日的即期汇率折算；所有者权益类项目除</w:t>
      </w:r>
      <w:r>
        <w:rPr>
          <w:rFonts w:hint="eastAsia" w:ascii="宋体" w:cs="宋体"/>
          <w:kern w:val="0"/>
          <w:sz w:val="21"/>
          <w:szCs w:val="24"/>
          <w:lang w:val="zh-CN"/>
        </w:rPr>
        <w:t>“</w:t>
      </w:r>
      <w:r>
        <w:rPr>
          <w:rFonts w:hint="eastAsia" w:ascii="宋体" w:hAnsi="宋体" w:cs="宋体"/>
          <w:kern w:val="0"/>
          <w:sz w:val="21"/>
          <w:szCs w:val="24"/>
          <w:lang w:val="zh-CN"/>
        </w:rPr>
        <w:t>未分配利润</w:t>
      </w:r>
      <w:r>
        <w:rPr>
          <w:rFonts w:hint="eastAsia" w:ascii="宋体" w:cs="宋体"/>
          <w:kern w:val="0"/>
          <w:sz w:val="21"/>
          <w:szCs w:val="24"/>
          <w:lang w:val="zh-CN"/>
        </w:rPr>
        <w:t>”</w:t>
      </w:r>
      <w:r>
        <w:rPr>
          <w:rFonts w:hint="eastAsia" w:ascii="宋体" w:hAnsi="宋体" w:cs="宋体"/>
          <w:kern w:val="0"/>
          <w:sz w:val="21"/>
          <w:szCs w:val="24"/>
          <w:lang w:val="zh-CN"/>
        </w:rPr>
        <w:t>外，均按业务发生时的即期汇率折算；利润表中的收入与费用项目，采用交易发生日的即期汇率折算。上述折算产生的外币报表折算差额，在所有者权益项目下单独列示。外币现金流量采用现金流量发生日的即期汇率折算。汇率变动对现金的影响额，在现金流量表中单独列示。</w:t>
      </w:r>
    </w:p>
    <w:p>
      <w:pPr>
        <w:pStyle w:val="11"/>
        <w:outlineLvl w:val="2"/>
        <w:rPr>
          <w:bCs w:val="0"/>
          <w:szCs w:val="24"/>
        </w:rPr>
      </w:pPr>
      <w:r>
        <w:rPr>
          <w:bCs w:val="0"/>
          <w:szCs w:val="24"/>
        </w:rPr>
        <w:t>9</w:t>
      </w:r>
      <w:r>
        <w:rPr>
          <w:rFonts w:hint="eastAsia"/>
          <w:bCs w:val="0"/>
          <w:szCs w:val="24"/>
        </w:rPr>
        <w:t>、金融工具</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本集团成为金融工具合同的一方时确认一项金融资产或金融负债。</w:t>
      </w:r>
    </w:p>
    <w:p>
      <w:pPr>
        <w:autoSpaceDE w:val="0"/>
        <w:autoSpaceDN w:val="0"/>
        <w:adjustRightInd w:val="0"/>
        <w:spacing w:before="0" w:after="0"/>
        <w:jc w:val="left"/>
        <w:rPr>
          <w:rFonts w:eastAsia="Times New Roman"/>
          <w:b/>
          <w:kern w:val="0"/>
          <w:sz w:val="21"/>
          <w:szCs w:val="24"/>
          <w:lang w:val="zh-CN"/>
        </w:rPr>
      </w:pPr>
      <w:r>
        <w:rPr>
          <w:rFonts w:eastAsia="Times New Roman"/>
          <w:b/>
          <w:kern w:val="0"/>
          <w:sz w:val="21"/>
          <w:szCs w:val="24"/>
          <w:lang w:val="zh-CN"/>
        </w:rPr>
        <w:t>(1)</w:t>
      </w:r>
      <w:r>
        <w:rPr>
          <w:rFonts w:eastAsia="Times New Roman"/>
          <w:b/>
          <w:kern w:val="0"/>
          <w:sz w:val="21"/>
          <w:szCs w:val="24"/>
          <w:lang w:val="zh-CN"/>
        </w:rPr>
        <w:tab/>
      </w:r>
      <w:r>
        <w:rPr>
          <w:rFonts w:hint="eastAsia" w:ascii="宋体" w:hAnsi="宋体" w:cs="宋体"/>
          <w:b/>
          <w:kern w:val="0"/>
          <w:sz w:val="21"/>
          <w:szCs w:val="24"/>
          <w:lang w:val="zh-CN"/>
        </w:rPr>
        <w:t>金融资产</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ascii="宋体" w:hAnsi="宋体" w:cs="宋体"/>
          <w:kern w:val="0"/>
          <w:sz w:val="21"/>
          <w:szCs w:val="24"/>
          <w:lang w:val="zh-CN"/>
        </w:rPr>
        <w:t>1</w:t>
      </w:r>
      <w:r>
        <w:rPr>
          <w:rFonts w:hint="eastAsia" w:ascii="宋体" w:hAnsi="宋体" w:cs="宋体"/>
          <w:kern w:val="0"/>
          <w:sz w:val="21"/>
          <w:szCs w:val="24"/>
          <w:lang w:val="zh-CN"/>
        </w:rPr>
        <w:t>）</w:t>
      </w:r>
      <w:r>
        <w:rPr>
          <w:rFonts w:ascii="宋体" w:cs="宋体"/>
          <w:kern w:val="0"/>
          <w:sz w:val="21"/>
          <w:szCs w:val="24"/>
          <w:lang w:val="zh-CN"/>
        </w:rPr>
        <w:tab/>
      </w:r>
      <w:r>
        <w:rPr>
          <w:rFonts w:hint="eastAsia" w:ascii="宋体" w:hAnsi="宋体" w:cs="宋体"/>
          <w:kern w:val="0"/>
          <w:sz w:val="21"/>
          <w:szCs w:val="24"/>
          <w:lang w:val="zh-CN"/>
        </w:rPr>
        <w:t>金融资产分类、确认依据和计量方法</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金融资产在初始确认时划分为以公允价值计量且其变动计入当期损益的金融资产、持有至到期投资、应收款项以及可供出售金融资产。以常规方式买卖金融资产，按交易日会计进行确认和终止确认。本集团的金融资产包括应收款项和可供出售金融资产。</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应收款项，是指在活跃市场中没有报价，回收金额固定或可确定的非衍生金融资产。本公司划分为应收款项的金融资产包括货币资金、应收票据、应收账款、应收利息、其他应收款、其他流动资产等。</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应收款项采用实际利率法，按摊余成本进行后续计量。在终止确认、发生减值或摊销时产生的利得或损失，计入当期损益。</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可供出售金融资产，是指初始确认时即被指定为可供出售的非衍生金融资产，以及未被划分为其他类的金融资产。这类资产中，在活跃市场中没有报价且其公允价值不能可靠计量的权益工具投资以及与该权益工具挂钩并须通过交付该权益工具结算的衍生金融资产，按成本进行后续计量；其他存在活跃市场报价或虽没有活跃市场报价但公允价值能够可靠计量的，按公允价值计量，公允价值变动计入其他综合收益。对于此类金融资产采用公允价值进行后续计量，除减值损失及外币货币性金融资产形成的汇兑损益外，可供出售金融资产公允价值变动直接计入股东权益，待该金融资产终止确认时，原直接计入权益的公允价值变动累计额转入当期损益。可供出售债务工具投资在持有期间按实际利率法计算的利息，以及被投资单位宣告发放的与可供出售权益工具投资相关的现金股利，作为投资收益计入当期损益。对于在活跃市场中没有报价且其公允价值不能可靠计量的权益工具投资，按成本计量。</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ascii="宋体" w:hAnsi="宋体" w:cs="宋体"/>
          <w:kern w:val="0"/>
          <w:sz w:val="21"/>
          <w:szCs w:val="24"/>
          <w:lang w:val="zh-CN"/>
        </w:rPr>
        <w:t>2</w:t>
      </w:r>
      <w:r>
        <w:rPr>
          <w:rFonts w:hint="eastAsia" w:ascii="宋体" w:hAnsi="宋体" w:cs="宋体"/>
          <w:kern w:val="0"/>
          <w:sz w:val="21"/>
          <w:szCs w:val="24"/>
          <w:lang w:val="zh-CN"/>
        </w:rPr>
        <w:t>）</w:t>
      </w:r>
      <w:r>
        <w:rPr>
          <w:rFonts w:ascii="宋体" w:cs="宋体"/>
          <w:kern w:val="0"/>
          <w:sz w:val="21"/>
          <w:szCs w:val="24"/>
          <w:lang w:val="zh-CN"/>
        </w:rPr>
        <w:tab/>
      </w:r>
      <w:r>
        <w:rPr>
          <w:rFonts w:hint="eastAsia" w:ascii="宋体" w:hAnsi="宋体" w:cs="宋体"/>
          <w:kern w:val="0"/>
          <w:sz w:val="21"/>
          <w:szCs w:val="24"/>
          <w:lang w:val="zh-CN"/>
        </w:rPr>
        <w:t>金融资产转移的确认依据和计量方法</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金融资产满足下列条件之一的，予以终止确认：①收取该金融资产现金流量的合同权利终止；②该金融资产已转移，且本集团将金融资产所有权上几乎所有的风险和报酬转移给转入方；③该金融资产已转移，虽然本集团既没有转移也没有保留金融资产所有权上几乎所有的风险和报酬，但是放弃了对该金融资产控制。</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企业既没有转移也没有保留金融资产所有权上几乎所有的风险和报酬，且未放弃对该金融资产控制的，则按照其继续涉入所转移金融资产的程度确认有关金融资产，并相应确认有关负债。</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金融资产整体转移满足终止确认条件的，将所转移金融资产的账面价值，与因转移而收到的对价及原计入其他综合收益的公允价值变动累计额之和的差额计入当期损益。</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金融资产部分转移满足终止确认条件的，将所转移金融资产整体的账面价值，在终止确认部分和未终止确认部分之间，按照各自的相对公允价值进行分摊，并将因转移而收到的对价及应分摊至终止确认部分的原计入其他综合收益的公允价值变动累计额之和，与分摊的前述账面金额的差额计入当期损益。</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ascii="宋体" w:hAnsi="宋体" w:cs="宋体"/>
          <w:kern w:val="0"/>
          <w:sz w:val="21"/>
          <w:szCs w:val="24"/>
          <w:lang w:val="zh-CN"/>
        </w:rPr>
        <w:t>3</w:t>
      </w:r>
      <w:r>
        <w:rPr>
          <w:rFonts w:hint="eastAsia" w:ascii="宋体" w:hAnsi="宋体" w:cs="宋体"/>
          <w:kern w:val="0"/>
          <w:sz w:val="21"/>
          <w:szCs w:val="24"/>
          <w:lang w:val="zh-CN"/>
        </w:rPr>
        <w:t>）</w:t>
      </w:r>
      <w:r>
        <w:rPr>
          <w:rFonts w:ascii="宋体" w:cs="宋体"/>
          <w:kern w:val="0"/>
          <w:sz w:val="21"/>
          <w:szCs w:val="24"/>
          <w:lang w:val="zh-CN"/>
        </w:rPr>
        <w:tab/>
      </w:r>
      <w:r>
        <w:rPr>
          <w:rFonts w:hint="eastAsia" w:ascii="宋体" w:hAnsi="宋体" w:cs="宋体"/>
          <w:kern w:val="0"/>
          <w:sz w:val="21"/>
          <w:szCs w:val="24"/>
          <w:lang w:val="zh-CN"/>
        </w:rPr>
        <w:t>金融资产减值的测试方法及会计处理方法</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本集团于资产负债表日对金融资产的账面价值进行检查，如果有客观证据表明某项金融资产发生减值的，计提减值准备。</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以摊余成本计量的金融资产发生减值时，按预计未来现金流量</w:t>
      </w:r>
      <w:r>
        <w:rPr>
          <w:rFonts w:ascii="宋体" w:hAnsi="宋体" w:cs="宋体"/>
          <w:kern w:val="0"/>
          <w:sz w:val="21"/>
          <w:szCs w:val="24"/>
          <w:lang w:val="zh-CN"/>
        </w:rPr>
        <w:t>(</w:t>
      </w:r>
      <w:r>
        <w:rPr>
          <w:rFonts w:hint="eastAsia" w:ascii="宋体" w:hAnsi="宋体" w:cs="宋体"/>
          <w:kern w:val="0"/>
          <w:sz w:val="21"/>
          <w:szCs w:val="24"/>
          <w:lang w:val="zh-CN"/>
        </w:rPr>
        <w:t>不包括尚未发生的未来信用损失</w:t>
      </w:r>
      <w:r>
        <w:rPr>
          <w:rFonts w:ascii="宋体" w:hAnsi="宋体" w:cs="宋体"/>
          <w:kern w:val="0"/>
          <w:sz w:val="21"/>
          <w:szCs w:val="24"/>
          <w:lang w:val="zh-CN"/>
        </w:rPr>
        <w:t>)</w:t>
      </w:r>
      <w:r>
        <w:rPr>
          <w:rFonts w:hint="eastAsia" w:ascii="宋体" w:hAnsi="宋体" w:cs="宋体"/>
          <w:kern w:val="0"/>
          <w:sz w:val="21"/>
          <w:szCs w:val="24"/>
          <w:lang w:val="zh-CN"/>
        </w:rPr>
        <w:t>现值低于账面价值的差额，计提减值准备。如果有客观证据表明该金融资产价值已恢复，且客观上与确认该损失后发生的事项有关，原确认的减值损失予以转回，计入当期损益。</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当可供出售金融资产发生减值，原直接计入所有者权益的因公允价值下降形成的累计损失予以转出并计入减值损失。对已确认减值损失的可供出售债务工具投资，在期后公允价值上升且客观上与确认原减值损失后发生的事项有关的，原确认的减值损失予以转回并计入当期损益。对已确认减值损失的可供出售权益工具投资，期后公允价值上升直接计入所有者权益。</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ascii="宋体" w:hAnsi="宋体" w:cs="宋体"/>
          <w:kern w:val="0"/>
          <w:sz w:val="21"/>
          <w:szCs w:val="24"/>
          <w:lang w:val="zh-CN"/>
        </w:rPr>
        <w:t>(2)</w:t>
      </w:r>
      <w:r>
        <w:rPr>
          <w:rFonts w:ascii="宋体" w:hAnsi="宋体" w:cs="宋体"/>
          <w:kern w:val="0"/>
          <w:sz w:val="21"/>
          <w:szCs w:val="24"/>
          <w:lang w:val="zh-CN"/>
        </w:rPr>
        <w:tab/>
      </w:r>
      <w:r>
        <w:rPr>
          <w:rFonts w:hint="eastAsia" w:ascii="宋体" w:hAnsi="宋体" w:cs="宋体"/>
          <w:kern w:val="0"/>
          <w:sz w:val="21"/>
          <w:szCs w:val="24"/>
          <w:lang w:val="zh-CN"/>
        </w:rPr>
        <w:t>金融负债</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ascii="宋体" w:hAnsi="宋体" w:cs="宋体"/>
          <w:kern w:val="0"/>
          <w:sz w:val="21"/>
          <w:szCs w:val="24"/>
          <w:lang w:val="zh-CN"/>
        </w:rPr>
        <w:t>1</w:t>
      </w:r>
      <w:r>
        <w:rPr>
          <w:rFonts w:hint="eastAsia" w:ascii="宋体" w:hAnsi="宋体" w:cs="宋体"/>
          <w:kern w:val="0"/>
          <w:sz w:val="21"/>
          <w:szCs w:val="24"/>
          <w:lang w:val="zh-CN"/>
        </w:rPr>
        <w:t>）</w:t>
      </w:r>
      <w:r>
        <w:rPr>
          <w:rFonts w:ascii="宋体" w:cs="宋体"/>
          <w:kern w:val="0"/>
          <w:sz w:val="21"/>
          <w:szCs w:val="24"/>
          <w:lang w:val="zh-CN"/>
        </w:rPr>
        <w:tab/>
      </w:r>
      <w:r>
        <w:rPr>
          <w:rFonts w:hint="eastAsia" w:ascii="宋体" w:hAnsi="宋体" w:cs="宋体"/>
          <w:kern w:val="0"/>
          <w:sz w:val="21"/>
          <w:szCs w:val="24"/>
          <w:lang w:val="zh-CN"/>
        </w:rPr>
        <w:t>金融负债分类、确认依据和计量方法</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金融负债于初始确认时分类为以公允价值计量且其变动计入当期损益的金融负债和其他金融负债。本集团的金融负债为其他金融负债。</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其他金融负债采用实际利率法，按照摊余成本进行后续计量。</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ascii="宋体" w:hAnsi="宋体" w:cs="宋体"/>
          <w:kern w:val="0"/>
          <w:sz w:val="21"/>
          <w:szCs w:val="24"/>
          <w:lang w:val="zh-CN"/>
        </w:rPr>
        <w:t>2</w:t>
      </w:r>
      <w:r>
        <w:rPr>
          <w:rFonts w:hint="eastAsia" w:ascii="宋体" w:hAnsi="宋体" w:cs="宋体"/>
          <w:kern w:val="0"/>
          <w:sz w:val="21"/>
          <w:szCs w:val="24"/>
          <w:lang w:val="zh-CN"/>
        </w:rPr>
        <w:t>）</w:t>
      </w:r>
      <w:r>
        <w:rPr>
          <w:rFonts w:ascii="宋体" w:cs="宋体"/>
          <w:kern w:val="0"/>
          <w:sz w:val="21"/>
          <w:szCs w:val="24"/>
          <w:lang w:val="zh-CN"/>
        </w:rPr>
        <w:tab/>
      </w:r>
      <w:r>
        <w:rPr>
          <w:rFonts w:hint="eastAsia" w:ascii="宋体" w:hAnsi="宋体" w:cs="宋体"/>
          <w:kern w:val="0"/>
          <w:sz w:val="21"/>
          <w:szCs w:val="24"/>
          <w:lang w:val="zh-CN"/>
        </w:rPr>
        <w:t>金融负债终止确认条件</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当金融负债的现时义务全部或部分已经解除时，终止确认该金融负债或义务已解除的部分。终止确认部分的账面价值与支付的对价之间的差额，计入当期损益。</w:t>
      </w:r>
    </w:p>
    <w:p>
      <w:pPr>
        <w:pStyle w:val="11"/>
        <w:outlineLvl w:val="2"/>
        <w:rPr>
          <w:bCs w:val="0"/>
          <w:szCs w:val="24"/>
        </w:rPr>
      </w:pPr>
      <w:r>
        <w:rPr>
          <w:bCs w:val="0"/>
          <w:szCs w:val="24"/>
        </w:rPr>
        <w:t>10</w:t>
      </w:r>
      <w:r>
        <w:rPr>
          <w:rFonts w:hint="eastAsia"/>
          <w:bCs w:val="0"/>
          <w:szCs w:val="24"/>
        </w:rPr>
        <w:t>、应收款项</w:t>
      </w:r>
    </w:p>
    <w:p>
      <w:pPr>
        <w:pStyle w:val="11"/>
        <w:outlineLvl w:val="3"/>
        <w:rPr>
          <w:bCs w:val="0"/>
          <w:szCs w:val="24"/>
        </w:rPr>
      </w:pPr>
      <w:r>
        <w:rPr>
          <w:rFonts w:hint="eastAsia"/>
          <w:bCs w:val="0"/>
          <w:szCs w:val="24"/>
        </w:rPr>
        <w:t>（</w:t>
      </w:r>
      <w:r>
        <w:rPr>
          <w:bCs w:val="0"/>
          <w:szCs w:val="24"/>
        </w:rPr>
        <w:t>1</w:t>
      </w:r>
      <w:r>
        <w:rPr>
          <w:rFonts w:hint="eastAsia"/>
          <w:bCs w:val="0"/>
          <w:szCs w:val="24"/>
        </w:rPr>
        <w:t>）单项金额重大并单独计提坏账准备的应收款项</w:t>
      </w:r>
    </w:p>
    <w:tbl>
      <w:tblPr>
        <w:tblStyle w:val="8"/>
        <w:tblW w:w="9568" w:type="dxa"/>
        <w:tblInd w:w="28" w:type="dxa"/>
        <w:tblLayout w:type="fixed"/>
        <w:tblCellMar>
          <w:top w:w="0" w:type="dxa"/>
          <w:left w:w="28" w:type="dxa"/>
          <w:bottom w:w="0" w:type="dxa"/>
          <w:right w:w="28" w:type="dxa"/>
        </w:tblCellMar>
      </w:tblPr>
      <w:tblGrid>
        <w:gridCol w:w="4784"/>
        <w:gridCol w:w="4784"/>
      </w:tblGrid>
      <w:tr>
        <w:tblPrEx>
          <w:tblLayout w:type="fixed"/>
        </w:tblPrEx>
        <w:tc>
          <w:tcPr>
            <w:tcW w:w="478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单项金额重大的判断依据或金额标准</w:t>
            </w:r>
          </w:p>
        </w:tc>
        <w:tc>
          <w:tcPr>
            <w:tcW w:w="47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将单项金额超过</w:t>
            </w:r>
            <w:r>
              <w:rPr>
                <w:sz w:val="21"/>
                <w:szCs w:val="21"/>
              </w:rPr>
              <w:t>100</w:t>
            </w:r>
            <w:r>
              <w:rPr>
                <w:rFonts w:hint="eastAsia"/>
                <w:sz w:val="21"/>
                <w:szCs w:val="21"/>
              </w:rPr>
              <w:t>万元的应收款项视为重大应收款项</w:t>
            </w:r>
          </w:p>
        </w:tc>
      </w:tr>
      <w:tr>
        <w:tblPrEx>
          <w:tblLayout w:type="fixed"/>
          <w:tblCellMar>
            <w:top w:w="0" w:type="dxa"/>
            <w:left w:w="28" w:type="dxa"/>
            <w:bottom w:w="0" w:type="dxa"/>
            <w:right w:w="28" w:type="dxa"/>
          </w:tblCellMar>
        </w:tblPrEx>
        <w:tc>
          <w:tcPr>
            <w:tcW w:w="478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单项金额重大并单项计提坏账准备的计提方法</w:t>
            </w:r>
          </w:p>
        </w:tc>
        <w:tc>
          <w:tcPr>
            <w:tcW w:w="47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根据其未来现金流量现值低于其账面价值的差额计提坏账准备</w:t>
            </w:r>
          </w:p>
        </w:tc>
      </w:tr>
    </w:tbl>
    <w:p>
      <w:pPr>
        <w:pStyle w:val="11"/>
        <w:outlineLvl w:val="3"/>
        <w:rPr>
          <w:bCs w:val="0"/>
          <w:szCs w:val="24"/>
        </w:rPr>
      </w:pPr>
      <w:r>
        <w:rPr>
          <w:rFonts w:hint="eastAsia"/>
          <w:bCs w:val="0"/>
          <w:szCs w:val="24"/>
        </w:rPr>
        <w:t>（</w:t>
      </w:r>
      <w:r>
        <w:rPr>
          <w:bCs w:val="0"/>
          <w:szCs w:val="24"/>
        </w:rPr>
        <w:t>2</w:t>
      </w:r>
      <w:r>
        <w:rPr>
          <w:rFonts w:hint="eastAsia"/>
          <w:bCs w:val="0"/>
          <w:szCs w:val="24"/>
        </w:rPr>
        <w:t>）按信用风险特征组合计提坏账准备的应收款项</w:t>
      </w:r>
    </w:p>
    <w:tbl>
      <w:tblPr>
        <w:tblStyle w:val="8"/>
        <w:tblW w:w="9568" w:type="dxa"/>
        <w:tblInd w:w="28" w:type="dxa"/>
        <w:tblLayout w:type="fixed"/>
        <w:tblCellMar>
          <w:top w:w="0" w:type="dxa"/>
          <w:left w:w="28" w:type="dxa"/>
          <w:bottom w:w="0" w:type="dxa"/>
          <w:right w:w="28" w:type="dxa"/>
        </w:tblCellMar>
      </w:tblPr>
      <w:tblGrid>
        <w:gridCol w:w="4784"/>
        <w:gridCol w:w="4784"/>
      </w:tblGrid>
      <w:tr>
        <w:tblPrEx>
          <w:tblLayout w:type="fixed"/>
          <w:tblCellMar>
            <w:top w:w="0" w:type="dxa"/>
            <w:left w:w="28" w:type="dxa"/>
            <w:bottom w:w="0" w:type="dxa"/>
            <w:right w:w="28" w:type="dxa"/>
          </w:tblCellMar>
        </w:tblPrEx>
        <w:tc>
          <w:tcPr>
            <w:tcW w:w="478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组合名称</w:t>
            </w:r>
          </w:p>
        </w:tc>
        <w:tc>
          <w:tcPr>
            <w:tcW w:w="478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坏账准备计提方法</w:t>
            </w:r>
          </w:p>
        </w:tc>
      </w:tr>
      <w:tr>
        <w:tblPrEx>
          <w:tblLayout w:type="fixed"/>
          <w:tblCellMar>
            <w:top w:w="0" w:type="dxa"/>
            <w:left w:w="28" w:type="dxa"/>
            <w:bottom w:w="0" w:type="dxa"/>
            <w:right w:w="28" w:type="dxa"/>
          </w:tblCellMar>
        </w:tblPrEx>
        <w:tc>
          <w:tcPr>
            <w:tcW w:w="47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账龄组合</w:t>
            </w:r>
          </w:p>
        </w:tc>
        <w:tc>
          <w:tcPr>
            <w:tcW w:w="47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账龄分析法</w:t>
            </w:r>
          </w:p>
        </w:tc>
      </w:tr>
      <w:tr>
        <w:tblPrEx>
          <w:tblLayout w:type="fixed"/>
          <w:tblCellMar>
            <w:top w:w="0" w:type="dxa"/>
            <w:left w:w="28" w:type="dxa"/>
            <w:bottom w:w="0" w:type="dxa"/>
            <w:right w:w="28" w:type="dxa"/>
          </w:tblCellMar>
        </w:tblPrEx>
        <w:tc>
          <w:tcPr>
            <w:tcW w:w="47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与交易对象关系组合</w:t>
            </w:r>
          </w:p>
        </w:tc>
        <w:tc>
          <w:tcPr>
            <w:tcW w:w="47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p>
        </w:tc>
      </w:tr>
      <w:tr>
        <w:tblPrEx>
          <w:tblLayout w:type="fixed"/>
          <w:tblCellMar>
            <w:top w:w="0" w:type="dxa"/>
            <w:left w:w="28" w:type="dxa"/>
            <w:bottom w:w="0" w:type="dxa"/>
            <w:right w:w="28" w:type="dxa"/>
          </w:tblCellMar>
        </w:tblPrEx>
        <w:tc>
          <w:tcPr>
            <w:tcW w:w="47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项性质组合</w:t>
            </w:r>
          </w:p>
        </w:tc>
        <w:tc>
          <w:tcPr>
            <w:tcW w:w="47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p>
        </w:tc>
      </w:tr>
    </w:tbl>
    <w:p>
      <w:pPr>
        <w:jc w:val="left"/>
        <w:rPr>
          <w:sz w:val="21"/>
          <w:szCs w:val="21"/>
        </w:rPr>
      </w:pPr>
      <w:r>
        <w:rPr>
          <w:rFonts w:hint="eastAsia"/>
          <w:sz w:val="21"/>
          <w:szCs w:val="21"/>
        </w:rPr>
        <w:t>组合中，采用账龄分析法计提坏账准备的：</w:t>
      </w:r>
    </w:p>
    <w:p>
      <w:pPr>
        <w:jc w:val="left"/>
        <w:rPr>
          <w:sz w:val="21"/>
          <w:szCs w:val="21"/>
        </w:rPr>
      </w:pPr>
      <w:r>
        <w:rPr>
          <w:sz w:val="21"/>
          <w:szCs w:val="21"/>
        </w:rPr>
        <w:t xml:space="preserve">√ </w:t>
      </w:r>
      <w:r>
        <w:rPr>
          <w:rFonts w:hint="eastAsia"/>
          <w:sz w:val="21"/>
          <w:szCs w:val="21"/>
        </w:rPr>
        <w:t>适用</w:t>
      </w:r>
      <w:r>
        <w:rPr>
          <w:sz w:val="21"/>
          <w:szCs w:val="21"/>
        </w:rPr>
        <w:t xml:space="preserve"> □ </w:t>
      </w:r>
      <w:r>
        <w:rPr>
          <w:rFonts w:hint="eastAsia"/>
          <w:sz w:val="21"/>
          <w:szCs w:val="21"/>
        </w:rPr>
        <w:t>不适用</w:t>
      </w:r>
      <w:r>
        <w:rPr>
          <w:sz w:val="21"/>
          <w:szCs w:val="21"/>
        </w:rPr>
        <w:t xml:space="preserve"> </w:t>
      </w:r>
    </w:p>
    <w:tbl>
      <w:tblPr>
        <w:tblStyle w:val="8"/>
        <w:tblW w:w="9569" w:type="dxa"/>
        <w:tblInd w:w="28" w:type="dxa"/>
        <w:tblLayout w:type="fixed"/>
        <w:tblCellMar>
          <w:top w:w="0" w:type="dxa"/>
          <w:left w:w="28" w:type="dxa"/>
          <w:bottom w:w="0" w:type="dxa"/>
          <w:right w:w="28" w:type="dxa"/>
        </w:tblCellMar>
      </w:tblPr>
      <w:tblGrid>
        <w:gridCol w:w="3189"/>
        <w:gridCol w:w="3190"/>
        <w:gridCol w:w="3190"/>
      </w:tblGrid>
      <w:tr>
        <w:tblPrEx>
          <w:tblLayout w:type="fixed"/>
          <w:tblCellMar>
            <w:top w:w="0" w:type="dxa"/>
            <w:left w:w="28" w:type="dxa"/>
            <w:bottom w:w="0" w:type="dxa"/>
            <w:right w:w="28" w:type="dxa"/>
          </w:tblCellMar>
        </w:tblPrEx>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账龄</w:t>
            </w:r>
          </w:p>
        </w:tc>
        <w:tc>
          <w:tcPr>
            <w:tcW w:w="319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应收账款计提比例</w:t>
            </w:r>
          </w:p>
        </w:tc>
        <w:tc>
          <w:tcPr>
            <w:tcW w:w="319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其他应收款计提比例</w:t>
            </w:r>
          </w:p>
        </w:tc>
      </w:tr>
      <w:tr>
        <w:tblPrEx>
          <w:tblLayout w:type="fixed"/>
          <w:tblCellMar>
            <w:top w:w="0" w:type="dxa"/>
            <w:left w:w="28" w:type="dxa"/>
            <w:bottom w:w="0" w:type="dxa"/>
            <w:right w:w="28" w:type="dxa"/>
          </w:tblCellMar>
        </w:tblPrEx>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1</w:t>
            </w:r>
            <w:r>
              <w:rPr>
                <w:rFonts w:hint="eastAsia"/>
                <w:sz w:val="21"/>
                <w:szCs w:val="21"/>
              </w:rPr>
              <w:t>年以内（含</w:t>
            </w:r>
            <w:r>
              <w:rPr>
                <w:sz w:val="21"/>
                <w:szCs w:val="21"/>
              </w:rPr>
              <w:t>1</w:t>
            </w:r>
            <w:r>
              <w:rPr>
                <w:rFonts w:hint="eastAsia"/>
                <w:sz w:val="21"/>
                <w:szCs w:val="21"/>
              </w:rPr>
              <w:t>年）</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5.00%</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5.00%</w:t>
            </w:r>
          </w:p>
        </w:tc>
      </w:tr>
      <w:tr>
        <w:tblPrEx>
          <w:tblLayout w:type="fixed"/>
          <w:tblCellMar>
            <w:top w:w="0" w:type="dxa"/>
            <w:left w:w="28" w:type="dxa"/>
            <w:bottom w:w="0" w:type="dxa"/>
            <w:right w:w="28" w:type="dxa"/>
          </w:tblCellMar>
        </w:tblPrEx>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1</w:t>
            </w:r>
            <w:r>
              <w:rPr>
                <w:rFonts w:hint="eastAsia"/>
                <w:sz w:val="21"/>
                <w:szCs w:val="21"/>
              </w:rPr>
              <w:t>－</w:t>
            </w:r>
            <w:r>
              <w:rPr>
                <w:sz w:val="21"/>
                <w:szCs w:val="21"/>
              </w:rPr>
              <w:t>2</w:t>
            </w:r>
            <w:r>
              <w:rPr>
                <w:rFonts w:hint="eastAsia"/>
                <w:sz w:val="21"/>
                <w:szCs w:val="21"/>
              </w:rPr>
              <w:t>年</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10.00%</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10.00%</w:t>
            </w:r>
          </w:p>
        </w:tc>
      </w:tr>
      <w:tr>
        <w:tblPrEx>
          <w:tblLayout w:type="fixed"/>
          <w:tblCellMar>
            <w:top w:w="0" w:type="dxa"/>
            <w:left w:w="28" w:type="dxa"/>
            <w:bottom w:w="0" w:type="dxa"/>
            <w:right w:w="28" w:type="dxa"/>
          </w:tblCellMar>
        </w:tblPrEx>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2</w:t>
            </w:r>
            <w:r>
              <w:rPr>
                <w:rFonts w:hint="eastAsia"/>
                <w:sz w:val="21"/>
                <w:szCs w:val="21"/>
              </w:rPr>
              <w:t>－</w:t>
            </w:r>
            <w:r>
              <w:rPr>
                <w:sz w:val="21"/>
                <w:szCs w:val="21"/>
              </w:rPr>
              <w:t>3</w:t>
            </w:r>
            <w:r>
              <w:rPr>
                <w:rFonts w:hint="eastAsia"/>
                <w:sz w:val="21"/>
                <w:szCs w:val="21"/>
              </w:rPr>
              <w:t>年</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30.00%</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30.00%</w:t>
            </w:r>
          </w:p>
        </w:tc>
      </w:tr>
      <w:tr>
        <w:tblPrEx>
          <w:tblLayout w:type="fixed"/>
          <w:tblCellMar>
            <w:top w:w="0" w:type="dxa"/>
            <w:left w:w="28" w:type="dxa"/>
            <w:bottom w:w="0" w:type="dxa"/>
            <w:right w:w="28" w:type="dxa"/>
          </w:tblCellMar>
        </w:tblPrEx>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3</w:t>
            </w:r>
            <w:r>
              <w:rPr>
                <w:rFonts w:hint="eastAsia"/>
                <w:sz w:val="21"/>
                <w:szCs w:val="21"/>
              </w:rPr>
              <w:t>－</w:t>
            </w:r>
            <w:r>
              <w:rPr>
                <w:sz w:val="21"/>
                <w:szCs w:val="21"/>
              </w:rPr>
              <w:t>4</w:t>
            </w:r>
            <w:r>
              <w:rPr>
                <w:rFonts w:hint="eastAsia"/>
                <w:sz w:val="21"/>
                <w:szCs w:val="21"/>
              </w:rPr>
              <w:t>年</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50.00%</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50.00%</w:t>
            </w:r>
          </w:p>
        </w:tc>
      </w:tr>
      <w:tr>
        <w:tblPrEx>
          <w:tblLayout w:type="fixed"/>
          <w:tblCellMar>
            <w:top w:w="0" w:type="dxa"/>
            <w:left w:w="28" w:type="dxa"/>
            <w:bottom w:w="0" w:type="dxa"/>
            <w:right w:w="28" w:type="dxa"/>
          </w:tblCellMar>
        </w:tblPrEx>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4</w:t>
            </w:r>
            <w:r>
              <w:rPr>
                <w:rFonts w:hint="eastAsia"/>
                <w:sz w:val="21"/>
                <w:szCs w:val="21"/>
              </w:rPr>
              <w:t>－</w:t>
            </w:r>
            <w:r>
              <w:rPr>
                <w:sz w:val="21"/>
                <w:szCs w:val="21"/>
              </w:rPr>
              <w:t>5</w:t>
            </w:r>
            <w:r>
              <w:rPr>
                <w:rFonts w:hint="eastAsia"/>
                <w:sz w:val="21"/>
                <w:szCs w:val="21"/>
              </w:rPr>
              <w:t>年</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80.00%</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80.00%</w:t>
            </w:r>
          </w:p>
        </w:tc>
      </w:tr>
      <w:tr>
        <w:tblPrEx>
          <w:tblLayout w:type="fixed"/>
          <w:tblCellMar>
            <w:top w:w="0" w:type="dxa"/>
            <w:left w:w="28" w:type="dxa"/>
            <w:bottom w:w="0" w:type="dxa"/>
            <w:right w:w="28" w:type="dxa"/>
          </w:tblCellMar>
        </w:tblPrEx>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5</w:t>
            </w:r>
            <w:r>
              <w:rPr>
                <w:rFonts w:hint="eastAsia"/>
                <w:sz w:val="21"/>
                <w:szCs w:val="21"/>
              </w:rPr>
              <w:t>年以上</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100.00%</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100.00%</w:t>
            </w:r>
          </w:p>
        </w:tc>
      </w:tr>
    </w:tbl>
    <w:p>
      <w:pPr>
        <w:jc w:val="left"/>
        <w:rPr>
          <w:sz w:val="21"/>
          <w:szCs w:val="21"/>
        </w:rPr>
      </w:pPr>
      <w:r>
        <w:rPr>
          <w:rFonts w:hint="eastAsia"/>
          <w:sz w:val="21"/>
          <w:szCs w:val="21"/>
        </w:rPr>
        <w:t>组合中，采用余额百分比法计提坏账准备的：</w:t>
      </w:r>
    </w:p>
    <w:p>
      <w:pPr>
        <w:jc w:val="left"/>
        <w:rPr>
          <w:sz w:val="21"/>
          <w:szCs w:val="21"/>
        </w:rPr>
      </w:pPr>
      <w:r>
        <w:rPr>
          <w:sz w:val="21"/>
          <w:szCs w:val="21"/>
        </w:rPr>
        <w:t xml:space="preserve">□ </w:t>
      </w:r>
      <w:r>
        <w:rPr>
          <w:rFonts w:hint="eastAsia"/>
          <w:sz w:val="21"/>
          <w:szCs w:val="21"/>
        </w:rPr>
        <w:t>适用</w:t>
      </w:r>
      <w:r>
        <w:rPr>
          <w:sz w:val="21"/>
          <w:szCs w:val="21"/>
        </w:rPr>
        <w:t xml:space="preserve"> √ </w:t>
      </w:r>
      <w:r>
        <w:rPr>
          <w:rFonts w:hint="eastAsia"/>
          <w:sz w:val="21"/>
          <w:szCs w:val="21"/>
        </w:rPr>
        <w:t>不适用</w:t>
      </w:r>
      <w:r>
        <w:rPr>
          <w:sz w:val="21"/>
          <w:szCs w:val="21"/>
        </w:rPr>
        <w:t xml:space="preserve"> </w:t>
      </w:r>
    </w:p>
    <w:p>
      <w:pPr>
        <w:jc w:val="left"/>
        <w:rPr>
          <w:sz w:val="21"/>
          <w:szCs w:val="21"/>
        </w:rPr>
      </w:pPr>
      <w:r>
        <w:rPr>
          <w:rFonts w:hint="eastAsia"/>
          <w:sz w:val="21"/>
          <w:szCs w:val="21"/>
        </w:rPr>
        <w:t>组合中，采用其他方法计提坏账准备的：</w:t>
      </w:r>
    </w:p>
    <w:p>
      <w:pPr>
        <w:jc w:val="left"/>
        <w:rPr>
          <w:sz w:val="21"/>
          <w:szCs w:val="21"/>
        </w:rPr>
      </w:pPr>
      <w:r>
        <w:rPr>
          <w:sz w:val="21"/>
          <w:szCs w:val="21"/>
        </w:rPr>
        <w:t xml:space="preserve">□ </w:t>
      </w:r>
      <w:r>
        <w:rPr>
          <w:rFonts w:hint="eastAsia"/>
          <w:sz w:val="21"/>
          <w:szCs w:val="21"/>
        </w:rPr>
        <w:t>适用</w:t>
      </w:r>
      <w:r>
        <w:rPr>
          <w:sz w:val="21"/>
          <w:szCs w:val="21"/>
        </w:rPr>
        <w:t xml:space="preserve"> √ </w:t>
      </w:r>
      <w:r>
        <w:rPr>
          <w:rFonts w:hint="eastAsia"/>
          <w:sz w:val="21"/>
          <w:szCs w:val="21"/>
        </w:rPr>
        <w:t>不适用</w:t>
      </w:r>
      <w:r>
        <w:rPr>
          <w:sz w:val="21"/>
          <w:szCs w:val="21"/>
        </w:rPr>
        <w:t xml:space="preserve"> </w:t>
      </w:r>
    </w:p>
    <w:p>
      <w:pPr>
        <w:pStyle w:val="11"/>
        <w:outlineLvl w:val="3"/>
        <w:rPr>
          <w:bCs w:val="0"/>
          <w:szCs w:val="24"/>
        </w:rPr>
      </w:pPr>
      <w:r>
        <w:rPr>
          <w:rFonts w:hint="eastAsia"/>
          <w:bCs w:val="0"/>
          <w:szCs w:val="24"/>
        </w:rPr>
        <w:t>（</w:t>
      </w:r>
      <w:r>
        <w:rPr>
          <w:bCs w:val="0"/>
          <w:szCs w:val="24"/>
        </w:rPr>
        <w:t>3</w:t>
      </w:r>
      <w:r>
        <w:rPr>
          <w:rFonts w:hint="eastAsia"/>
          <w:bCs w:val="0"/>
          <w:szCs w:val="24"/>
        </w:rPr>
        <w:t>）单项金额不重大但单独计提坏账准备的应收款项</w:t>
      </w:r>
    </w:p>
    <w:tbl>
      <w:tblPr>
        <w:tblStyle w:val="8"/>
        <w:tblW w:w="9568" w:type="dxa"/>
        <w:tblInd w:w="28" w:type="dxa"/>
        <w:tblLayout w:type="fixed"/>
        <w:tblCellMar>
          <w:top w:w="0" w:type="dxa"/>
          <w:left w:w="28" w:type="dxa"/>
          <w:bottom w:w="0" w:type="dxa"/>
          <w:right w:w="28" w:type="dxa"/>
        </w:tblCellMar>
      </w:tblPr>
      <w:tblGrid>
        <w:gridCol w:w="4784"/>
        <w:gridCol w:w="4784"/>
      </w:tblGrid>
      <w:tr>
        <w:tblPrEx>
          <w:tblLayout w:type="fixed"/>
          <w:tblCellMar>
            <w:top w:w="0" w:type="dxa"/>
            <w:left w:w="28" w:type="dxa"/>
            <w:bottom w:w="0" w:type="dxa"/>
            <w:right w:w="28" w:type="dxa"/>
          </w:tblCellMar>
        </w:tblPrEx>
        <w:tc>
          <w:tcPr>
            <w:tcW w:w="478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单项计提坏账准备的理由</w:t>
            </w:r>
          </w:p>
        </w:tc>
        <w:tc>
          <w:tcPr>
            <w:tcW w:w="47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单项金额不重大且按照组合计提坏账准备不能反映其风险特征的应收款项</w:t>
            </w:r>
          </w:p>
        </w:tc>
      </w:tr>
      <w:tr>
        <w:tblPrEx>
          <w:tblLayout w:type="fixed"/>
          <w:tblCellMar>
            <w:top w:w="0" w:type="dxa"/>
            <w:left w:w="28" w:type="dxa"/>
            <w:bottom w:w="0" w:type="dxa"/>
            <w:right w:w="28" w:type="dxa"/>
          </w:tblCellMar>
        </w:tblPrEx>
        <w:tc>
          <w:tcPr>
            <w:tcW w:w="478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坏账准备的计提方法</w:t>
            </w:r>
          </w:p>
        </w:tc>
        <w:tc>
          <w:tcPr>
            <w:tcW w:w="47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根据其未来现金流量现值低于其账面价值的差额，计提坏账准备</w:t>
            </w:r>
          </w:p>
        </w:tc>
      </w:tr>
    </w:tbl>
    <w:p>
      <w:pPr>
        <w:pStyle w:val="11"/>
        <w:outlineLvl w:val="2"/>
        <w:rPr>
          <w:bCs w:val="0"/>
          <w:szCs w:val="24"/>
        </w:rPr>
      </w:pPr>
      <w:r>
        <w:rPr>
          <w:bCs w:val="0"/>
          <w:szCs w:val="24"/>
        </w:rPr>
        <w:t>11</w:t>
      </w:r>
      <w:r>
        <w:rPr>
          <w:rFonts w:hint="eastAsia"/>
          <w:bCs w:val="0"/>
          <w:szCs w:val="24"/>
        </w:rPr>
        <w:t>、存货</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本集团存货主要包括原材料、在产品、发出商品、库存商品等。</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存货实行永续盘存制，存货在取得时按实际成本计价；领用或发出存货，采用加权平均法确定其实际成本。低值易耗品采用五五摊销法进行摊销，包装物采用一次摊销法摊销。</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期末存货按成本与可变现净值孰低原则计价，对于存货因遭受毁损、全部或部分陈旧过时或销售价格低于成本等原因，预计其成本不可收回的部分，提取存货跌价准备。</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库存商品、在产品和用于出售的材料等直接用于出售的商品存货，其可变现净值按该存货的估计售价减去估计的销售费用和相关税费后的金额确定；用于生产而持有的材料存货，其可变现净值按所生产的产成品的估计售价减去至完工时估计将要发生的成本、估计的销售费用和相关税费后的金额确定。</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本集团存货主要包括原材料、在产品、发出商品、库存商品等。</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存货实行永续盘存制，存货在取得时按实际成本计价；领用或发出存货，采用加权平均法确定其实际成本。低值易耗品采用五五摊销法进行摊销，包装物采用一次摊销法摊销。</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期末存货按成本与可变现净值孰低原则计价，对于存货因遭受毁损、全部或部分陈旧过时或销售价格低于成本等原因，预计其成本不可收回的部分，提取存货跌价准备。</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库存商品、在产品和用于出售的材料等直接用于出售的商品存货，其可变现净值按该存货的估计售价减去估计的销售费用和相关税费后的金额确定；用于生产而持有的材料存货，其可变现净值按所生产的产成品的估计售价减去至完工时估计将要发生的成本、估计的销售费用和相关税费后的金额确定。</w:t>
      </w:r>
    </w:p>
    <w:p>
      <w:pPr>
        <w:pStyle w:val="11"/>
        <w:outlineLvl w:val="2"/>
        <w:rPr>
          <w:bCs w:val="0"/>
          <w:szCs w:val="24"/>
        </w:rPr>
      </w:pPr>
      <w:r>
        <w:rPr>
          <w:bCs w:val="0"/>
          <w:szCs w:val="24"/>
        </w:rPr>
        <w:t>12</w:t>
      </w:r>
      <w:r>
        <w:rPr>
          <w:rFonts w:hint="eastAsia"/>
          <w:bCs w:val="0"/>
          <w:szCs w:val="24"/>
        </w:rPr>
        <w:t>、长期股权投资</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本集团长期股权投资主要是对子公司的投资和对联营企业的投资。</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本集团直接或通过子公司间接拥有被投资单位</w:t>
      </w:r>
      <w:r>
        <w:rPr>
          <w:rFonts w:ascii="宋体" w:hAnsi="宋体" w:cs="宋体"/>
          <w:kern w:val="0"/>
          <w:sz w:val="21"/>
          <w:szCs w:val="24"/>
          <w:lang w:val="zh-CN"/>
        </w:rPr>
        <w:t>20</w:t>
      </w:r>
      <w:r>
        <w:rPr>
          <w:rFonts w:hint="eastAsia" w:ascii="宋体" w:hAnsi="宋体" w:cs="宋体"/>
          <w:kern w:val="0"/>
          <w:sz w:val="21"/>
          <w:szCs w:val="24"/>
          <w:lang w:val="zh-CN"/>
        </w:rPr>
        <w:t>％（含）以上但低于</w:t>
      </w:r>
      <w:r>
        <w:rPr>
          <w:rFonts w:ascii="宋体" w:hAnsi="宋体" w:cs="宋体"/>
          <w:kern w:val="0"/>
          <w:sz w:val="21"/>
          <w:szCs w:val="24"/>
          <w:lang w:val="zh-CN"/>
        </w:rPr>
        <w:t>50</w:t>
      </w:r>
      <w:r>
        <w:rPr>
          <w:rFonts w:hint="eastAsia" w:ascii="宋体" w:hAnsi="宋体" w:cs="宋体"/>
          <w:kern w:val="0"/>
          <w:sz w:val="21"/>
          <w:szCs w:val="24"/>
          <w:lang w:val="zh-CN"/>
        </w:rPr>
        <w:t>％的表决权时，通常认为对被投资单位具有重大影响。持有被投资单位</w:t>
      </w:r>
      <w:r>
        <w:rPr>
          <w:rFonts w:ascii="宋体" w:hAnsi="宋体" w:cs="宋体"/>
          <w:kern w:val="0"/>
          <w:sz w:val="21"/>
          <w:szCs w:val="24"/>
          <w:lang w:val="zh-CN"/>
        </w:rPr>
        <w:t>20%</w:t>
      </w:r>
      <w:r>
        <w:rPr>
          <w:rFonts w:hint="eastAsia" w:ascii="宋体" w:hAnsi="宋体" w:cs="宋体"/>
          <w:kern w:val="0"/>
          <w:sz w:val="21"/>
          <w:szCs w:val="24"/>
          <w:lang w:val="zh-CN"/>
        </w:rPr>
        <w:t>以下表决权的，还需要综合考虑在被投资单位的董事会或类似权力机构中派有代表、或参与被投资单位财务和经营政策制定过程、或与被投资单位之间发生重要交易、或向被投资单位派出管理人员、或向被投资单位提供关键技术资料等事实和情况判断对被投资单位具有重大影响。</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对被投资单位形成控制的，为本集团的子公司。通过同一控制下的企业合并取得的长期股权投资，在合并日按照取得被合并方在最终控制方合并报表中净资产的账面价值的份额作为长期股权投资的初始投资成本。被合并方在合并日的净资产账面价值为负数的，长期股权投资成本按零确定。通过非同一控制下的企业合并取得的长期股权投资，以合并成本作为初始投资成本。</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除上述通过企业合并取得的长期股权投资外，以支付现金取得的长期股权投资，按照实际支付的购买价款作为投资成本；以发行权益性证券取得的长期股权投资，按照发行权益性证券的公允价值作为投资成本；投资者投入的长期股权投资，按照投资合同或协议约定的价值作为投资成本；</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本集团对子公司投资采用成本法核算，对联营企业投资采用权益法核算。</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后续计量采用成本法核算的长期股权投资，在追加投资时，按照追加投资支付的成本额公允价值及发生的相关交易费用增加长期股权投资成本的账面价值。被投资单位宣告分派的现金股利或利润，按照应享有的金额确认为当期投资收益。</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后续计量采用权益法核算的长期股权投资，随着被投资单位所有者权益的变动相应调整增加或减少长期股权投资的账面价值。其中在确认应享有被投资单位净损益的份额时，以取得投资时被投资单位各项可辨认资产等的公允价值为基础，按照本集团的会计政策及会计期间，并抵销与联营企业之间发生的内部交易损益按照持股比例计算归属于投资企业的部分，对被投资单位的净利润进行调整后确认。</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处置长期股权投资，其账面价值与实际取得价款的差额，计入当期投资收益。采用权益法核算的长期股权投资，因被投资单位除净损益以外所有者权益的其他变动而计入所有者权益的，处置该项投资时将原计入所有者权益的部分按相应比例转入当期投资损益。</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因处置部分股权投资等原因丧失了对被投资单位的共同控制或重大影响的，处置后的剩余股权改按可供出售金融资产核算，剩余股权在丧失共同控制或重大影响之日的公允价值与账面价值之间的差额计入当期损益。原股权投资因采用权益法核算而确认的其他综合收益，在终止采用权益法核算时采用与被投资单位直接处置相关资产或负债相同的基础进行会计处理。</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因处置部分长期股权投资丧失了对被投资单位控制的，处置后的剩余股权能够对被投资单位实施共同控制或施加重大影响的，改按权益法核算，处置股权账面价值和处置对价的差额计入投资收益，并对该剩余股权视同自取得时即采用权益法核算进行调整；处置后的剩余股权不能对被投资单位实施共同控制或施加重大影响的，改按可供出售金融资产的有关规定进行会计处理，处置股权账面价值和处置对价的差额计入投资收益，剩余股权在丧失控制之日的公允价值与账面价值间的差额计入当期投资损益。</w:t>
      </w:r>
    </w:p>
    <w:p>
      <w:pPr>
        <w:pStyle w:val="11"/>
        <w:outlineLvl w:val="2"/>
        <w:rPr>
          <w:bCs w:val="0"/>
          <w:szCs w:val="24"/>
        </w:rPr>
      </w:pPr>
      <w:r>
        <w:rPr>
          <w:bCs w:val="0"/>
          <w:szCs w:val="24"/>
        </w:rPr>
        <w:t>13</w:t>
      </w:r>
      <w:r>
        <w:rPr>
          <w:rFonts w:hint="eastAsia"/>
          <w:bCs w:val="0"/>
          <w:szCs w:val="24"/>
        </w:rPr>
        <w:t>、固定资产</w:t>
      </w:r>
    </w:p>
    <w:p>
      <w:pPr>
        <w:pStyle w:val="11"/>
        <w:outlineLvl w:val="3"/>
        <w:rPr>
          <w:bCs w:val="0"/>
          <w:szCs w:val="24"/>
        </w:rPr>
      </w:pPr>
      <w:r>
        <w:rPr>
          <w:rFonts w:hint="eastAsia"/>
          <w:bCs w:val="0"/>
          <w:szCs w:val="24"/>
        </w:rPr>
        <w:t>（</w:t>
      </w:r>
      <w:r>
        <w:rPr>
          <w:bCs w:val="0"/>
          <w:szCs w:val="24"/>
        </w:rPr>
        <w:t>1</w:t>
      </w:r>
      <w:r>
        <w:rPr>
          <w:rFonts w:hint="eastAsia"/>
          <w:bCs w:val="0"/>
          <w:szCs w:val="24"/>
        </w:rPr>
        <w:t>）确认条件</w:t>
      </w:r>
    </w:p>
    <w:p>
      <w:pPr>
        <w:autoSpaceDE w:val="0"/>
        <w:autoSpaceDN w:val="0"/>
        <w:adjustRightInd w:val="0"/>
        <w:spacing w:before="240" w:after="0"/>
        <w:ind w:firstLine="420"/>
        <w:rPr>
          <w:rFonts w:ascii="宋体" w:cs="宋体"/>
          <w:kern w:val="0"/>
          <w:sz w:val="22"/>
          <w:szCs w:val="24"/>
          <w:lang w:val="zh-CN"/>
        </w:rPr>
      </w:pPr>
      <w:r>
        <w:rPr>
          <w:rFonts w:hint="eastAsia" w:ascii="宋体" w:hAnsi="宋体" w:cs="宋体"/>
          <w:kern w:val="0"/>
          <w:sz w:val="22"/>
          <w:szCs w:val="24"/>
          <w:lang w:val="zh-CN"/>
        </w:rPr>
        <w:t>本集团固定资产是指同时具有以下特征，即为生产商品、提供劳务、出租或经营管理而持有的，使用年限超过一年的有形资产。</w:t>
      </w:r>
    </w:p>
    <w:p>
      <w:pPr>
        <w:pStyle w:val="11"/>
        <w:outlineLvl w:val="3"/>
        <w:rPr>
          <w:bCs w:val="0"/>
          <w:szCs w:val="24"/>
        </w:rPr>
      </w:pPr>
      <w:r>
        <w:rPr>
          <w:rFonts w:hint="eastAsia"/>
          <w:bCs w:val="0"/>
          <w:szCs w:val="24"/>
        </w:rPr>
        <w:t>（</w:t>
      </w:r>
      <w:r>
        <w:rPr>
          <w:bCs w:val="0"/>
          <w:szCs w:val="24"/>
        </w:rPr>
        <w:t>2</w:t>
      </w:r>
      <w:r>
        <w:rPr>
          <w:rFonts w:hint="eastAsia"/>
          <w:bCs w:val="0"/>
          <w:szCs w:val="24"/>
        </w:rPr>
        <w:t>）折旧方法</w:t>
      </w:r>
    </w:p>
    <w:tbl>
      <w:tblPr>
        <w:tblStyle w:val="8"/>
        <w:tblW w:w="9570" w:type="dxa"/>
        <w:tblInd w:w="28" w:type="dxa"/>
        <w:tblLayout w:type="fixed"/>
        <w:tblCellMar>
          <w:top w:w="0" w:type="dxa"/>
          <w:left w:w="28" w:type="dxa"/>
          <w:bottom w:w="0" w:type="dxa"/>
          <w:right w:w="28" w:type="dxa"/>
        </w:tblCellMar>
      </w:tblPr>
      <w:tblGrid>
        <w:gridCol w:w="1914"/>
        <w:gridCol w:w="1914"/>
        <w:gridCol w:w="1914"/>
        <w:gridCol w:w="1914"/>
        <w:gridCol w:w="1914"/>
      </w:tblGrid>
      <w:tr>
        <w:tblPrEx>
          <w:tblLayout w:type="fixed"/>
          <w:tblCellMar>
            <w:top w:w="0" w:type="dxa"/>
            <w:left w:w="28" w:type="dxa"/>
            <w:bottom w:w="0" w:type="dxa"/>
            <w:right w:w="28" w:type="dxa"/>
          </w:tblCellMar>
        </w:tblPrEx>
        <w:tc>
          <w:tcPr>
            <w:tcW w:w="191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类别</w:t>
            </w:r>
          </w:p>
        </w:tc>
        <w:tc>
          <w:tcPr>
            <w:tcW w:w="191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折旧方法</w:t>
            </w:r>
          </w:p>
        </w:tc>
        <w:tc>
          <w:tcPr>
            <w:tcW w:w="191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折旧年限</w:t>
            </w:r>
          </w:p>
        </w:tc>
        <w:tc>
          <w:tcPr>
            <w:tcW w:w="191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残值率</w:t>
            </w:r>
          </w:p>
        </w:tc>
        <w:tc>
          <w:tcPr>
            <w:tcW w:w="191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年折旧率</w:t>
            </w:r>
          </w:p>
        </w:tc>
      </w:tr>
      <w:tr>
        <w:tblPrEx>
          <w:tblLayout w:type="fixed"/>
          <w:tblCellMar>
            <w:top w:w="0" w:type="dxa"/>
            <w:left w:w="28" w:type="dxa"/>
            <w:bottom w:w="0" w:type="dxa"/>
            <w:right w:w="28" w:type="dxa"/>
          </w:tblCellMar>
        </w:tblPrEx>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房屋建筑物</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年限平均法</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40</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5</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2.38</w:t>
            </w:r>
          </w:p>
        </w:tc>
      </w:tr>
      <w:tr>
        <w:tblPrEx>
          <w:tblLayout w:type="fixed"/>
          <w:tblCellMar>
            <w:top w:w="0" w:type="dxa"/>
            <w:left w:w="28" w:type="dxa"/>
            <w:bottom w:w="0" w:type="dxa"/>
            <w:right w:w="28" w:type="dxa"/>
          </w:tblCellMar>
        </w:tblPrEx>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机器设备</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年限平均法</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5</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5</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19</w:t>
            </w:r>
          </w:p>
        </w:tc>
      </w:tr>
      <w:tr>
        <w:tblPrEx>
          <w:tblLayout w:type="fixed"/>
          <w:tblCellMar>
            <w:top w:w="0" w:type="dxa"/>
            <w:left w:w="28" w:type="dxa"/>
            <w:bottom w:w="0" w:type="dxa"/>
            <w:right w:w="28" w:type="dxa"/>
          </w:tblCellMar>
        </w:tblPrEx>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运输设备</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年限平均法</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5</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5</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19</w:t>
            </w:r>
          </w:p>
        </w:tc>
      </w:tr>
      <w:tr>
        <w:tblPrEx>
          <w:tblLayout w:type="fixed"/>
          <w:tblCellMar>
            <w:top w:w="0" w:type="dxa"/>
            <w:left w:w="28" w:type="dxa"/>
            <w:bottom w:w="0" w:type="dxa"/>
            <w:right w:w="28" w:type="dxa"/>
          </w:tblCellMar>
        </w:tblPrEx>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办公设备及其他</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年限平均法</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5</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5</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19</w:t>
            </w:r>
          </w:p>
        </w:tc>
      </w:tr>
    </w:tbl>
    <w:p>
      <w:pPr>
        <w:pStyle w:val="11"/>
        <w:outlineLvl w:val="2"/>
        <w:rPr>
          <w:bCs w:val="0"/>
          <w:szCs w:val="24"/>
        </w:rPr>
      </w:pPr>
      <w:r>
        <w:rPr>
          <w:bCs w:val="0"/>
          <w:szCs w:val="24"/>
        </w:rPr>
        <w:t>14</w:t>
      </w:r>
      <w:r>
        <w:rPr>
          <w:rFonts w:hint="eastAsia"/>
          <w:bCs w:val="0"/>
          <w:szCs w:val="24"/>
        </w:rPr>
        <w:t>、在建工程</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在建工程按实际发生的成本计量。自营建筑工程按直接材料、直接工资、直接施工费等计量；出包建筑工程按应支付的工程价款等计量；设备安装工程按所安装设备的价值、安装费用、工程试运转等所发生的支出等确定工程成本。在建工程成本还包括应当资本化的借款费用和汇兑损益。</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在建工程在达到预定可使用状态之日起，根据工程预算、造价或工程实际成本等，按估计的价值结转固定资产，次月起开始计提折旧，待办理了竣工决算手续后再对固定资产原值差异进行调整。</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在建工程按实际发生的成本计量。自营建筑工程按直接材料、直接工资、直接施工费等计量；出包建筑工程按应支付的工程价款等计量；设备安装工程按所安装设备的价值、安装费用、工程试运转等所发生的支出等确定工程成本。在建工程成本还包括应当资本化的借款费用和汇兑损益。</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在建工程在达到预定可使用状态之日起，根据工程预算、造价或工程实际成本等，按估计的价值结转固定资产，次月起开始计提折旧，待办理了竣工决算手续后再对固定资产原值差异进行调整。</w:t>
      </w:r>
    </w:p>
    <w:p>
      <w:pPr>
        <w:pStyle w:val="11"/>
        <w:outlineLvl w:val="2"/>
        <w:rPr>
          <w:bCs w:val="0"/>
          <w:szCs w:val="24"/>
        </w:rPr>
      </w:pPr>
      <w:r>
        <w:rPr>
          <w:bCs w:val="0"/>
          <w:szCs w:val="24"/>
        </w:rPr>
        <w:t>15</w:t>
      </w:r>
      <w:r>
        <w:rPr>
          <w:rFonts w:hint="eastAsia"/>
          <w:bCs w:val="0"/>
          <w:szCs w:val="24"/>
        </w:rPr>
        <w:t>、借款费用</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借款费用包括借款利息、折价或溢价的摊销、辅助费用以及因外币借款而发生的汇兑差额等。可直接归属于符合资本化条件的资产的购建或者生产的借款费用，在资产支出已经发生、借款费用已经发生、为使资产达到预定可使用或可销售状态所必要的购建或生产活动已经开始时，开始资本化；当购建或生产符合资本化条件的资产达到预定可使用或可销售状态时，停止资本化。其余借款费用在发生当期确认为费用。</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专门借款当期实际发生的利息费用，扣除尚未动用的借款资金存入银行取得的利息收入或进行暂时性投资取得的投资收益后的金额予以资本化；一般借款根据累计资产支出超过专门借款部分的资产支出加权平均数乘以所占用一般借款的资本化率，确定资本化金额。资本化率根据一般借款加权平均利率计算确定。</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符合资本化条件的资产，是指需要经过相当长时间（通常指</w:t>
      </w:r>
      <w:r>
        <w:rPr>
          <w:rFonts w:ascii="宋体" w:hAnsi="宋体" w:cs="宋体"/>
          <w:kern w:val="0"/>
          <w:sz w:val="21"/>
          <w:szCs w:val="24"/>
          <w:lang w:val="zh-CN"/>
        </w:rPr>
        <w:t>1</w:t>
      </w:r>
      <w:r>
        <w:rPr>
          <w:rFonts w:hint="eastAsia" w:ascii="宋体" w:hAnsi="宋体" w:cs="宋体"/>
          <w:kern w:val="0"/>
          <w:sz w:val="21"/>
          <w:szCs w:val="24"/>
          <w:lang w:val="zh-CN"/>
        </w:rPr>
        <w:t>年以上）的购建或者生产活动才能达到预定可使用或者可销售状态的固定资产、投资性房地产和存货等资产。</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如果符合资本化条件的资产在购建或者生产过程中发生非正常中断、且中断时间连续超过</w:t>
      </w:r>
      <w:r>
        <w:rPr>
          <w:rFonts w:ascii="宋体" w:hAnsi="宋体" w:cs="宋体"/>
          <w:kern w:val="0"/>
          <w:sz w:val="21"/>
          <w:szCs w:val="24"/>
          <w:lang w:val="zh-CN"/>
        </w:rPr>
        <w:t>3</w:t>
      </w:r>
      <w:r>
        <w:rPr>
          <w:rFonts w:hint="eastAsia" w:ascii="宋体" w:hAnsi="宋体" w:cs="宋体"/>
          <w:kern w:val="0"/>
          <w:sz w:val="21"/>
          <w:szCs w:val="24"/>
          <w:lang w:val="zh-CN"/>
        </w:rPr>
        <w:t>个月，暂停借款费用的资本化，直至资产的购建或生产活动重新开始。</w:t>
      </w:r>
    </w:p>
    <w:p>
      <w:pPr>
        <w:pStyle w:val="11"/>
        <w:outlineLvl w:val="2"/>
        <w:rPr>
          <w:bCs w:val="0"/>
          <w:szCs w:val="24"/>
        </w:rPr>
      </w:pPr>
      <w:r>
        <w:rPr>
          <w:bCs w:val="0"/>
          <w:szCs w:val="24"/>
        </w:rPr>
        <w:t>16</w:t>
      </w:r>
      <w:r>
        <w:rPr>
          <w:rFonts w:hint="eastAsia"/>
          <w:bCs w:val="0"/>
          <w:szCs w:val="24"/>
        </w:rPr>
        <w:t>、无形资产</w:t>
      </w:r>
    </w:p>
    <w:p>
      <w:pPr>
        <w:pStyle w:val="11"/>
        <w:outlineLvl w:val="3"/>
        <w:rPr>
          <w:bCs w:val="0"/>
          <w:szCs w:val="24"/>
        </w:rPr>
      </w:pPr>
      <w:r>
        <w:rPr>
          <w:rFonts w:hint="eastAsia"/>
          <w:bCs w:val="0"/>
          <w:szCs w:val="24"/>
        </w:rPr>
        <w:t>（</w:t>
      </w:r>
      <w:r>
        <w:rPr>
          <w:bCs w:val="0"/>
          <w:szCs w:val="24"/>
        </w:rPr>
        <w:t>1</w:t>
      </w:r>
      <w:r>
        <w:rPr>
          <w:rFonts w:hint="eastAsia"/>
          <w:bCs w:val="0"/>
          <w:szCs w:val="24"/>
        </w:rPr>
        <w:t>）计价方法、使用寿命、减值测试</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本集团无形资产包括土地使用权、商标、非专利技术和软件，按取得时的实际成本计量，其中，购入的无形资产，按实际支付的价款和相关的其他支出作为实际成本；投资者投入的无形资产，按投资合同或协议约定的价值确定实际成本，但合同或协议约定价值不公允的，按公允价值确定实际成本。对非同一控制下合并中取得被购买方拥有的但在其财务报表中未确认的商标等无形资产，在对被购买方进行初始确认时，按公允价值确认为无形资产。</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土地使用权从出让起始日起，按其出让年限平均摊销；软件和非专利技术等无形资产按预计使用年限、合同规定的受益年限和法律规定的有效年限三者中最短者分期平均摊销。摊销金额按其受益对象计入相关资产成本和当期损益。</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对使用寿命有限的无形资产的预计使用寿命及摊销方法于每年年度终了进行复核，如发生改变，则作为会计估计变更处理。</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对商标，由于无法预见其为本集团带来经济利益期限，因此其使用寿命不确定。使用寿命不确定的无形资产不予摊销。</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本集团无形资产包括土地使用权、商标、非专利技术和软件，按取得时的实际成本计量，其中，购入的无形资产，按实际支付的价款和相关的其他支出作为实际成本；投资者投入的无形资产，按投资合同或协议约定的价值确定实际成本，但合同或协议约定价值不公允的，按公允价值确定实际成本。对非同一控制下合并中取得被购买方拥有的但在其财务报表中未确认的商标等无形资产，在对被购买方进行初始确认时，按公允价值确认为无形资产。</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土地使用权从出让起始日起，按其出让年限平均摊销；软件和非专利技术等无形资产按预计使用年限、合同规定的受益年限和法律规定的有效年限三者中最短者分期平均摊销。摊销金额按其受益对象计入相关资产成本和当期损益。</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对使用寿命有限的无形资产的预计使用寿命及摊销方法于每年年度终了进行复核，如发生改变，则作为会计估计变更处理。</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对商标，由于无法预见其为本集团带来经济利益期限，因此其使用寿命不确定。使用寿命不确定的无形资产不予摊销。</w:t>
      </w:r>
    </w:p>
    <w:p>
      <w:pPr>
        <w:pStyle w:val="11"/>
        <w:outlineLvl w:val="3"/>
        <w:rPr>
          <w:bCs w:val="0"/>
          <w:szCs w:val="24"/>
        </w:rPr>
      </w:pPr>
      <w:r>
        <w:rPr>
          <w:rFonts w:hint="eastAsia"/>
          <w:bCs w:val="0"/>
          <w:szCs w:val="24"/>
        </w:rPr>
        <w:t>（</w:t>
      </w:r>
      <w:r>
        <w:rPr>
          <w:bCs w:val="0"/>
          <w:szCs w:val="24"/>
        </w:rPr>
        <w:t>2</w:t>
      </w:r>
      <w:r>
        <w:rPr>
          <w:rFonts w:hint="eastAsia"/>
          <w:bCs w:val="0"/>
          <w:szCs w:val="24"/>
        </w:rPr>
        <w:t>）内部研究开发支出会计政策</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本集团的研究开发支出根据其性质以及研发活动最终形成无形资产是否具有较大不确定性，分为研究阶段支出和开发阶段支出。研究阶段的支出，于发生时计入当期损益；开发阶段的支出，同时满足下列条件的，确认为无形资产：</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w:t>
      </w:r>
      <w:r>
        <w:rPr>
          <w:rFonts w:ascii="宋体" w:hAnsi="宋体" w:cs="宋体"/>
          <w:kern w:val="0"/>
          <w:sz w:val="21"/>
          <w:szCs w:val="24"/>
          <w:lang w:val="zh-CN"/>
        </w:rPr>
        <w:t>1</w:t>
      </w:r>
      <w:r>
        <w:rPr>
          <w:rFonts w:hint="eastAsia" w:ascii="宋体" w:hAnsi="宋体" w:cs="宋体"/>
          <w:kern w:val="0"/>
          <w:sz w:val="21"/>
          <w:szCs w:val="24"/>
          <w:lang w:val="zh-CN"/>
        </w:rPr>
        <w:t>）完成该无形资产以使其能够使用或出售在技术上具有可行性；</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w:t>
      </w:r>
      <w:r>
        <w:rPr>
          <w:rFonts w:ascii="宋体" w:hAnsi="宋体" w:cs="宋体"/>
          <w:kern w:val="0"/>
          <w:sz w:val="21"/>
          <w:szCs w:val="24"/>
          <w:lang w:val="zh-CN"/>
        </w:rPr>
        <w:t>2</w:t>
      </w:r>
      <w:r>
        <w:rPr>
          <w:rFonts w:hint="eastAsia" w:ascii="宋体" w:hAnsi="宋体" w:cs="宋体"/>
          <w:kern w:val="0"/>
          <w:sz w:val="21"/>
          <w:szCs w:val="24"/>
          <w:lang w:val="zh-CN"/>
        </w:rPr>
        <w:t>）具有完成该无形资产并使用或出售的意图；</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w:t>
      </w:r>
      <w:r>
        <w:rPr>
          <w:rFonts w:ascii="宋体" w:hAnsi="宋体" w:cs="宋体"/>
          <w:kern w:val="0"/>
          <w:sz w:val="21"/>
          <w:szCs w:val="24"/>
          <w:lang w:val="zh-CN"/>
        </w:rPr>
        <w:t>3</w:t>
      </w:r>
      <w:r>
        <w:rPr>
          <w:rFonts w:hint="eastAsia" w:ascii="宋体" w:hAnsi="宋体" w:cs="宋体"/>
          <w:kern w:val="0"/>
          <w:sz w:val="21"/>
          <w:szCs w:val="24"/>
          <w:lang w:val="zh-CN"/>
        </w:rPr>
        <w:t>）运用该无形资产生产的产品存在市场或无形资产自身存在市场；</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w:t>
      </w:r>
      <w:r>
        <w:rPr>
          <w:rFonts w:ascii="宋体" w:hAnsi="宋体" w:cs="宋体"/>
          <w:kern w:val="0"/>
          <w:sz w:val="21"/>
          <w:szCs w:val="24"/>
          <w:lang w:val="zh-CN"/>
        </w:rPr>
        <w:t>4</w:t>
      </w:r>
      <w:r>
        <w:rPr>
          <w:rFonts w:hint="eastAsia" w:ascii="宋体" w:hAnsi="宋体" w:cs="宋体"/>
          <w:kern w:val="0"/>
          <w:sz w:val="21"/>
          <w:szCs w:val="24"/>
          <w:lang w:val="zh-CN"/>
        </w:rPr>
        <w:t>）有足够的技术、财务资源和其他资源支持，以完成该无形资产的开发，并有能力使用或出售该无形资产；</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w:t>
      </w:r>
      <w:r>
        <w:rPr>
          <w:rFonts w:ascii="宋体" w:hAnsi="宋体" w:cs="宋体"/>
          <w:kern w:val="0"/>
          <w:sz w:val="21"/>
          <w:szCs w:val="24"/>
          <w:lang w:val="zh-CN"/>
        </w:rPr>
        <w:t>5</w:t>
      </w:r>
      <w:r>
        <w:rPr>
          <w:rFonts w:hint="eastAsia" w:ascii="宋体" w:hAnsi="宋体" w:cs="宋体"/>
          <w:kern w:val="0"/>
          <w:sz w:val="21"/>
          <w:szCs w:val="24"/>
          <w:lang w:val="zh-CN"/>
        </w:rPr>
        <w:t>）归属于该无形资产开发阶段的支出能够可靠地计量。</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不满足上述条件的开发阶段的支出，于发生时计入当期损益。前期已计入损益的开发支出在以后期间不再确认为资产。已资本化的开发阶段的支出在资产负债表上列示为开发支出，自该项目达到预定可使用状态之日起转为无形资产列报。</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本集团对下列支出确认为研究阶段支出，于实际发生时计入当期损益：</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w:t>
      </w:r>
      <w:r>
        <w:rPr>
          <w:rFonts w:ascii="宋体" w:hAnsi="宋体" w:cs="宋体"/>
          <w:kern w:val="0"/>
          <w:sz w:val="21"/>
          <w:szCs w:val="24"/>
          <w:lang w:val="zh-CN"/>
        </w:rPr>
        <w:t>1</w:t>
      </w:r>
      <w:r>
        <w:rPr>
          <w:rFonts w:hint="eastAsia" w:ascii="宋体" w:hAnsi="宋体" w:cs="宋体"/>
          <w:kern w:val="0"/>
          <w:sz w:val="21"/>
          <w:szCs w:val="24"/>
          <w:lang w:val="zh-CN"/>
        </w:rPr>
        <w:t>）对研发项目进行必要的市场调查与研究，对研发项目技术的先进性以及是否可以完成项目研究而进行的项目可行性研究的支出；</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w:t>
      </w:r>
      <w:r>
        <w:rPr>
          <w:rFonts w:ascii="宋体" w:hAnsi="宋体" w:cs="宋体"/>
          <w:kern w:val="0"/>
          <w:sz w:val="21"/>
          <w:szCs w:val="24"/>
          <w:lang w:val="zh-CN"/>
        </w:rPr>
        <w:t>2</w:t>
      </w:r>
      <w:r>
        <w:rPr>
          <w:rFonts w:hint="eastAsia" w:ascii="宋体" w:hAnsi="宋体" w:cs="宋体"/>
          <w:kern w:val="0"/>
          <w:sz w:val="21"/>
          <w:szCs w:val="24"/>
          <w:lang w:val="zh-CN"/>
        </w:rPr>
        <w:t>）经本集团管理层认可，已经立项并通过了研发资金预算，建立的研发小组发生的支出。</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本集团对符合以下条件之一的研发支出划分为开发阶段的支出：</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w:t>
      </w:r>
      <w:r>
        <w:rPr>
          <w:rFonts w:ascii="宋体" w:hAnsi="宋体" w:cs="宋体"/>
          <w:kern w:val="0"/>
          <w:sz w:val="21"/>
          <w:szCs w:val="24"/>
          <w:lang w:val="zh-CN"/>
        </w:rPr>
        <w:t>1</w:t>
      </w:r>
      <w:r>
        <w:rPr>
          <w:rFonts w:hint="eastAsia" w:ascii="宋体" w:hAnsi="宋体" w:cs="宋体"/>
          <w:kern w:val="0"/>
          <w:sz w:val="21"/>
          <w:szCs w:val="24"/>
          <w:lang w:val="zh-CN"/>
        </w:rPr>
        <w:t>）管理层内部通过《研发项目开发阶段确认书》并已经开始了实质性的开发投入，研发支出已达到开发预算的</w:t>
      </w:r>
      <w:r>
        <w:rPr>
          <w:rFonts w:ascii="宋体" w:hAnsi="宋体" w:cs="宋体"/>
          <w:kern w:val="0"/>
          <w:sz w:val="21"/>
          <w:szCs w:val="24"/>
          <w:lang w:val="zh-CN"/>
        </w:rPr>
        <w:t>1/3</w:t>
      </w:r>
      <w:r>
        <w:rPr>
          <w:rFonts w:hint="eastAsia" w:ascii="宋体" w:hAnsi="宋体" w:cs="宋体"/>
          <w:kern w:val="0"/>
          <w:sz w:val="21"/>
          <w:szCs w:val="24"/>
          <w:lang w:val="zh-CN"/>
        </w:rPr>
        <w:t>以上（包括</w:t>
      </w:r>
      <w:r>
        <w:rPr>
          <w:rFonts w:ascii="宋体" w:hAnsi="宋体" w:cs="宋体"/>
          <w:kern w:val="0"/>
          <w:sz w:val="21"/>
          <w:szCs w:val="24"/>
          <w:lang w:val="zh-CN"/>
        </w:rPr>
        <w:t>1/3</w:t>
      </w:r>
      <w:r>
        <w:rPr>
          <w:rFonts w:hint="eastAsia" w:ascii="宋体" w:hAnsi="宋体" w:cs="宋体"/>
          <w:kern w:val="0"/>
          <w:sz w:val="21"/>
          <w:szCs w:val="24"/>
          <w:lang w:val="zh-CN"/>
        </w:rPr>
        <w:t>）；</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w:t>
      </w:r>
      <w:r>
        <w:rPr>
          <w:rFonts w:ascii="宋体" w:hAnsi="宋体" w:cs="宋体"/>
          <w:kern w:val="0"/>
          <w:sz w:val="21"/>
          <w:szCs w:val="24"/>
          <w:lang w:val="zh-CN"/>
        </w:rPr>
        <w:t>2</w:t>
      </w:r>
      <w:r>
        <w:rPr>
          <w:rFonts w:hint="eastAsia" w:ascii="宋体" w:hAnsi="宋体" w:cs="宋体"/>
          <w:kern w:val="0"/>
          <w:sz w:val="21"/>
          <w:szCs w:val="24"/>
          <w:lang w:val="zh-CN"/>
        </w:rPr>
        <w:t>）研发项目至少取得一项相关证书：</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ascii="宋体" w:hAnsi="宋体" w:cs="宋体"/>
          <w:kern w:val="0"/>
          <w:sz w:val="21"/>
          <w:szCs w:val="24"/>
          <w:lang w:val="zh-CN"/>
        </w:rPr>
        <w:t>1</w:t>
      </w:r>
      <w:r>
        <w:rPr>
          <w:rFonts w:hint="eastAsia" w:ascii="宋体" w:hAnsi="宋体" w:cs="宋体"/>
          <w:kern w:val="0"/>
          <w:sz w:val="21"/>
          <w:szCs w:val="24"/>
          <w:lang w:val="zh-CN"/>
        </w:rPr>
        <w:t>）软件著作权证书；</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ascii="宋体" w:hAnsi="宋体" w:cs="宋体"/>
          <w:kern w:val="0"/>
          <w:sz w:val="21"/>
          <w:szCs w:val="24"/>
          <w:lang w:val="zh-CN"/>
        </w:rPr>
        <w:t>2</w:t>
      </w:r>
      <w:r>
        <w:rPr>
          <w:rFonts w:hint="eastAsia" w:ascii="宋体" w:hAnsi="宋体" w:cs="宋体"/>
          <w:kern w:val="0"/>
          <w:sz w:val="21"/>
          <w:szCs w:val="24"/>
          <w:lang w:val="zh-CN"/>
        </w:rPr>
        <w:t>）专利证书；</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ascii="宋体" w:hAnsi="宋体" w:cs="宋体"/>
          <w:kern w:val="0"/>
          <w:sz w:val="21"/>
          <w:szCs w:val="24"/>
          <w:lang w:val="zh-CN"/>
        </w:rPr>
        <w:t>3</w:t>
      </w:r>
      <w:r>
        <w:rPr>
          <w:rFonts w:hint="eastAsia" w:ascii="宋体" w:hAnsi="宋体" w:cs="宋体"/>
          <w:kern w:val="0"/>
          <w:sz w:val="21"/>
          <w:szCs w:val="24"/>
          <w:lang w:val="zh-CN"/>
        </w:rPr>
        <w:t>）取得其他有关知识产权证明文件。</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w:t>
      </w:r>
      <w:r>
        <w:rPr>
          <w:rFonts w:ascii="宋体" w:hAnsi="宋体" w:cs="宋体"/>
          <w:kern w:val="0"/>
          <w:sz w:val="21"/>
          <w:szCs w:val="24"/>
          <w:lang w:val="zh-CN"/>
        </w:rPr>
        <w:t>3</w:t>
      </w:r>
      <w:r>
        <w:rPr>
          <w:rFonts w:hint="eastAsia" w:ascii="宋体" w:hAnsi="宋体" w:cs="宋体"/>
          <w:kern w:val="0"/>
          <w:sz w:val="21"/>
          <w:szCs w:val="24"/>
          <w:lang w:val="zh-CN"/>
        </w:rPr>
        <w:t>）研发出具有实际应用的产品样机。</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开发支出确认为无形资产的条件：</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w:t>
      </w:r>
      <w:r>
        <w:rPr>
          <w:rFonts w:ascii="宋体" w:hAnsi="宋体" w:cs="宋体"/>
          <w:kern w:val="0"/>
          <w:sz w:val="21"/>
          <w:szCs w:val="24"/>
          <w:lang w:val="zh-CN"/>
        </w:rPr>
        <w:t>1</w:t>
      </w:r>
      <w:r>
        <w:rPr>
          <w:rFonts w:hint="eastAsia" w:ascii="宋体" w:hAnsi="宋体" w:cs="宋体"/>
          <w:kern w:val="0"/>
          <w:sz w:val="21"/>
          <w:szCs w:val="24"/>
          <w:lang w:val="zh-CN"/>
        </w:rPr>
        <w:t>）研发项目已经验收，并形成最终产品，符合批量性生产条件；</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w:t>
      </w:r>
      <w:r>
        <w:rPr>
          <w:rFonts w:ascii="宋体" w:hAnsi="宋体" w:cs="宋体"/>
          <w:kern w:val="0"/>
          <w:sz w:val="21"/>
          <w:szCs w:val="24"/>
          <w:lang w:val="zh-CN"/>
        </w:rPr>
        <w:t>2</w:t>
      </w:r>
      <w:r>
        <w:rPr>
          <w:rFonts w:hint="eastAsia" w:ascii="宋体" w:hAnsi="宋体" w:cs="宋体"/>
          <w:kern w:val="0"/>
          <w:sz w:val="21"/>
          <w:szCs w:val="24"/>
          <w:lang w:val="zh-CN"/>
        </w:rPr>
        <w:t>）研发项目可转化为具有商业用途的产品，并可以最终对外销售；</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w:t>
      </w:r>
      <w:r>
        <w:rPr>
          <w:rFonts w:ascii="宋体" w:hAnsi="宋体" w:cs="宋体"/>
          <w:kern w:val="0"/>
          <w:sz w:val="21"/>
          <w:szCs w:val="24"/>
          <w:lang w:val="zh-CN"/>
        </w:rPr>
        <w:t>3</w:t>
      </w:r>
      <w:r>
        <w:rPr>
          <w:rFonts w:hint="eastAsia" w:ascii="宋体" w:hAnsi="宋体" w:cs="宋体"/>
          <w:kern w:val="0"/>
          <w:sz w:val="21"/>
          <w:szCs w:val="24"/>
          <w:lang w:val="zh-CN"/>
        </w:rPr>
        <w:t>）研发的新产品已经符合行业标准、并取得相关资格证书，符合对外销售的条件，或者研发的产品在技术上已经满足客户的技术标准；</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w:t>
      </w:r>
      <w:r>
        <w:rPr>
          <w:rFonts w:ascii="宋体" w:hAnsi="宋体" w:cs="宋体"/>
          <w:kern w:val="0"/>
          <w:sz w:val="21"/>
          <w:szCs w:val="24"/>
          <w:lang w:val="zh-CN"/>
        </w:rPr>
        <w:t>4</w:t>
      </w:r>
      <w:r>
        <w:rPr>
          <w:rFonts w:hint="eastAsia" w:ascii="宋体" w:hAnsi="宋体" w:cs="宋体"/>
          <w:kern w:val="0"/>
          <w:sz w:val="21"/>
          <w:szCs w:val="24"/>
          <w:lang w:val="zh-CN"/>
        </w:rPr>
        <w:t>）与客户签订了正式或者具有采购意向的合同。</w:t>
      </w:r>
    </w:p>
    <w:p>
      <w:pPr>
        <w:pStyle w:val="11"/>
        <w:outlineLvl w:val="2"/>
        <w:rPr>
          <w:bCs w:val="0"/>
          <w:szCs w:val="24"/>
        </w:rPr>
      </w:pPr>
      <w:r>
        <w:rPr>
          <w:bCs w:val="0"/>
          <w:szCs w:val="24"/>
        </w:rPr>
        <w:t>17</w:t>
      </w:r>
      <w:r>
        <w:rPr>
          <w:rFonts w:hint="eastAsia"/>
          <w:bCs w:val="0"/>
          <w:szCs w:val="24"/>
        </w:rPr>
        <w:t>、长期资产减值</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本集团于每一资产负债表日对长期股权投资、固定资产、在建工程、使用寿命有限的无形资产等项目进行检查，当存在下列迹象时，表明资产可能发生了减值，本集团将进行减值测试。对商誉和使用寿命不确定的无形资产，无论是否存在减值迹象，每年末均进行减值测试。难以对单项资产的可收回金额进行测试的，以该资产所属的资产组或资产组组合为基础测试。</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减值测试后，若该资产的账面价值超过其可收回金额，其差额确认为减值损失，上述资产的减值损失一经确认，在以后会计期间不予转回。资产的可收回金额是指资产的公允价值减去处置费用后的净额与资产预计未来现金流量的现值两者之间的较高者。</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出现减值的迹象如下：</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w:t>
      </w:r>
      <w:r>
        <w:rPr>
          <w:rFonts w:ascii="宋体" w:hAnsi="宋体" w:cs="宋体"/>
          <w:kern w:val="0"/>
          <w:sz w:val="21"/>
          <w:szCs w:val="24"/>
          <w:lang w:val="zh-CN"/>
        </w:rPr>
        <w:t>1</w:t>
      </w:r>
      <w:r>
        <w:rPr>
          <w:rFonts w:hint="eastAsia" w:ascii="宋体" w:hAnsi="宋体" w:cs="宋体"/>
          <w:kern w:val="0"/>
          <w:sz w:val="21"/>
          <w:szCs w:val="24"/>
          <w:lang w:val="zh-CN"/>
        </w:rPr>
        <w:t>）资产的市价当期大幅度下跌，其跌幅明显高于因时间的推移或者正常使用而预计的下跌；</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w:t>
      </w:r>
      <w:r>
        <w:rPr>
          <w:rFonts w:ascii="宋体" w:hAnsi="宋体" w:cs="宋体"/>
          <w:kern w:val="0"/>
          <w:sz w:val="21"/>
          <w:szCs w:val="24"/>
          <w:lang w:val="zh-CN"/>
        </w:rPr>
        <w:t>2</w:t>
      </w:r>
      <w:r>
        <w:rPr>
          <w:rFonts w:hint="eastAsia" w:ascii="宋体" w:hAnsi="宋体" w:cs="宋体"/>
          <w:kern w:val="0"/>
          <w:sz w:val="21"/>
          <w:szCs w:val="24"/>
          <w:lang w:val="zh-CN"/>
        </w:rPr>
        <w:t>）企业经营所处的经济、技术或者法律等环境以及资产所处的市场在当期或者将在近期发生重大变化，从而对企业产生不利影响；</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w:t>
      </w:r>
      <w:r>
        <w:rPr>
          <w:rFonts w:ascii="宋体" w:hAnsi="宋体" w:cs="宋体"/>
          <w:kern w:val="0"/>
          <w:sz w:val="21"/>
          <w:szCs w:val="24"/>
          <w:lang w:val="zh-CN"/>
        </w:rPr>
        <w:t>3</w:t>
      </w:r>
      <w:r>
        <w:rPr>
          <w:rFonts w:hint="eastAsia" w:ascii="宋体" w:hAnsi="宋体" w:cs="宋体"/>
          <w:kern w:val="0"/>
          <w:sz w:val="21"/>
          <w:szCs w:val="24"/>
          <w:lang w:val="zh-CN"/>
        </w:rPr>
        <w:t>）市场利率或者其他市场投资报酬率在当期已经提高，从而影响企业计算资产预计未来现金流量现值的折现率，导致资产可收回金额大幅度降低；</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w:t>
      </w:r>
      <w:r>
        <w:rPr>
          <w:rFonts w:ascii="宋体" w:hAnsi="宋体" w:cs="宋体"/>
          <w:kern w:val="0"/>
          <w:sz w:val="21"/>
          <w:szCs w:val="24"/>
          <w:lang w:val="zh-CN"/>
        </w:rPr>
        <w:t>4</w:t>
      </w:r>
      <w:r>
        <w:rPr>
          <w:rFonts w:hint="eastAsia" w:ascii="宋体" w:hAnsi="宋体" w:cs="宋体"/>
          <w:kern w:val="0"/>
          <w:sz w:val="21"/>
          <w:szCs w:val="24"/>
          <w:lang w:val="zh-CN"/>
        </w:rPr>
        <w:t>）有证据表明资产已经陈旧过时或者其实体已经损坏；</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w:t>
      </w:r>
      <w:r>
        <w:rPr>
          <w:rFonts w:ascii="宋体" w:hAnsi="宋体" w:cs="宋体"/>
          <w:kern w:val="0"/>
          <w:sz w:val="21"/>
          <w:szCs w:val="24"/>
          <w:lang w:val="zh-CN"/>
        </w:rPr>
        <w:t>5</w:t>
      </w:r>
      <w:r>
        <w:rPr>
          <w:rFonts w:hint="eastAsia" w:ascii="宋体" w:hAnsi="宋体" w:cs="宋体"/>
          <w:kern w:val="0"/>
          <w:sz w:val="21"/>
          <w:szCs w:val="24"/>
          <w:lang w:val="zh-CN"/>
        </w:rPr>
        <w:t>）资产已经或者将被闲置、终止使用或者计划提前处置；</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w:t>
      </w:r>
      <w:r>
        <w:rPr>
          <w:rFonts w:ascii="宋体" w:hAnsi="宋体" w:cs="宋体"/>
          <w:kern w:val="0"/>
          <w:sz w:val="21"/>
          <w:szCs w:val="24"/>
          <w:lang w:val="zh-CN"/>
        </w:rPr>
        <w:t>6</w:t>
      </w:r>
      <w:r>
        <w:rPr>
          <w:rFonts w:hint="eastAsia" w:ascii="宋体" w:hAnsi="宋体" w:cs="宋体"/>
          <w:kern w:val="0"/>
          <w:sz w:val="21"/>
          <w:szCs w:val="24"/>
          <w:lang w:val="zh-CN"/>
        </w:rPr>
        <w:t>）企业内部报告的证据表明资产的经济绩效已经低于或者将低于预期，如资产所创造的净现金流量或者实现的营业利润（或者亏损）远远低于（或者高于）预计金额等；</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w:t>
      </w:r>
      <w:r>
        <w:rPr>
          <w:rFonts w:ascii="宋体" w:hAnsi="宋体" w:cs="宋体"/>
          <w:kern w:val="0"/>
          <w:sz w:val="21"/>
          <w:szCs w:val="24"/>
          <w:lang w:val="zh-CN"/>
        </w:rPr>
        <w:t>7</w:t>
      </w:r>
      <w:r>
        <w:rPr>
          <w:rFonts w:hint="eastAsia" w:ascii="宋体" w:hAnsi="宋体" w:cs="宋体"/>
          <w:kern w:val="0"/>
          <w:sz w:val="21"/>
          <w:szCs w:val="24"/>
          <w:lang w:val="zh-CN"/>
        </w:rPr>
        <w:t>）其他表明资产可能已经发生减值的迹象。</w:t>
      </w:r>
    </w:p>
    <w:p>
      <w:pPr>
        <w:pStyle w:val="11"/>
        <w:outlineLvl w:val="2"/>
        <w:rPr>
          <w:bCs w:val="0"/>
          <w:szCs w:val="24"/>
        </w:rPr>
      </w:pPr>
      <w:r>
        <w:rPr>
          <w:bCs w:val="0"/>
          <w:szCs w:val="24"/>
        </w:rPr>
        <w:t>18</w:t>
      </w:r>
      <w:r>
        <w:rPr>
          <w:rFonts w:hint="eastAsia"/>
          <w:bCs w:val="0"/>
          <w:szCs w:val="24"/>
        </w:rPr>
        <w:t>、长期待摊费用</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本集团的长期待摊费用是指已经支出，但应由当期及以后各期承担的摊销期限在</w:t>
      </w:r>
      <w:r>
        <w:rPr>
          <w:rFonts w:ascii="宋体" w:hAnsi="宋体" w:cs="宋体"/>
          <w:kern w:val="0"/>
          <w:sz w:val="21"/>
          <w:szCs w:val="24"/>
          <w:lang w:val="zh-CN"/>
        </w:rPr>
        <w:t>1</w:t>
      </w:r>
      <w:r>
        <w:rPr>
          <w:rFonts w:hint="eastAsia" w:ascii="宋体" w:hAnsi="宋体" w:cs="宋体"/>
          <w:kern w:val="0"/>
          <w:sz w:val="21"/>
          <w:szCs w:val="24"/>
          <w:lang w:val="zh-CN"/>
        </w:rPr>
        <w:t>年以上</w:t>
      </w:r>
      <w:r>
        <w:rPr>
          <w:rFonts w:ascii="宋体" w:hAnsi="宋体" w:cs="宋体"/>
          <w:kern w:val="0"/>
          <w:sz w:val="21"/>
          <w:szCs w:val="24"/>
          <w:lang w:val="zh-CN"/>
        </w:rPr>
        <w:t>(</w:t>
      </w:r>
      <w:r>
        <w:rPr>
          <w:rFonts w:hint="eastAsia" w:ascii="宋体" w:hAnsi="宋体" w:cs="宋体"/>
          <w:kern w:val="0"/>
          <w:sz w:val="21"/>
          <w:szCs w:val="24"/>
          <w:lang w:val="zh-CN"/>
        </w:rPr>
        <w:t>不含</w:t>
      </w:r>
      <w:r>
        <w:rPr>
          <w:rFonts w:ascii="宋体" w:hAnsi="宋体" w:cs="宋体"/>
          <w:kern w:val="0"/>
          <w:sz w:val="21"/>
          <w:szCs w:val="24"/>
          <w:lang w:val="zh-CN"/>
        </w:rPr>
        <w:t>1</w:t>
      </w:r>
      <w:r>
        <w:rPr>
          <w:rFonts w:hint="eastAsia" w:ascii="宋体" w:hAnsi="宋体" w:cs="宋体"/>
          <w:kern w:val="0"/>
          <w:sz w:val="21"/>
          <w:szCs w:val="24"/>
          <w:lang w:val="zh-CN"/>
        </w:rPr>
        <w:t>年</w:t>
      </w:r>
      <w:r>
        <w:rPr>
          <w:rFonts w:ascii="宋体" w:hAnsi="宋体" w:cs="宋体"/>
          <w:kern w:val="0"/>
          <w:sz w:val="21"/>
          <w:szCs w:val="24"/>
          <w:lang w:val="zh-CN"/>
        </w:rPr>
        <w:t>)</w:t>
      </w:r>
      <w:r>
        <w:rPr>
          <w:rFonts w:hint="eastAsia" w:ascii="宋体" w:hAnsi="宋体" w:cs="宋体"/>
          <w:kern w:val="0"/>
          <w:sz w:val="21"/>
          <w:szCs w:val="24"/>
          <w:lang w:val="zh-CN"/>
        </w:rPr>
        <w:t>的费用，该等费用在受益期内平均摊销。如果长期待摊费用项目不能使以后会计期间受益，则将尚未摊销的该项目的摊余价值全部转入当期损益。</w:t>
      </w:r>
    </w:p>
    <w:p>
      <w:pPr>
        <w:pStyle w:val="11"/>
        <w:outlineLvl w:val="2"/>
        <w:rPr>
          <w:bCs w:val="0"/>
          <w:szCs w:val="24"/>
        </w:rPr>
      </w:pPr>
      <w:r>
        <w:rPr>
          <w:bCs w:val="0"/>
          <w:szCs w:val="24"/>
        </w:rPr>
        <w:t>19</w:t>
      </w:r>
      <w:r>
        <w:rPr>
          <w:rFonts w:hint="eastAsia"/>
          <w:bCs w:val="0"/>
          <w:szCs w:val="24"/>
        </w:rPr>
        <w:t>、职工薪酬</w:t>
      </w:r>
    </w:p>
    <w:p>
      <w:pPr>
        <w:pStyle w:val="11"/>
        <w:outlineLvl w:val="3"/>
        <w:rPr>
          <w:bCs w:val="0"/>
          <w:szCs w:val="24"/>
        </w:rPr>
      </w:pPr>
      <w:r>
        <w:rPr>
          <w:rFonts w:hint="eastAsia"/>
          <w:bCs w:val="0"/>
          <w:szCs w:val="24"/>
        </w:rPr>
        <w:t>（</w:t>
      </w:r>
      <w:r>
        <w:rPr>
          <w:bCs w:val="0"/>
          <w:szCs w:val="24"/>
        </w:rPr>
        <w:t>1</w:t>
      </w:r>
      <w:r>
        <w:rPr>
          <w:rFonts w:hint="eastAsia"/>
          <w:bCs w:val="0"/>
          <w:szCs w:val="24"/>
        </w:rPr>
        <w:t>）短期薪酬的会计处理方法</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短期薪酬主要包括职工工资、奖金、津贴、补贴、职工福利、医疗保险费、工伤保险费、生育保险费、住房公积金、工会和教育经费等，在职工提供服务的会计期间，将实际发生的短期薪酬确认为负债，并按照受益对象计入当期损益或相关资产成本。</w:t>
      </w:r>
    </w:p>
    <w:p>
      <w:pPr>
        <w:pStyle w:val="11"/>
        <w:outlineLvl w:val="3"/>
        <w:rPr>
          <w:bCs w:val="0"/>
          <w:szCs w:val="24"/>
        </w:rPr>
      </w:pPr>
      <w:r>
        <w:rPr>
          <w:rFonts w:hint="eastAsia"/>
          <w:bCs w:val="0"/>
          <w:szCs w:val="24"/>
        </w:rPr>
        <w:t>（</w:t>
      </w:r>
      <w:r>
        <w:rPr>
          <w:bCs w:val="0"/>
          <w:szCs w:val="24"/>
        </w:rPr>
        <w:t>2</w:t>
      </w:r>
      <w:r>
        <w:rPr>
          <w:rFonts w:hint="eastAsia"/>
          <w:bCs w:val="0"/>
          <w:szCs w:val="24"/>
        </w:rPr>
        <w:t>）离职后福利的会计处理方法</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离职后福利主要包括基本养老保险费、失业保险费等，按照公司承担的风险和义务，分类为设定提存计划。对于设定提存计划，根据在资产负债表日为换取职工在会计期间提供的服务而向单独主体缴存的提存金确认为负债，并按照受益对象计入当期损益或相关资产成本。</w:t>
      </w:r>
    </w:p>
    <w:p>
      <w:pPr>
        <w:pStyle w:val="11"/>
        <w:outlineLvl w:val="3"/>
        <w:rPr>
          <w:bCs w:val="0"/>
          <w:szCs w:val="24"/>
        </w:rPr>
      </w:pPr>
      <w:r>
        <w:rPr>
          <w:rFonts w:hint="eastAsia"/>
          <w:bCs w:val="0"/>
          <w:szCs w:val="24"/>
        </w:rPr>
        <w:t>（</w:t>
      </w:r>
      <w:r>
        <w:rPr>
          <w:bCs w:val="0"/>
          <w:szCs w:val="24"/>
        </w:rPr>
        <w:t>3</w:t>
      </w:r>
      <w:r>
        <w:rPr>
          <w:rFonts w:hint="eastAsia"/>
          <w:bCs w:val="0"/>
          <w:szCs w:val="24"/>
        </w:rPr>
        <w:t>）辞退福利的会计处理方法</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本集团在职工劳动合同到期之前解除与职工的劳动关系、或者为鼓励职工自愿接受裁减而提出给予职工的补偿。本集团向职工提供辞退福利的，在下列两者孰早日确认辞退福利产生的负债，并计入当期损益：①本集团不能单方面撤回因解除劳动关系计划或裁减建议所提供的辞退福利时；②本集团确认与涉及支付辞退福利的重组相关的成本或费用时。辞退福利预期在年度报告期结束后十二个月不能完全支付的，按照其他长期职工薪酬处理。</w:t>
      </w:r>
    </w:p>
    <w:p>
      <w:pPr>
        <w:pStyle w:val="11"/>
        <w:outlineLvl w:val="2"/>
        <w:rPr>
          <w:bCs w:val="0"/>
          <w:szCs w:val="24"/>
        </w:rPr>
      </w:pPr>
      <w:r>
        <w:rPr>
          <w:bCs w:val="0"/>
          <w:szCs w:val="24"/>
        </w:rPr>
        <w:t>20</w:t>
      </w:r>
      <w:r>
        <w:rPr>
          <w:rFonts w:hint="eastAsia"/>
          <w:bCs w:val="0"/>
          <w:szCs w:val="24"/>
        </w:rPr>
        <w:t>、预计负债</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当与产品质量保证等或有事项相关的业务同时符合以下条件时，本集团将其确认为负债：该义务是本集团承担的现时义务；该义务的履行很可能导致经济利益流出企业；该义务的金额能够可靠地计量。</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预计负债按照履行相关现时义务所需支出的最佳估计数进行初始计量，并综合考虑与或有事项有关的风险、不确定性和货币时间价值等因素。货币时间价值影响重大的，通过对相关未来现金流出进行折现后确定最佳估计数。每个资产负债表日对预计负债的账面价值进行复核，如有改变则对账面价值进行调整以反映当前最佳估计数。</w:t>
      </w:r>
    </w:p>
    <w:p>
      <w:pPr>
        <w:pStyle w:val="11"/>
        <w:outlineLvl w:val="2"/>
        <w:rPr>
          <w:bCs w:val="0"/>
          <w:szCs w:val="24"/>
        </w:rPr>
      </w:pPr>
      <w:r>
        <w:rPr>
          <w:bCs w:val="0"/>
          <w:szCs w:val="24"/>
        </w:rPr>
        <w:t>21</w:t>
      </w:r>
      <w:r>
        <w:rPr>
          <w:rFonts w:hint="eastAsia"/>
          <w:bCs w:val="0"/>
          <w:szCs w:val="24"/>
        </w:rPr>
        <w:t>、收入</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本集团的营业收入主要包括销售商品收入、提供劳务收入，收入确认原则如下：</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本集团在已将商品所有权上的主要风险和报酬转移给购货方、本集团既没有保留通常与所有权相联系的继续管理权、也没有对已售出的商品实施有效控制、收入的金额能够可靠地计量、相关的经济利益很可能流入企业、相关的已发生或将发生的成本能够可靠地计量时，确认销售商品收入的实现。</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本集团在劳务总收入和总成本能够可靠地计量、与劳务相关的经济利益很可能流入本集团、劳务的完成进度能够可靠地确定时，确认劳务收入的实现。在资产负债表日，提供劳务交易的结果能够可靠估计的，按完工百分比法确认相关的劳务收入，完工百分比按已经发生的成本占估计总成本的比例确定；提供劳务交易结果不能够可靠估计、已经发生的劳务成本预计能够得到补偿的，按已经发生的能够得到补偿的劳务成本金额确认提供劳务收入，并结转已经发生的劳务成本；提供劳务交易结果不能够可靠估计、已经发生的劳务成本预计全部不能得到补偿的，将已经发生的劳务成本计入当期损益，不确认提供劳务收入。</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与交易相关的经济利益很可能流入本集团、收入的金额能够可靠地计量时，确认让渡资产使用权收入的实现。</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本集团商品销售收入的具体确认方法如下：</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直销产品分为内销和出口销售，收入确认时点分为下列情况：</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对境外销售凡不需要安装的产品以产品报关离岸时作为收入确认时点；</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ascii="宋体" w:hAnsi="宋体" w:cs="宋体"/>
          <w:kern w:val="0"/>
          <w:sz w:val="21"/>
          <w:szCs w:val="24"/>
          <w:lang w:val="zh-CN"/>
        </w:rPr>
        <w:t>2</w:t>
      </w:r>
      <w:r>
        <w:rPr>
          <w:rFonts w:hint="eastAsia" w:ascii="宋体" w:hAnsi="宋体" w:cs="宋体"/>
          <w:kern w:val="0"/>
          <w:sz w:val="21"/>
          <w:szCs w:val="24"/>
          <w:lang w:val="zh-CN"/>
        </w:rPr>
        <w:t>）对境外销售凡需要安装的产品以产品报关离岸时与安装验收后孰晚作为收入确认时点；</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ascii="宋体" w:hAnsi="宋体" w:cs="宋体"/>
          <w:kern w:val="0"/>
          <w:sz w:val="21"/>
          <w:szCs w:val="24"/>
          <w:lang w:val="zh-CN"/>
        </w:rPr>
        <w:t>3</w:t>
      </w:r>
      <w:r>
        <w:rPr>
          <w:rFonts w:hint="eastAsia" w:ascii="宋体" w:hAnsi="宋体" w:cs="宋体"/>
          <w:kern w:val="0"/>
          <w:sz w:val="21"/>
          <w:szCs w:val="24"/>
          <w:lang w:val="zh-CN"/>
        </w:rPr>
        <w:t>）对境内销售凡不需要安装的产品以双方验收后作为收入确认时点；</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ascii="宋体" w:hAnsi="宋体" w:cs="宋体"/>
          <w:kern w:val="0"/>
          <w:sz w:val="21"/>
          <w:szCs w:val="24"/>
          <w:lang w:val="zh-CN"/>
        </w:rPr>
        <w:t>4</w:t>
      </w:r>
      <w:r>
        <w:rPr>
          <w:rFonts w:hint="eastAsia" w:ascii="宋体" w:hAnsi="宋体" w:cs="宋体"/>
          <w:kern w:val="0"/>
          <w:sz w:val="21"/>
          <w:szCs w:val="24"/>
          <w:lang w:val="zh-CN"/>
        </w:rPr>
        <w:t>）对境内销售凡需要安装的产品以安装验收后作为收入确认时点。</w:t>
      </w:r>
    </w:p>
    <w:p>
      <w:pPr>
        <w:autoSpaceDE w:val="0"/>
        <w:autoSpaceDN w:val="0"/>
        <w:adjustRightInd w:val="0"/>
        <w:spacing w:before="0" w:after="0" w:line="360" w:lineRule="auto"/>
        <w:ind w:firstLine="420" w:firstLineChars="200"/>
        <w:jc w:val="left"/>
        <w:rPr>
          <w:rFonts w:ascii="宋体" w:cs="宋体"/>
          <w:kern w:val="0"/>
          <w:sz w:val="21"/>
          <w:szCs w:val="24"/>
          <w:lang w:val="zh-CN"/>
        </w:rPr>
      </w:pP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本集团的营业收入主要包括销售商品收入、提供劳务收入，收入确认原则如下：</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本集团在已将商品所有权上的主要风险和报酬转移给购货方、本集团既没有保留通常与所有权相联系的继续管理权、也没有对已售出的商品实施有效控制、收入的金额能够可靠地计量、相关的经济利益很可能流入企业、相关的已发生或将发生的成本能够可靠地计量时，确认销售商品收入的实现。</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本集团在劳务总收入和总成本能够可靠地计量、与劳务相关的经济利益很可能流入本集团、劳务的完成进度能够可靠地确定时，确认劳务收入的实现。在资产负债表日，提供劳务交易的结果能够可靠估计的，按完工百分比法确认相关的劳务收入，完工百分比按已经发生的成本占估计总成本的比例确定；提供劳务交易结果不能够可靠估计、已经发生的劳务成本预计能够得到补偿的，按已经发生的能够得到补偿的劳务成本金额确认提供劳务收入，并结转已经发生的劳务成本；提供劳务交易结果不能够可靠估计、已经发生的劳务成本预计全部不能得到补偿的，将已经发生的劳务成本计入当期损益，不确认提供劳务收入。</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与交易相关的经济利益很可能流入本集团、收入的金额能够可靠地计量时，确认让渡资产使用权收入的实现。</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本集团商品销售收入的具体确认方法如下：</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直销产品分为内销和出口销售，收入确认时点分为下列情况：</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对境外销售凡不需要安装的产品以产品报关离岸时作为收入确认时点；</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ascii="宋体" w:hAnsi="宋体" w:cs="宋体"/>
          <w:kern w:val="0"/>
          <w:sz w:val="21"/>
          <w:szCs w:val="24"/>
          <w:lang w:val="zh-CN"/>
        </w:rPr>
        <w:t>2</w:t>
      </w:r>
      <w:r>
        <w:rPr>
          <w:rFonts w:hint="eastAsia" w:ascii="宋体" w:hAnsi="宋体" w:cs="宋体"/>
          <w:kern w:val="0"/>
          <w:sz w:val="21"/>
          <w:szCs w:val="24"/>
          <w:lang w:val="zh-CN"/>
        </w:rPr>
        <w:t>）对境外销售凡需要安装的产品以产品报关离岸时与安装验收后孰晚作为收入确认时点；</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ascii="宋体" w:hAnsi="宋体" w:cs="宋体"/>
          <w:kern w:val="0"/>
          <w:sz w:val="21"/>
          <w:szCs w:val="24"/>
          <w:lang w:val="zh-CN"/>
        </w:rPr>
        <w:t>3</w:t>
      </w:r>
      <w:r>
        <w:rPr>
          <w:rFonts w:hint="eastAsia" w:ascii="宋体" w:hAnsi="宋体" w:cs="宋体"/>
          <w:kern w:val="0"/>
          <w:sz w:val="21"/>
          <w:szCs w:val="24"/>
          <w:lang w:val="zh-CN"/>
        </w:rPr>
        <w:t>）对境内销售凡不需要安装的产品以双方验收后作为收入确认时点；</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ascii="宋体" w:hAnsi="宋体" w:cs="宋体"/>
          <w:kern w:val="0"/>
          <w:sz w:val="21"/>
          <w:szCs w:val="24"/>
          <w:lang w:val="zh-CN"/>
        </w:rPr>
        <w:t>4</w:t>
      </w:r>
      <w:r>
        <w:rPr>
          <w:rFonts w:hint="eastAsia" w:ascii="宋体" w:hAnsi="宋体" w:cs="宋体"/>
          <w:kern w:val="0"/>
          <w:sz w:val="21"/>
          <w:szCs w:val="24"/>
          <w:lang w:val="zh-CN"/>
        </w:rPr>
        <w:t>）对境内销售凡需要安装的产品以安装验收后作为收入确认时点。</w:t>
      </w:r>
    </w:p>
    <w:p>
      <w:pPr>
        <w:pStyle w:val="11"/>
        <w:outlineLvl w:val="2"/>
        <w:rPr>
          <w:bCs w:val="0"/>
          <w:szCs w:val="24"/>
        </w:rPr>
      </w:pPr>
      <w:r>
        <w:rPr>
          <w:bCs w:val="0"/>
          <w:szCs w:val="24"/>
        </w:rPr>
        <w:t>22</w:t>
      </w:r>
      <w:r>
        <w:rPr>
          <w:rFonts w:hint="eastAsia"/>
          <w:bCs w:val="0"/>
          <w:szCs w:val="24"/>
        </w:rPr>
        <w:t>、政府补助</w:t>
      </w:r>
    </w:p>
    <w:p>
      <w:pPr>
        <w:pStyle w:val="11"/>
        <w:outlineLvl w:val="3"/>
        <w:rPr>
          <w:bCs w:val="0"/>
          <w:szCs w:val="24"/>
        </w:rPr>
      </w:pPr>
      <w:r>
        <w:rPr>
          <w:rFonts w:hint="eastAsia"/>
          <w:bCs w:val="0"/>
          <w:szCs w:val="24"/>
        </w:rPr>
        <w:t>（</w:t>
      </w:r>
      <w:r>
        <w:rPr>
          <w:bCs w:val="0"/>
          <w:szCs w:val="24"/>
        </w:rPr>
        <w:t>1</w:t>
      </w:r>
      <w:r>
        <w:rPr>
          <w:rFonts w:hint="eastAsia"/>
          <w:bCs w:val="0"/>
          <w:szCs w:val="24"/>
        </w:rPr>
        <w:t>）与资产相关的政府补助判断依据及会计处理方法</w:t>
      </w:r>
    </w:p>
    <w:p>
      <w:pPr>
        <w:autoSpaceDE w:val="0"/>
        <w:autoSpaceDN w:val="0"/>
        <w:adjustRightInd w:val="0"/>
        <w:spacing w:before="0" w:after="0" w:line="360" w:lineRule="auto"/>
        <w:ind w:firstLine="440" w:firstLineChars="200"/>
        <w:jc w:val="left"/>
        <w:rPr>
          <w:rFonts w:eastAsia="Times New Roman"/>
          <w:kern w:val="0"/>
          <w:sz w:val="22"/>
          <w:szCs w:val="24"/>
          <w:lang w:val="zh-CN"/>
        </w:rPr>
      </w:pPr>
      <w:r>
        <w:rPr>
          <w:rFonts w:hint="eastAsia" w:ascii="宋体" w:hAnsi="宋体" w:cs="宋体"/>
          <w:kern w:val="0"/>
          <w:sz w:val="22"/>
          <w:szCs w:val="24"/>
          <w:lang w:val="zh-CN"/>
        </w:rPr>
        <w:t>与资产相关的政府补助，是指本集团取得的、用于购建或以其他方式形成长期资产的政府补助；与收益相关的政府补助，是指除与资产相关的政府补助之外的政府补助。如果政府文件中未明确规定补助对象，本集团按照上述原则进行判断。</w:t>
      </w:r>
    </w:p>
    <w:p>
      <w:pPr>
        <w:autoSpaceDE w:val="0"/>
        <w:autoSpaceDN w:val="0"/>
        <w:adjustRightInd w:val="0"/>
        <w:spacing w:before="0" w:after="0"/>
        <w:jc w:val="left"/>
        <w:rPr>
          <w:rFonts w:eastAsia="Times New Roman"/>
          <w:kern w:val="0"/>
          <w:sz w:val="22"/>
          <w:szCs w:val="24"/>
          <w:lang w:val="zh-CN"/>
        </w:rPr>
      </w:pPr>
    </w:p>
    <w:p>
      <w:pPr>
        <w:pStyle w:val="11"/>
        <w:outlineLvl w:val="3"/>
        <w:rPr>
          <w:bCs w:val="0"/>
          <w:szCs w:val="24"/>
        </w:rPr>
      </w:pPr>
      <w:r>
        <w:rPr>
          <w:rFonts w:hint="eastAsia"/>
          <w:bCs w:val="0"/>
          <w:szCs w:val="24"/>
        </w:rPr>
        <w:t>（</w:t>
      </w:r>
      <w:r>
        <w:rPr>
          <w:bCs w:val="0"/>
          <w:szCs w:val="24"/>
        </w:rPr>
        <w:t>2</w:t>
      </w:r>
      <w:r>
        <w:rPr>
          <w:rFonts w:hint="eastAsia"/>
          <w:bCs w:val="0"/>
          <w:szCs w:val="24"/>
        </w:rPr>
        <w:t>）与收益相关的政府补助判断依据及会计处理方法</w:t>
      </w:r>
    </w:p>
    <w:p>
      <w:pPr>
        <w:autoSpaceDE w:val="0"/>
        <w:autoSpaceDN w:val="0"/>
        <w:adjustRightInd w:val="0"/>
        <w:spacing w:before="0" w:after="0" w:line="360" w:lineRule="auto"/>
        <w:ind w:firstLine="440" w:firstLineChars="200"/>
        <w:jc w:val="left"/>
        <w:rPr>
          <w:rFonts w:eastAsia="Times New Roman"/>
          <w:kern w:val="0"/>
          <w:sz w:val="22"/>
          <w:szCs w:val="24"/>
          <w:lang w:val="zh-CN"/>
        </w:rPr>
      </w:pPr>
      <w:r>
        <w:rPr>
          <w:rFonts w:hint="eastAsia" w:ascii="宋体" w:hAnsi="宋体" w:cs="宋体"/>
          <w:kern w:val="0"/>
          <w:sz w:val="22"/>
          <w:szCs w:val="24"/>
          <w:lang w:val="zh-CN"/>
        </w:rPr>
        <w:t>与资产相关的政府补助确认为递延收益，并在相关资产使用寿命内平均分配计入当期损益。与收益相关的政府补助，用于补偿以后期间的相关费用或损失的，确认为递延收益，并在确认相关费用的期间计入当期损益；用于补偿已发生的相关费用或损失的，直接计入当期损益。</w:t>
      </w:r>
    </w:p>
    <w:p>
      <w:pPr>
        <w:pStyle w:val="11"/>
        <w:outlineLvl w:val="2"/>
        <w:rPr>
          <w:bCs w:val="0"/>
          <w:szCs w:val="24"/>
        </w:rPr>
      </w:pPr>
      <w:r>
        <w:rPr>
          <w:bCs w:val="0"/>
          <w:szCs w:val="24"/>
        </w:rPr>
        <w:t>23</w:t>
      </w:r>
      <w:r>
        <w:rPr>
          <w:rFonts w:hint="eastAsia"/>
          <w:bCs w:val="0"/>
          <w:szCs w:val="24"/>
        </w:rPr>
        <w:t>、递延所得税资产</w:t>
      </w:r>
      <w:r>
        <w:rPr>
          <w:bCs w:val="0"/>
          <w:szCs w:val="24"/>
        </w:rPr>
        <w:t>/</w:t>
      </w:r>
      <w:r>
        <w:rPr>
          <w:rFonts w:hint="eastAsia"/>
          <w:bCs w:val="0"/>
          <w:szCs w:val="24"/>
        </w:rPr>
        <w:t>递延所得税负债</w:t>
      </w:r>
    </w:p>
    <w:p>
      <w:pPr>
        <w:autoSpaceDE w:val="0"/>
        <w:autoSpaceDN w:val="0"/>
        <w:adjustRightInd w:val="0"/>
        <w:spacing w:before="0" w:after="0" w:line="360" w:lineRule="auto"/>
        <w:ind w:firstLine="420" w:firstLineChars="200"/>
        <w:jc w:val="left"/>
        <w:rPr>
          <w:rFonts w:eastAsia="Times New Roman"/>
          <w:kern w:val="0"/>
          <w:sz w:val="21"/>
          <w:szCs w:val="21"/>
          <w:lang w:val="zh-CN"/>
        </w:rPr>
      </w:pPr>
      <w:r>
        <w:rPr>
          <w:rFonts w:hint="eastAsia" w:ascii="宋体" w:hAnsi="宋体" w:cs="宋体"/>
          <w:kern w:val="0"/>
          <w:sz w:val="21"/>
          <w:szCs w:val="21"/>
          <w:lang w:val="zh-CN"/>
        </w:rPr>
        <w:t>本集团递延所得税资产和递延所得税负债根据资产和负债的计税基础与其账面价值的差额</w:t>
      </w:r>
      <w:r>
        <w:rPr>
          <w:rFonts w:eastAsia="Times New Roman"/>
          <w:kern w:val="0"/>
          <w:sz w:val="21"/>
          <w:szCs w:val="21"/>
          <w:lang w:val="en-GB"/>
        </w:rPr>
        <w:t>(</w:t>
      </w:r>
      <w:r>
        <w:rPr>
          <w:rFonts w:hint="eastAsia" w:ascii="宋体" w:hAnsi="宋体" w:cs="宋体"/>
          <w:kern w:val="0"/>
          <w:sz w:val="21"/>
          <w:szCs w:val="21"/>
          <w:lang w:val="zh-CN"/>
        </w:rPr>
        <w:t>暂时性差异</w:t>
      </w:r>
      <w:r>
        <w:rPr>
          <w:rFonts w:eastAsia="Times New Roman"/>
          <w:kern w:val="0"/>
          <w:sz w:val="21"/>
          <w:szCs w:val="21"/>
          <w:lang w:val="en-GB"/>
        </w:rPr>
        <w:t>)</w:t>
      </w:r>
      <w:r>
        <w:rPr>
          <w:rFonts w:hint="eastAsia" w:ascii="宋体" w:hAnsi="宋体" w:cs="宋体"/>
          <w:kern w:val="0"/>
          <w:sz w:val="21"/>
          <w:szCs w:val="21"/>
          <w:lang w:val="zh-CN"/>
        </w:rPr>
        <w:t>计算确认。对于按照税法规定能够于以后年度抵减应纳税所得额的可抵扣亏损和税款抵减，视同暂时性差异确认相应的递延所得税资产。于资产负债表日，递延所得税资产和递延所得税负债，按照预期收回该资产或清偿该负债期间的适用税率计量。</w:t>
      </w:r>
    </w:p>
    <w:p>
      <w:pPr>
        <w:autoSpaceDE w:val="0"/>
        <w:autoSpaceDN w:val="0"/>
        <w:adjustRightInd w:val="0"/>
        <w:spacing w:before="0" w:after="0" w:line="360" w:lineRule="auto"/>
        <w:ind w:firstLine="420" w:firstLineChars="200"/>
        <w:jc w:val="left"/>
        <w:rPr>
          <w:rFonts w:eastAsia="Times New Roman"/>
          <w:kern w:val="0"/>
          <w:sz w:val="21"/>
          <w:szCs w:val="21"/>
          <w:lang w:val="zh-CN"/>
        </w:rPr>
      </w:pPr>
      <w:r>
        <w:rPr>
          <w:rFonts w:hint="eastAsia" w:ascii="宋体" w:hAnsi="宋体" w:cs="宋体"/>
          <w:kern w:val="0"/>
          <w:sz w:val="21"/>
          <w:szCs w:val="21"/>
          <w:lang w:val="zh-CN"/>
        </w:rPr>
        <w:t>本集团以很可能取得用来抵扣可抵扣暂时性差异的应纳税所得额为限，确认由可抵扣暂时性差异产生的递延所得税资产。对已确认的递延所得税资产，当预计到未来期间很可能无法获得足够的应纳税所得额用以抵扣递延所得税资产时，应当减记递延所得税资产的账面价值。在很可能获得足够的应纳税所得额时，减记的金额予以转回。</w:t>
      </w:r>
    </w:p>
    <w:p>
      <w:pPr>
        <w:pStyle w:val="11"/>
        <w:outlineLvl w:val="2"/>
        <w:rPr>
          <w:bCs w:val="0"/>
          <w:szCs w:val="24"/>
        </w:rPr>
      </w:pPr>
      <w:r>
        <w:rPr>
          <w:bCs w:val="0"/>
          <w:szCs w:val="24"/>
        </w:rPr>
        <w:t>24</w:t>
      </w:r>
      <w:r>
        <w:rPr>
          <w:rFonts w:hint="eastAsia"/>
          <w:bCs w:val="0"/>
          <w:szCs w:val="24"/>
        </w:rPr>
        <w:t>、租赁</w:t>
      </w:r>
    </w:p>
    <w:p>
      <w:pPr>
        <w:pStyle w:val="11"/>
        <w:outlineLvl w:val="3"/>
        <w:rPr>
          <w:bCs w:val="0"/>
          <w:szCs w:val="24"/>
        </w:rPr>
      </w:pPr>
      <w:r>
        <w:rPr>
          <w:rFonts w:hint="eastAsia"/>
          <w:bCs w:val="0"/>
          <w:szCs w:val="24"/>
        </w:rPr>
        <w:t>（</w:t>
      </w:r>
      <w:r>
        <w:rPr>
          <w:bCs w:val="0"/>
          <w:szCs w:val="24"/>
        </w:rPr>
        <w:t>1</w:t>
      </w:r>
      <w:r>
        <w:rPr>
          <w:rFonts w:hint="eastAsia"/>
          <w:bCs w:val="0"/>
          <w:szCs w:val="24"/>
        </w:rPr>
        <w:t>）经营租赁的会计处理方法</w:t>
      </w:r>
    </w:p>
    <w:p>
      <w:pPr>
        <w:autoSpaceDE w:val="0"/>
        <w:autoSpaceDN w:val="0"/>
        <w:adjustRightInd w:val="0"/>
        <w:spacing w:before="0" w:after="0" w:line="360" w:lineRule="auto"/>
        <w:ind w:firstLine="420" w:firstLineChars="200"/>
        <w:jc w:val="left"/>
        <w:rPr>
          <w:rFonts w:eastAsia="Times New Roman"/>
          <w:kern w:val="0"/>
          <w:sz w:val="21"/>
          <w:szCs w:val="21"/>
          <w:lang w:val="zh-CN"/>
        </w:rPr>
      </w:pPr>
      <w:r>
        <w:rPr>
          <w:rFonts w:hint="eastAsia" w:ascii="宋体" w:hAnsi="宋体" w:cs="宋体"/>
          <w:kern w:val="0"/>
          <w:sz w:val="21"/>
          <w:szCs w:val="21"/>
          <w:lang w:val="zh-CN"/>
        </w:rPr>
        <w:t>经营租赁是指除融资租赁以外的其他租赁。本集团作为承租方的租金在租赁期内的各个期间按直线法计入相关资产成本或当期损益，本集团作为出租方的租金在租赁期内的各个期间按直线法确认为收入。</w:t>
      </w:r>
    </w:p>
    <w:p>
      <w:pPr>
        <w:pStyle w:val="11"/>
        <w:outlineLvl w:val="3"/>
        <w:rPr>
          <w:bCs w:val="0"/>
          <w:szCs w:val="24"/>
        </w:rPr>
      </w:pPr>
      <w:r>
        <w:rPr>
          <w:rFonts w:hint="eastAsia"/>
          <w:bCs w:val="0"/>
          <w:szCs w:val="24"/>
        </w:rPr>
        <w:t>（</w:t>
      </w:r>
      <w:r>
        <w:rPr>
          <w:bCs w:val="0"/>
          <w:szCs w:val="24"/>
        </w:rPr>
        <w:t>2</w:t>
      </w:r>
      <w:r>
        <w:rPr>
          <w:rFonts w:hint="eastAsia"/>
          <w:bCs w:val="0"/>
          <w:szCs w:val="24"/>
        </w:rPr>
        <w:t>）融资租赁的会计处理方法</w:t>
      </w:r>
    </w:p>
    <w:p>
      <w:pPr>
        <w:autoSpaceDE w:val="0"/>
        <w:autoSpaceDN w:val="0"/>
        <w:adjustRightInd w:val="0"/>
        <w:spacing w:before="0" w:after="0" w:line="360" w:lineRule="auto"/>
        <w:ind w:firstLine="420" w:firstLineChars="200"/>
        <w:jc w:val="left"/>
        <w:rPr>
          <w:rFonts w:eastAsia="Times New Roman"/>
          <w:kern w:val="0"/>
          <w:sz w:val="21"/>
          <w:szCs w:val="21"/>
          <w:lang w:val="zh-CN"/>
        </w:rPr>
      </w:pPr>
      <w:r>
        <w:rPr>
          <w:rFonts w:hint="eastAsia" w:ascii="宋体" w:hAnsi="宋体" w:cs="宋体"/>
          <w:kern w:val="0"/>
          <w:sz w:val="21"/>
          <w:szCs w:val="21"/>
          <w:lang w:val="zh-CN"/>
        </w:rPr>
        <w:t>融资租赁是指实质上转移了与资产所有权有关的全部风险和报酬的租赁。</w:t>
      </w:r>
    </w:p>
    <w:p>
      <w:pPr>
        <w:pStyle w:val="11"/>
        <w:outlineLvl w:val="2"/>
        <w:rPr>
          <w:bCs w:val="0"/>
        </w:rPr>
      </w:pPr>
      <w:r>
        <w:rPr>
          <w:bCs w:val="0"/>
          <w:szCs w:val="24"/>
        </w:rPr>
        <w:t>25</w:t>
      </w:r>
      <w:r>
        <w:rPr>
          <w:rFonts w:hint="eastAsia"/>
          <w:bCs w:val="0"/>
          <w:szCs w:val="24"/>
        </w:rPr>
        <w:t>、</w:t>
      </w:r>
      <w:r>
        <w:rPr>
          <w:rFonts w:hint="eastAsia"/>
          <w:bCs w:val="0"/>
        </w:rPr>
        <w:t>其他重要的会计政策和会计估计</w:t>
      </w:r>
    </w:p>
    <w:p>
      <w:pPr>
        <w:autoSpaceDE w:val="0"/>
        <w:autoSpaceDN w:val="0"/>
        <w:adjustRightInd w:val="0"/>
        <w:spacing w:before="0" w:after="0" w:line="360" w:lineRule="auto"/>
        <w:ind w:firstLine="420" w:firstLineChars="200"/>
        <w:jc w:val="left"/>
        <w:rPr>
          <w:rFonts w:eastAsia="Times New Roman"/>
          <w:kern w:val="0"/>
          <w:sz w:val="21"/>
          <w:szCs w:val="21"/>
          <w:lang w:val="zh-CN"/>
        </w:rPr>
      </w:pPr>
      <w:r>
        <w:rPr>
          <w:rFonts w:hint="eastAsia" w:ascii="宋体" w:hAnsi="宋体" w:cs="宋体"/>
          <w:kern w:val="0"/>
          <w:sz w:val="21"/>
          <w:szCs w:val="21"/>
          <w:lang w:val="zh-CN"/>
        </w:rPr>
        <w:t>编制财务报表时，本集团管理层需要运用估计和假设，这些估计和假设会对会计政策的应用及资产、负债、收入及费用的金额产生影响。实际情况可能与这些估计不同。本集团管理层对估计涉及的关键假设和不确定性因素的判断进行持续评估。会计估计变更的影响在变更当期和未来期间予以确认。</w:t>
      </w:r>
    </w:p>
    <w:p>
      <w:pPr>
        <w:autoSpaceDE w:val="0"/>
        <w:autoSpaceDN w:val="0"/>
        <w:adjustRightInd w:val="0"/>
        <w:spacing w:before="100" w:after="0"/>
        <w:ind w:firstLine="440"/>
        <w:rPr>
          <w:rFonts w:eastAsia="Times New Roman"/>
          <w:kern w:val="0"/>
          <w:sz w:val="21"/>
          <w:szCs w:val="21"/>
          <w:lang w:val="zh-CN"/>
        </w:rPr>
      </w:pPr>
      <w:r>
        <w:rPr>
          <w:rFonts w:hint="eastAsia" w:ascii="宋体" w:hAnsi="宋体" w:cs="宋体"/>
          <w:kern w:val="0"/>
          <w:sz w:val="21"/>
          <w:szCs w:val="21"/>
          <w:lang w:val="zh-CN"/>
        </w:rPr>
        <w:t>下列会计估计及关键假设存在导致未来期间的资产及负债账面值发生重大调整的重要风险。</w:t>
      </w:r>
    </w:p>
    <w:p>
      <w:pPr>
        <w:autoSpaceDE w:val="0"/>
        <w:autoSpaceDN w:val="0"/>
        <w:adjustRightInd w:val="0"/>
        <w:spacing w:before="0" w:after="0" w:line="360" w:lineRule="auto"/>
        <w:ind w:firstLine="420" w:firstLineChars="200"/>
        <w:jc w:val="left"/>
        <w:rPr>
          <w:rFonts w:eastAsia="Times New Roman"/>
          <w:kern w:val="0"/>
          <w:sz w:val="21"/>
          <w:szCs w:val="21"/>
          <w:lang w:val="zh-CN"/>
        </w:rPr>
      </w:pPr>
      <w:r>
        <w:rPr>
          <w:rFonts w:hint="eastAsia" w:ascii="宋体" w:hAnsi="宋体" w:cs="宋体"/>
          <w:kern w:val="0"/>
          <w:sz w:val="21"/>
          <w:szCs w:val="21"/>
          <w:lang w:val="zh-CN"/>
        </w:rPr>
        <w:t>（</w:t>
      </w:r>
      <w:r>
        <w:rPr>
          <w:rFonts w:eastAsia="Times New Roman"/>
          <w:kern w:val="0"/>
          <w:sz w:val="21"/>
          <w:szCs w:val="21"/>
          <w:lang w:val="en-GB"/>
        </w:rPr>
        <w:t>1</w:t>
      </w:r>
      <w:r>
        <w:rPr>
          <w:rFonts w:hint="eastAsia" w:ascii="宋体" w:hAnsi="宋体" w:cs="宋体"/>
          <w:kern w:val="0"/>
          <w:sz w:val="21"/>
          <w:szCs w:val="21"/>
          <w:lang w:val="zh-CN"/>
        </w:rPr>
        <w:t>）应收款项减值</w:t>
      </w:r>
    </w:p>
    <w:p>
      <w:pPr>
        <w:autoSpaceDE w:val="0"/>
        <w:autoSpaceDN w:val="0"/>
        <w:adjustRightInd w:val="0"/>
        <w:spacing w:before="0" w:after="0" w:line="360" w:lineRule="auto"/>
        <w:ind w:firstLine="420" w:firstLineChars="200"/>
        <w:jc w:val="left"/>
        <w:rPr>
          <w:rFonts w:eastAsia="Times New Roman"/>
          <w:kern w:val="0"/>
          <w:sz w:val="21"/>
          <w:szCs w:val="21"/>
          <w:lang w:val="zh-CN"/>
        </w:rPr>
      </w:pPr>
      <w:r>
        <w:rPr>
          <w:rFonts w:hint="eastAsia" w:ascii="宋体" w:hAnsi="宋体" w:cs="宋体"/>
          <w:kern w:val="0"/>
          <w:sz w:val="21"/>
          <w:szCs w:val="21"/>
          <w:lang w:val="zh-CN"/>
        </w:rPr>
        <w:t>本集团在资产负债表日按摊余成本计量的应收款項，以评估是否出现减值情況，并在出现减值情況时评估减值损失的具体金额。减值的客观证据包括显示个别或组合应收款项预计未来现金流量出现大幅下降的可判断数据，显示个别或组合应收款项中债务人的财务状况出现重大负面的可判断数据等事項。如果有证据表明该应收款项价值已恢复，且客观上与确认该损失后发生的事项有关，则将原确认的减值损失予以转回。</w:t>
      </w:r>
    </w:p>
    <w:p>
      <w:pPr>
        <w:autoSpaceDE w:val="0"/>
        <w:autoSpaceDN w:val="0"/>
        <w:adjustRightInd w:val="0"/>
        <w:spacing w:before="0" w:after="0" w:line="360" w:lineRule="auto"/>
        <w:ind w:firstLine="420" w:firstLineChars="200"/>
        <w:jc w:val="left"/>
        <w:rPr>
          <w:rFonts w:eastAsia="Times New Roman"/>
          <w:kern w:val="0"/>
          <w:sz w:val="21"/>
          <w:szCs w:val="21"/>
          <w:lang w:val="zh-CN"/>
        </w:rPr>
      </w:pPr>
      <w:r>
        <w:rPr>
          <w:rFonts w:hint="eastAsia" w:ascii="宋体" w:hAnsi="宋体" w:cs="宋体"/>
          <w:kern w:val="0"/>
          <w:sz w:val="21"/>
          <w:szCs w:val="21"/>
          <w:lang w:val="zh-CN"/>
        </w:rPr>
        <w:t>（</w:t>
      </w:r>
      <w:r>
        <w:rPr>
          <w:rFonts w:eastAsia="Times New Roman"/>
          <w:kern w:val="0"/>
          <w:sz w:val="21"/>
          <w:szCs w:val="21"/>
          <w:lang w:val="en-GB"/>
        </w:rPr>
        <w:t>2</w:t>
      </w:r>
      <w:r>
        <w:rPr>
          <w:rFonts w:hint="eastAsia" w:ascii="宋体" w:hAnsi="宋体" w:cs="宋体"/>
          <w:kern w:val="0"/>
          <w:sz w:val="21"/>
          <w:szCs w:val="21"/>
          <w:lang w:val="zh-CN"/>
        </w:rPr>
        <w:t>）存货减值准备</w:t>
      </w:r>
    </w:p>
    <w:p>
      <w:pPr>
        <w:autoSpaceDE w:val="0"/>
        <w:autoSpaceDN w:val="0"/>
        <w:adjustRightInd w:val="0"/>
        <w:spacing w:before="0" w:after="0" w:line="360" w:lineRule="auto"/>
        <w:ind w:firstLine="420" w:firstLineChars="200"/>
        <w:jc w:val="left"/>
        <w:rPr>
          <w:rFonts w:eastAsia="Times New Roman"/>
          <w:kern w:val="0"/>
          <w:sz w:val="21"/>
          <w:szCs w:val="21"/>
          <w:lang w:val="zh-CN"/>
        </w:rPr>
      </w:pPr>
      <w:r>
        <w:rPr>
          <w:rFonts w:hint="eastAsia" w:ascii="宋体" w:hAnsi="宋体" w:cs="宋体"/>
          <w:kern w:val="0"/>
          <w:sz w:val="21"/>
          <w:szCs w:val="24"/>
          <w:lang w:val="zh-CN"/>
        </w:rPr>
        <w:t>本集团定期估计存货的可变现净值，并对存货成本高于可变现净值的差额确认存货跌价损失。本集团</w:t>
      </w:r>
      <w:r>
        <w:rPr>
          <w:rFonts w:hint="eastAsia" w:ascii="宋体" w:hAnsi="宋体" w:cs="宋体"/>
          <w:kern w:val="0"/>
          <w:sz w:val="21"/>
          <w:szCs w:val="21"/>
          <w:lang w:val="zh-CN"/>
        </w:rPr>
        <w:t>在估计存货的可变现净值时，以同类货物的预计售价减去完工时将要发生的成本、销售费用以及相关税费后的金额确定。当实际售价或成本费用与以前估计不同时，管理层将会对可变现净值进行相应的调整。因此根据现有经验进行估计的结果可能会与之后实际结果有所不同，可能导致对资产负债表中的存货账面价值的调整。因此存货跌价准备的金额可能会随上述原因而发生变化。对存货跌价准备的调整将影响估计变更当期的损益。</w:t>
      </w:r>
    </w:p>
    <w:p>
      <w:pPr>
        <w:autoSpaceDE w:val="0"/>
        <w:autoSpaceDN w:val="0"/>
        <w:adjustRightInd w:val="0"/>
        <w:spacing w:before="0" w:after="0" w:line="360" w:lineRule="auto"/>
        <w:ind w:firstLine="420" w:firstLineChars="200"/>
        <w:jc w:val="left"/>
        <w:rPr>
          <w:rFonts w:eastAsia="Times New Roman"/>
          <w:kern w:val="0"/>
          <w:sz w:val="21"/>
          <w:szCs w:val="21"/>
          <w:lang w:val="zh-CN"/>
        </w:rPr>
      </w:pPr>
      <w:r>
        <w:rPr>
          <w:rFonts w:hint="eastAsia" w:ascii="宋体" w:hAnsi="宋体" w:cs="宋体"/>
          <w:kern w:val="0"/>
          <w:sz w:val="21"/>
          <w:szCs w:val="21"/>
          <w:lang w:val="zh-CN"/>
        </w:rPr>
        <w:t>（</w:t>
      </w:r>
      <w:r>
        <w:rPr>
          <w:rFonts w:eastAsia="Times New Roman"/>
          <w:kern w:val="0"/>
          <w:sz w:val="21"/>
          <w:szCs w:val="21"/>
          <w:lang w:val="en-GB"/>
        </w:rPr>
        <w:t>3</w:t>
      </w:r>
      <w:r>
        <w:rPr>
          <w:rFonts w:hint="eastAsia" w:ascii="宋体" w:hAnsi="宋体" w:cs="宋体"/>
          <w:kern w:val="0"/>
          <w:sz w:val="21"/>
          <w:szCs w:val="21"/>
          <w:lang w:val="zh-CN"/>
        </w:rPr>
        <w:t>）商誉减值准备的会计估计</w:t>
      </w:r>
    </w:p>
    <w:p>
      <w:pPr>
        <w:autoSpaceDE w:val="0"/>
        <w:autoSpaceDN w:val="0"/>
        <w:adjustRightInd w:val="0"/>
        <w:spacing w:before="0" w:after="0" w:line="360" w:lineRule="auto"/>
        <w:ind w:firstLine="420" w:firstLineChars="200"/>
        <w:jc w:val="left"/>
        <w:rPr>
          <w:rFonts w:eastAsia="Times New Roman"/>
          <w:kern w:val="0"/>
          <w:sz w:val="21"/>
          <w:szCs w:val="21"/>
          <w:lang w:val="zh-CN"/>
        </w:rPr>
      </w:pPr>
      <w:r>
        <w:rPr>
          <w:rFonts w:hint="eastAsia" w:ascii="宋体" w:hAnsi="宋体" w:cs="宋体"/>
          <w:kern w:val="0"/>
          <w:sz w:val="21"/>
          <w:szCs w:val="21"/>
          <w:lang w:val="zh-CN"/>
        </w:rPr>
        <w:t>本集团每年对商誉进行减值测试。包含商誉的资产组和资产组组合的可收回金额为其预计未来现金流量的现值，其计算需要采用会计估计。</w:t>
      </w:r>
    </w:p>
    <w:p>
      <w:pPr>
        <w:autoSpaceDE w:val="0"/>
        <w:autoSpaceDN w:val="0"/>
        <w:adjustRightInd w:val="0"/>
        <w:spacing w:before="0" w:after="0" w:line="360" w:lineRule="auto"/>
        <w:ind w:firstLine="420" w:firstLineChars="200"/>
        <w:jc w:val="left"/>
        <w:rPr>
          <w:rFonts w:eastAsia="Times New Roman"/>
          <w:kern w:val="0"/>
          <w:sz w:val="21"/>
          <w:szCs w:val="21"/>
          <w:lang w:val="zh-CN"/>
        </w:rPr>
      </w:pPr>
      <w:r>
        <w:rPr>
          <w:rFonts w:hint="eastAsia" w:ascii="宋体" w:hAnsi="宋体" w:cs="宋体"/>
          <w:kern w:val="0"/>
          <w:sz w:val="21"/>
          <w:szCs w:val="21"/>
          <w:lang w:val="zh-CN"/>
        </w:rPr>
        <w:t>如果管理层对资产组和资产组组合未来现金流量计算中采用的毛利率进行修订，修订后的毛利率低于目前采用的毛利率，本集团需对商誉增加计提减值准备。</w:t>
      </w:r>
    </w:p>
    <w:p>
      <w:pPr>
        <w:autoSpaceDE w:val="0"/>
        <w:autoSpaceDN w:val="0"/>
        <w:adjustRightInd w:val="0"/>
        <w:spacing w:before="0" w:after="0" w:line="360" w:lineRule="auto"/>
        <w:ind w:firstLine="420" w:firstLineChars="200"/>
        <w:jc w:val="left"/>
        <w:rPr>
          <w:rFonts w:eastAsia="Times New Roman"/>
          <w:kern w:val="0"/>
          <w:sz w:val="21"/>
          <w:szCs w:val="21"/>
          <w:lang w:val="zh-CN"/>
        </w:rPr>
      </w:pPr>
      <w:r>
        <w:rPr>
          <w:rFonts w:hint="eastAsia" w:ascii="宋体" w:hAnsi="宋体" w:cs="宋体"/>
          <w:kern w:val="0"/>
          <w:sz w:val="21"/>
          <w:szCs w:val="21"/>
          <w:lang w:val="zh-CN"/>
        </w:rPr>
        <w:t>如果管理层对应用于现金流量折现的税前折现率进行重新修订，修订后的税前折率高于目前采用的折现率，本集团需对商誉增加计提减值准备。</w:t>
      </w:r>
    </w:p>
    <w:p>
      <w:pPr>
        <w:autoSpaceDE w:val="0"/>
        <w:autoSpaceDN w:val="0"/>
        <w:adjustRightInd w:val="0"/>
        <w:spacing w:before="0" w:after="0" w:line="360" w:lineRule="auto"/>
        <w:ind w:firstLine="420" w:firstLineChars="200"/>
        <w:jc w:val="left"/>
        <w:rPr>
          <w:rFonts w:eastAsia="Times New Roman"/>
          <w:kern w:val="0"/>
          <w:sz w:val="21"/>
          <w:szCs w:val="21"/>
          <w:lang w:val="zh-CN"/>
        </w:rPr>
      </w:pPr>
      <w:r>
        <w:rPr>
          <w:rFonts w:hint="eastAsia" w:ascii="宋体" w:hAnsi="宋体" w:cs="宋体"/>
          <w:kern w:val="0"/>
          <w:sz w:val="21"/>
          <w:szCs w:val="21"/>
          <w:lang w:val="zh-CN"/>
        </w:rPr>
        <w:t>如果实际毛利率或税前折现率高于或低于管理层的估计，本集团不能转回原已计提的商誉减值损失。</w:t>
      </w:r>
    </w:p>
    <w:p>
      <w:pPr>
        <w:autoSpaceDE w:val="0"/>
        <w:autoSpaceDN w:val="0"/>
        <w:adjustRightInd w:val="0"/>
        <w:spacing w:before="0" w:after="0" w:line="360" w:lineRule="auto"/>
        <w:ind w:firstLine="420" w:firstLineChars="200"/>
        <w:jc w:val="left"/>
        <w:rPr>
          <w:rFonts w:eastAsia="Times New Roman"/>
          <w:kern w:val="0"/>
          <w:sz w:val="21"/>
          <w:szCs w:val="21"/>
          <w:lang w:val="zh-CN"/>
        </w:rPr>
      </w:pPr>
      <w:r>
        <w:rPr>
          <w:rFonts w:hint="eastAsia" w:ascii="宋体" w:hAnsi="宋体" w:cs="宋体"/>
          <w:kern w:val="0"/>
          <w:sz w:val="21"/>
          <w:szCs w:val="21"/>
          <w:lang w:val="zh-CN"/>
        </w:rPr>
        <w:t>（</w:t>
      </w:r>
      <w:r>
        <w:rPr>
          <w:rFonts w:eastAsia="Times New Roman"/>
          <w:kern w:val="0"/>
          <w:sz w:val="21"/>
          <w:szCs w:val="21"/>
          <w:lang w:val="en-GB"/>
        </w:rPr>
        <w:t>4</w:t>
      </w:r>
      <w:r>
        <w:rPr>
          <w:rFonts w:hint="eastAsia" w:ascii="宋体" w:hAnsi="宋体" w:cs="宋体"/>
          <w:kern w:val="0"/>
          <w:sz w:val="21"/>
          <w:szCs w:val="21"/>
          <w:lang w:val="zh-CN"/>
        </w:rPr>
        <w:t>）固定资产及无形资产减值准备的会计估计</w:t>
      </w:r>
    </w:p>
    <w:p>
      <w:pPr>
        <w:autoSpaceDE w:val="0"/>
        <w:autoSpaceDN w:val="0"/>
        <w:adjustRightInd w:val="0"/>
        <w:spacing w:before="0" w:after="0" w:line="360" w:lineRule="auto"/>
        <w:ind w:firstLine="420" w:firstLineChars="200"/>
        <w:jc w:val="left"/>
        <w:rPr>
          <w:rFonts w:eastAsia="Times New Roman"/>
          <w:kern w:val="0"/>
          <w:sz w:val="21"/>
          <w:szCs w:val="21"/>
          <w:lang w:val="zh-CN"/>
        </w:rPr>
      </w:pPr>
      <w:r>
        <w:rPr>
          <w:rFonts w:hint="eastAsia" w:ascii="宋体" w:hAnsi="宋体" w:cs="宋体"/>
          <w:kern w:val="0"/>
          <w:sz w:val="21"/>
          <w:szCs w:val="21"/>
          <w:lang w:val="zh-CN"/>
        </w:rPr>
        <w:t>本集团在资产负债表日对使用寿命不确定的无形资产、存在减值迹象的固定资产及使用寿命确定的无形资产进行减值测试。固定资产或无形资产的可收回金额为其预计未来现金流量的现值和资产的公允价值减去处置费用后的净额中较高者，其计算需要采用会计估计。</w:t>
      </w:r>
    </w:p>
    <w:p>
      <w:pPr>
        <w:autoSpaceDE w:val="0"/>
        <w:autoSpaceDN w:val="0"/>
        <w:adjustRightInd w:val="0"/>
        <w:spacing w:before="0" w:after="0" w:line="360" w:lineRule="auto"/>
        <w:ind w:firstLine="420" w:firstLineChars="200"/>
        <w:jc w:val="left"/>
        <w:rPr>
          <w:rFonts w:eastAsia="Times New Roman"/>
          <w:kern w:val="0"/>
          <w:sz w:val="21"/>
          <w:szCs w:val="21"/>
          <w:lang w:val="zh-CN"/>
        </w:rPr>
      </w:pPr>
      <w:r>
        <w:rPr>
          <w:rFonts w:hint="eastAsia" w:ascii="宋体" w:hAnsi="宋体" w:cs="宋体"/>
          <w:kern w:val="0"/>
          <w:sz w:val="21"/>
          <w:szCs w:val="21"/>
          <w:lang w:val="zh-CN"/>
        </w:rPr>
        <w:t>如果管理层对资产组和资产组组合未来现金流量计算中采用的毛利率进行修订，修订后的毛利率低于目前采用的毛利率，本集团需对固定资产或无形资产增加计提减值准备。</w:t>
      </w:r>
    </w:p>
    <w:p>
      <w:pPr>
        <w:autoSpaceDE w:val="0"/>
        <w:autoSpaceDN w:val="0"/>
        <w:adjustRightInd w:val="0"/>
        <w:spacing w:before="240" w:after="0"/>
        <w:ind w:firstLine="440"/>
        <w:rPr>
          <w:rFonts w:eastAsia="Times New Roman"/>
          <w:kern w:val="0"/>
          <w:sz w:val="21"/>
          <w:szCs w:val="21"/>
          <w:lang w:val="zh-CN"/>
        </w:rPr>
      </w:pPr>
      <w:r>
        <w:rPr>
          <w:rFonts w:hint="eastAsia" w:ascii="宋体" w:hAnsi="宋体" w:cs="宋体"/>
          <w:kern w:val="0"/>
          <w:sz w:val="21"/>
          <w:szCs w:val="21"/>
          <w:lang w:val="zh-CN"/>
        </w:rPr>
        <w:t>如果管理层对应用于现金流量折现的税前折现率进行重新修订，修订后的税前折现率高于目前采用的折现率，本集团需对固定资产或无形资产增加计提减值准备。</w:t>
      </w:r>
    </w:p>
    <w:p>
      <w:pPr>
        <w:autoSpaceDE w:val="0"/>
        <w:autoSpaceDN w:val="0"/>
        <w:adjustRightInd w:val="0"/>
        <w:spacing w:before="0" w:after="0" w:line="360" w:lineRule="auto"/>
        <w:ind w:firstLine="420" w:firstLineChars="200"/>
        <w:jc w:val="left"/>
        <w:rPr>
          <w:rFonts w:eastAsia="Times New Roman"/>
          <w:kern w:val="0"/>
          <w:sz w:val="21"/>
          <w:szCs w:val="21"/>
          <w:lang w:val="zh-CN"/>
        </w:rPr>
      </w:pPr>
      <w:r>
        <w:rPr>
          <w:rFonts w:hint="eastAsia" w:ascii="宋体" w:hAnsi="宋体" w:cs="宋体"/>
          <w:kern w:val="0"/>
          <w:sz w:val="21"/>
          <w:szCs w:val="21"/>
          <w:lang w:val="zh-CN"/>
        </w:rPr>
        <w:t>如果实际毛利率或税前折现率高于或低于管理层估计，本集团不能转回原已计提的固定资产减值准备或无形资产减值准备。</w:t>
      </w:r>
    </w:p>
    <w:p>
      <w:pPr>
        <w:autoSpaceDE w:val="0"/>
        <w:autoSpaceDN w:val="0"/>
        <w:adjustRightInd w:val="0"/>
        <w:spacing w:before="0" w:after="0" w:line="360" w:lineRule="auto"/>
        <w:ind w:firstLine="420" w:firstLineChars="200"/>
        <w:jc w:val="left"/>
        <w:rPr>
          <w:rFonts w:eastAsia="Times New Roman"/>
          <w:kern w:val="0"/>
          <w:sz w:val="21"/>
          <w:szCs w:val="21"/>
          <w:lang w:val="zh-CN"/>
        </w:rPr>
      </w:pPr>
      <w:r>
        <w:rPr>
          <w:rFonts w:hint="eastAsia" w:ascii="宋体" w:hAnsi="宋体" w:cs="宋体"/>
          <w:kern w:val="0"/>
          <w:sz w:val="21"/>
          <w:szCs w:val="21"/>
          <w:lang w:val="zh-CN"/>
        </w:rPr>
        <w:t>（</w:t>
      </w:r>
      <w:r>
        <w:rPr>
          <w:rFonts w:eastAsia="Times New Roman"/>
          <w:kern w:val="0"/>
          <w:sz w:val="21"/>
          <w:szCs w:val="21"/>
          <w:lang w:val="en-GB"/>
        </w:rPr>
        <w:t>5</w:t>
      </w:r>
      <w:r>
        <w:rPr>
          <w:rFonts w:hint="eastAsia" w:ascii="宋体" w:hAnsi="宋体" w:cs="宋体"/>
          <w:kern w:val="0"/>
          <w:sz w:val="21"/>
          <w:szCs w:val="21"/>
          <w:lang w:val="zh-CN"/>
        </w:rPr>
        <w:t>）递延所得税资产确认的会计估计</w:t>
      </w:r>
    </w:p>
    <w:p>
      <w:pPr>
        <w:autoSpaceDE w:val="0"/>
        <w:autoSpaceDN w:val="0"/>
        <w:adjustRightInd w:val="0"/>
        <w:spacing w:before="0" w:after="0" w:line="360" w:lineRule="auto"/>
        <w:ind w:firstLine="420" w:firstLineChars="200"/>
        <w:jc w:val="left"/>
        <w:rPr>
          <w:rFonts w:eastAsia="Times New Roman"/>
          <w:kern w:val="0"/>
          <w:sz w:val="21"/>
          <w:szCs w:val="21"/>
          <w:lang w:val="zh-CN"/>
        </w:rPr>
      </w:pPr>
      <w:r>
        <w:rPr>
          <w:rFonts w:hint="eastAsia" w:ascii="宋体" w:hAnsi="宋体" w:cs="宋体"/>
          <w:kern w:val="0"/>
          <w:sz w:val="21"/>
          <w:szCs w:val="21"/>
          <w:lang w:val="zh-CN"/>
        </w:rPr>
        <w:t>递延所得税资产的估计需要对未来各个年度的应纳税所得额及适用的税率进行估计，递延所得税资产的实现取决于集团未来是否很可能获得足够的应纳税所得额。未来税率的变化和暂时性差异的转回时间也可能影响所得税费用（收益）以及递延所得税的余额。上述估计的变化可能导致对递延所得税的重要调整。</w:t>
      </w:r>
    </w:p>
    <w:p>
      <w:pPr>
        <w:autoSpaceDE w:val="0"/>
        <w:autoSpaceDN w:val="0"/>
        <w:adjustRightInd w:val="0"/>
        <w:spacing w:before="0" w:after="0" w:line="360" w:lineRule="auto"/>
        <w:ind w:firstLine="420" w:firstLineChars="200"/>
        <w:jc w:val="left"/>
        <w:rPr>
          <w:rFonts w:eastAsia="Times New Roman"/>
          <w:kern w:val="0"/>
          <w:sz w:val="21"/>
          <w:szCs w:val="21"/>
          <w:lang w:val="zh-CN"/>
        </w:rPr>
      </w:pPr>
      <w:r>
        <w:rPr>
          <w:rFonts w:hint="eastAsia" w:ascii="宋体" w:hAnsi="宋体" w:cs="宋体"/>
          <w:kern w:val="0"/>
          <w:sz w:val="21"/>
          <w:szCs w:val="21"/>
          <w:lang w:val="zh-CN"/>
        </w:rPr>
        <w:t>（</w:t>
      </w:r>
      <w:r>
        <w:rPr>
          <w:rFonts w:eastAsia="Times New Roman"/>
          <w:kern w:val="0"/>
          <w:sz w:val="21"/>
          <w:szCs w:val="21"/>
          <w:lang w:val="en-GB"/>
        </w:rPr>
        <w:t>6</w:t>
      </w:r>
      <w:r>
        <w:rPr>
          <w:rFonts w:hint="eastAsia" w:ascii="宋体" w:hAnsi="宋体" w:cs="宋体"/>
          <w:kern w:val="0"/>
          <w:sz w:val="21"/>
          <w:szCs w:val="21"/>
          <w:lang w:val="zh-CN"/>
        </w:rPr>
        <w:t>）固定资产、无形资产的可使用年限</w:t>
      </w:r>
    </w:p>
    <w:p>
      <w:pPr>
        <w:autoSpaceDE w:val="0"/>
        <w:autoSpaceDN w:val="0"/>
        <w:adjustRightInd w:val="0"/>
        <w:spacing w:before="0" w:after="0" w:line="360" w:lineRule="auto"/>
        <w:ind w:firstLine="420" w:firstLineChars="200"/>
        <w:jc w:val="left"/>
        <w:rPr>
          <w:rFonts w:eastAsia="Times New Roman"/>
          <w:kern w:val="0"/>
          <w:sz w:val="21"/>
          <w:szCs w:val="21"/>
          <w:lang w:val="zh-CN"/>
        </w:rPr>
      </w:pPr>
      <w:r>
        <w:rPr>
          <w:rFonts w:hint="eastAsia" w:ascii="宋体" w:hAnsi="宋体" w:cs="宋体"/>
          <w:kern w:val="0"/>
          <w:sz w:val="21"/>
          <w:szCs w:val="21"/>
          <w:lang w:val="zh-CN"/>
        </w:rPr>
        <w:t>本集团至少于每年年度终了，对固定资产和无形资产的预计使用寿命进行复核。预计使用寿命是管理层基于同类资产历史经验、参考同行业普遍所应用的估计并结合预期技术更新而决定的。当以往的估计发生重大变化时，则相应调整未来期间的折旧费用和摊销费用。</w:t>
      </w:r>
    </w:p>
    <w:p>
      <w:pPr>
        <w:pStyle w:val="11"/>
        <w:outlineLvl w:val="2"/>
        <w:rPr>
          <w:bCs w:val="0"/>
          <w:szCs w:val="24"/>
        </w:rPr>
      </w:pPr>
      <w:r>
        <w:rPr>
          <w:bCs w:val="0"/>
          <w:szCs w:val="24"/>
        </w:rPr>
        <w:t>26</w:t>
      </w:r>
      <w:r>
        <w:rPr>
          <w:rFonts w:hint="eastAsia"/>
          <w:bCs w:val="0"/>
          <w:szCs w:val="24"/>
        </w:rPr>
        <w:t>、重要会计政策和会计估计变更</w:t>
      </w:r>
    </w:p>
    <w:p>
      <w:pPr>
        <w:pStyle w:val="11"/>
        <w:outlineLvl w:val="3"/>
        <w:rPr>
          <w:bCs w:val="0"/>
          <w:szCs w:val="24"/>
        </w:rPr>
      </w:pPr>
      <w:r>
        <w:rPr>
          <w:rFonts w:hint="eastAsia"/>
          <w:bCs w:val="0"/>
          <w:szCs w:val="24"/>
        </w:rPr>
        <w:t>（</w:t>
      </w:r>
      <w:r>
        <w:rPr>
          <w:bCs w:val="0"/>
          <w:szCs w:val="24"/>
        </w:rPr>
        <w:t>1</w:t>
      </w:r>
      <w:r>
        <w:rPr>
          <w:rFonts w:hint="eastAsia"/>
          <w:bCs w:val="0"/>
          <w:szCs w:val="24"/>
        </w:rPr>
        <w:t>）重要会计政策变更</w:t>
      </w:r>
    </w:p>
    <w:p>
      <w:pPr>
        <w:jc w:val="left"/>
        <w:rPr>
          <w:sz w:val="21"/>
          <w:szCs w:val="21"/>
        </w:rPr>
      </w:pPr>
      <w:r>
        <w:rPr>
          <w:sz w:val="21"/>
          <w:szCs w:val="21"/>
        </w:rPr>
        <w:t xml:space="preserve">□ </w:t>
      </w:r>
      <w:r>
        <w:rPr>
          <w:rFonts w:hint="eastAsia"/>
          <w:sz w:val="21"/>
          <w:szCs w:val="21"/>
        </w:rPr>
        <w:t>适用</w:t>
      </w:r>
      <w:r>
        <w:rPr>
          <w:sz w:val="21"/>
          <w:szCs w:val="21"/>
        </w:rPr>
        <w:t xml:space="preserve"> √ </w:t>
      </w:r>
      <w:r>
        <w:rPr>
          <w:rFonts w:hint="eastAsia"/>
          <w:sz w:val="21"/>
          <w:szCs w:val="21"/>
        </w:rPr>
        <w:t>不适用</w:t>
      </w:r>
      <w:r>
        <w:rPr>
          <w:sz w:val="21"/>
          <w:szCs w:val="21"/>
        </w:rPr>
        <w:t xml:space="preserve"> </w:t>
      </w:r>
    </w:p>
    <w:p>
      <w:pPr>
        <w:pStyle w:val="11"/>
        <w:outlineLvl w:val="3"/>
        <w:rPr>
          <w:bCs w:val="0"/>
          <w:szCs w:val="24"/>
        </w:rPr>
      </w:pPr>
      <w:r>
        <w:rPr>
          <w:rFonts w:hint="eastAsia"/>
          <w:bCs w:val="0"/>
          <w:szCs w:val="24"/>
        </w:rPr>
        <w:t>（</w:t>
      </w:r>
      <w:r>
        <w:rPr>
          <w:bCs w:val="0"/>
          <w:szCs w:val="24"/>
        </w:rPr>
        <w:t>2</w:t>
      </w:r>
      <w:r>
        <w:rPr>
          <w:rFonts w:hint="eastAsia"/>
          <w:bCs w:val="0"/>
          <w:szCs w:val="24"/>
        </w:rPr>
        <w:t>）重要会计估计变更</w:t>
      </w:r>
    </w:p>
    <w:p>
      <w:pPr>
        <w:jc w:val="left"/>
        <w:rPr>
          <w:sz w:val="21"/>
          <w:szCs w:val="21"/>
        </w:rPr>
      </w:pPr>
      <w:r>
        <w:rPr>
          <w:sz w:val="21"/>
          <w:szCs w:val="21"/>
        </w:rPr>
        <w:t xml:space="preserve">□ </w:t>
      </w:r>
      <w:r>
        <w:rPr>
          <w:rFonts w:hint="eastAsia"/>
          <w:sz w:val="21"/>
          <w:szCs w:val="21"/>
        </w:rPr>
        <w:t>适用</w:t>
      </w:r>
      <w:r>
        <w:rPr>
          <w:sz w:val="21"/>
          <w:szCs w:val="21"/>
        </w:rPr>
        <w:t xml:space="preserve"> √ </w:t>
      </w:r>
      <w:r>
        <w:rPr>
          <w:rFonts w:hint="eastAsia"/>
          <w:sz w:val="21"/>
          <w:szCs w:val="21"/>
        </w:rPr>
        <w:t>不适用</w:t>
      </w:r>
      <w:r>
        <w:rPr>
          <w:sz w:val="21"/>
          <w:szCs w:val="21"/>
        </w:rPr>
        <w:t xml:space="preserve"> </w:t>
      </w:r>
    </w:p>
    <w:p>
      <w:pPr>
        <w:pStyle w:val="11"/>
        <w:outlineLvl w:val="2"/>
        <w:rPr>
          <w:bCs w:val="0"/>
          <w:szCs w:val="24"/>
        </w:rPr>
      </w:pPr>
      <w:r>
        <w:rPr>
          <w:bCs w:val="0"/>
          <w:szCs w:val="24"/>
        </w:rPr>
        <w:t>27</w:t>
      </w:r>
      <w:r>
        <w:rPr>
          <w:rFonts w:hint="eastAsia"/>
          <w:bCs w:val="0"/>
          <w:szCs w:val="24"/>
        </w:rPr>
        <w:t>、其他</w:t>
      </w:r>
    </w:p>
    <w:p>
      <w:pPr>
        <w:pStyle w:val="10"/>
        <w:outlineLvl w:val="1"/>
        <w:rPr>
          <w:bCs w:val="0"/>
        </w:rPr>
      </w:pPr>
      <w:r>
        <w:rPr>
          <w:rFonts w:hint="eastAsia"/>
          <w:bCs w:val="0"/>
        </w:rPr>
        <w:t>六、税项</w:t>
      </w:r>
    </w:p>
    <w:p>
      <w:pPr>
        <w:pStyle w:val="11"/>
        <w:outlineLvl w:val="2"/>
        <w:rPr>
          <w:bCs w:val="0"/>
          <w:szCs w:val="24"/>
        </w:rPr>
      </w:pPr>
      <w:r>
        <w:rPr>
          <w:bCs w:val="0"/>
          <w:szCs w:val="24"/>
        </w:rPr>
        <w:t>1</w:t>
      </w:r>
      <w:r>
        <w:rPr>
          <w:rFonts w:hint="eastAsia"/>
          <w:bCs w:val="0"/>
          <w:szCs w:val="24"/>
        </w:rPr>
        <w:t>、主要税种及税率</w:t>
      </w:r>
    </w:p>
    <w:tbl>
      <w:tblPr>
        <w:tblStyle w:val="8"/>
        <w:tblW w:w="9569" w:type="dxa"/>
        <w:tblInd w:w="28" w:type="dxa"/>
        <w:tblLayout w:type="fixed"/>
        <w:tblCellMar>
          <w:top w:w="0" w:type="dxa"/>
          <w:left w:w="28" w:type="dxa"/>
          <w:bottom w:w="0" w:type="dxa"/>
          <w:right w:w="28" w:type="dxa"/>
        </w:tblCellMar>
      </w:tblPr>
      <w:tblGrid>
        <w:gridCol w:w="3189"/>
        <w:gridCol w:w="3190"/>
        <w:gridCol w:w="3190"/>
      </w:tblGrid>
      <w:tr>
        <w:tblPrEx>
          <w:tblLayout w:type="fixed"/>
          <w:tblCellMar>
            <w:top w:w="0" w:type="dxa"/>
            <w:left w:w="28" w:type="dxa"/>
            <w:bottom w:w="0" w:type="dxa"/>
            <w:right w:w="28" w:type="dxa"/>
          </w:tblCellMar>
        </w:tblPrEx>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税种</w:t>
            </w:r>
          </w:p>
        </w:tc>
        <w:tc>
          <w:tcPr>
            <w:tcW w:w="319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计税依据</w:t>
            </w:r>
          </w:p>
        </w:tc>
        <w:tc>
          <w:tcPr>
            <w:tcW w:w="319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税率</w:t>
            </w:r>
          </w:p>
        </w:tc>
      </w:tr>
      <w:tr>
        <w:tblPrEx>
          <w:tblLayout w:type="fixed"/>
          <w:tblCellMar>
            <w:top w:w="0" w:type="dxa"/>
            <w:left w:w="28" w:type="dxa"/>
            <w:bottom w:w="0" w:type="dxa"/>
            <w:right w:w="28" w:type="dxa"/>
          </w:tblCellMar>
        </w:tblPrEx>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增值税</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销售货物或应税劳务所取得的销售额</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3%</w:t>
            </w:r>
            <w:r>
              <w:rPr>
                <w:rFonts w:hint="eastAsia"/>
                <w:sz w:val="21"/>
                <w:szCs w:val="21"/>
              </w:rPr>
              <w:t>、</w:t>
            </w:r>
            <w:r>
              <w:rPr>
                <w:sz w:val="21"/>
                <w:szCs w:val="21"/>
              </w:rPr>
              <w:t>6%</w:t>
            </w:r>
            <w:r>
              <w:rPr>
                <w:rFonts w:hint="eastAsia"/>
                <w:sz w:val="21"/>
                <w:szCs w:val="21"/>
              </w:rPr>
              <w:t>、</w:t>
            </w:r>
            <w:r>
              <w:rPr>
                <w:sz w:val="21"/>
                <w:szCs w:val="21"/>
              </w:rPr>
              <w:t>17%</w:t>
            </w:r>
            <w:r>
              <w:rPr>
                <w:rFonts w:hint="eastAsia"/>
                <w:sz w:val="21"/>
                <w:szCs w:val="21"/>
              </w:rPr>
              <w:t>、</w:t>
            </w:r>
            <w:r>
              <w:rPr>
                <w:sz w:val="21"/>
                <w:szCs w:val="21"/>
              </w:rPr>
              <w:t>19%</w:t>
            </w:r>
          </w:p>
        </w:tc>
      </w:tr>
      <w:tr>
        <w:tblPrEx>
          <w:tblLayout w:type="fixed"/>
          <w:tblCellMar>
            <w:top w:w="0" w:type="dxa"/>
            <w:left w:w="28" w:type="dxa"/>
            <w:bottom w:w="0" w:type="dxa"/>
            <w:right w:w="28" w:type="dxa"/>
          </w:tblCellMar>
        </w:tblPrEx>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消费税</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p>
        </w:tc>
      </w:tr>
      <w:tr>
        <w:tblPrEx>
          <w:tblLayout w:type="fixed"/>
          <w:tblCellMar>
            <w:top w:w="0" w:type="dxa"/>
            <w:left w:w="28" w:type="dxa"/>
            <w:bottom w:w="0" w:type="dxa"/>
            <w:right w:w="28" w:type="dxa"/>
          </w:tblCellMar>
        </w:tblPrEx>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城市维护建设税</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实际缴纳的增值税、消费税和营业税税额</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7%</w:t>
            </w:r>
            <w:r>
              <w:rPr>
                <w:rFonts w:hint="eastAsia"/>
                <w:sz w:val="21"/>
                <w:szCs w:val="21"/>
              </w:rPr>
              <w:t>、</w:t>
            </w:r>
            <w:r>
              <w:rPr>
                <w:sz w:val="21"/>
                <w:szCs w:val="21"/>
              </w:rPr>
              <w:t>5%</w:t>
            </w:r>
          </w:p>
        </w:tc>
      </w:tr>
      <w:tr>
        <w:tblPrEx>
          <w:tblLayout w:type="fixed"/>
          <w:tblCellMar>
            <w:top w:w="0" w:type="dxa"/>
            <w:left w:w="28" w:type="dxa"/>
            <w:bottom w:w="0" w:type="dxa"/>
            <w:right w:w="28" w:type="dxa"/>
          </w:tblCellMar>
        </w:tblPrEx>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企业所得税</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应纳税所得额</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15%</w:t>
            </w:r>
            <w:r>
              <w:rPr>
                <w:rFonts w:hint="eastAsia"/>
                <w:sz w:val="21"/>
                <w:szCs w:val="21"/>
              </w:rPr>
              <w:t>、</w:t>
            </w:r>
            <w:r>
              <w:rPr>
                <w:sz w:val="21"/>
                <w:szCs w:val="21"/>
              </w:rPr>
              <w:t>25%</w:t>
            </w:r>
            <w:r>
              <w:rPr>
                <w:rFonts w:hint="eastAsia"/>
                <w:sz w:val="21"/>
                <w:szCs w:val="21"/>
              </w:rPr>
              <w:t>、</w:t>
            </w:r>
            <w:r>
              <w:rPr>
                <w:sz w:val="21"/>
                <w:szCs w:val="21"/>
              </w:rPr>
              <w:t>16.5%</w:t>
            </w:r>
            <w:r>
              <w:rPr>
                <w:rFonts w:hint="eastAsia"/>
                <w:sz w:val="21"/>
                <w:szCs w:val="21"/>
              </w:rPr>
              <w:t>、</w:t>
            </w:r>
            <w:r>
              <w:rPr>
                <w:sz w:val="21"/>
                <w:szCs w:val="21"/>
              </w:rPr>
              <w:t>12.5%</w:t>
            </w:r>
          </w:p>
        </w:tc>
      </w:tr>
      <w:tr>
        <w:tblPrEx>
          <w:tblLayout w:type="fixed"/>
          <w:tblCellMar>
            <w:top w:w="0" w:type="dxa"/>
            <w:left w:w="28" w:type="dxa"/>
            <w:bottom w:w="0" w:type="dxa"/>
            <w:right w:w="28" w:type="dxa"/>
          </w:tblCellMar>
        </w:tblPrEx>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教育费附加</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实际缴纳的增值税、消费税和营业税税额</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3%</w:t>
            </w:r>
          </w:p>
        </w:tc>
      </w:tr>
      <w:tr>
        <w:tblPrEx>
          <w:tblLayout w:type="fixed"/>
          <w:tblCellMar>
            <w:top w:w="0" w:type="dxa"/>
            <w:left w:w="28" w:type="dxa"/>
            <w:bottom w:w="0" w:type="dxa"/>
            <w:right w:w="28" w:type="dxa"/>
          </w:tblCellMar>
        </w:tblPrEx>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地方教育费附加</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实际缴纳的增值税、消费税和营业税税额</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2%</w:t>
            </w:r>
          </w:p>
        </w:tc>
      </w:tr>
    </w:tbl>
    <w:p>
      <w:pPr>
        <w:jc w:val="left"/>
        <w:rPr>
          <w:sz w:val="21"/>
          <w:szCs w:val="21"/>
        </w:rPr>
      </w:pPr>
      <w:r>
        <w:rPr>
          <w:rFonts w:hint="eastAsia"/>
          <w:sz w:val="21"/>
          <w:szCs w:val="21"/>
        </w:rPr>
        <w:t>存在不同企业所得税税率纳税主体的，披露情况说明</w:t>
      </w:r>
    </w:p>
    <w:tbl>
      <w:tblPr>
        <w:tblStyle w:val="8"/>
        <w:tblW w:w="9568" w:type="dxa"/>
        <w:tblInd w:w="28" w:type="dxa"/>
        <w:tblLayout w:type="fixed"/>
        <w:tblCellMar>
          <w:top w:w="0" w:type="dxa"/>
          <w:left w:w="28" w:type="dxa"/>
          <w:bottom w:w="0" w:type="dxa"/>
          <w:right w:w="28" w:type="dxa"/>
        </w:tblCellMar>
      </w:tblPr>
      <w:tblGrid>
        <w:gridCol w:w="4782"/>
        <w:gridCol w:w="4786"/>
      </w:tblGrid>
      <w:tr>
        <w:tblPrEx>
          <w:tblLayout w:type="fixed"/>
          <w:tblCellMar>
            <w:top w:w="0" w:type="dxa"/>
            <w:left w:w="28" w:type="dxa"/>
            <w:bottom w:w="0" w:type="dxa"/>
            <w:right w:w="28" w:type="dxa"/>
          </w:tblCellMar>
        </w:tblPrEx>
        <w:tc>
          <w:tcPr>
            <w:tcW w:w="478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纳税主体名称</w:t>
            </w:r>
          </w:p>
        </w:tc>
        <w:tc>
          <w:tcPr>
            <w:tcW w:w="478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所得税税率</w:t>
            </w:r>
          </w:p>
        </w:tc>
      </w:tr>
      <w:tr>
        <w:tblPrEx>
          <w:tblLayout w:type="fixed"/>
          <w:tblCellMar>
            <w:top w:w="0" w:type="dxa"/>
            <w:left w:w="28" w:type="dxa"/>
            <w:bottom w:w="0" w:type="dxa"/>
            <w:right w:w="28" w:type="dxa"/>
          </w:tblCellMar>
        </w:tblPrEx>
        <w:tc>
          <w:tcPr>
            <w:tcW w:w="478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本公司</w:t>
            </w:r>
          </w:p>
        </w:tc>
        <w:tc>
          <w:tcPr>
            <w:tcW w:w="478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15%</w:t>
            </w:r>
          </w:p>
        </w:tc>
      </w:tr>
      <w:tr>
        <w:tblPrEx>
          <w:tblLayout w:type="fixed"/>
          <w:tblCellMar>
            <w:top w:w="0" w:type="dxa"/>
            <w:left w:w="28" w:type="dxa"/>
            <w:bottom w:w="0" w:type="dxa"/>
            <w:right w:w="28" w:type="dxa"/>
          </w:tblCellMar>
        </w:tblPrEx>
        <w:tc>
          <w:tcPr>
            <w:tcW w:w="478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成都海兰天澄科技股份有限公司</w:t>
            </w:r>
          </w:p>
        </w:tc>
        <w:tc>
          <w:tcPr>
            <w:tcW w:w="478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15%</w:t>
            </w:r>
          </w:p>
        </w:tc>
      </w:tr>
      <w:tr>
        <w:tblPrEx>
          <w:tblLayout w:type="fixed"/>
          <w:tblCellMar>
            <w:top w:w="0" w:type="dxa"/>
            <w:left w:w="28" w:type="dxa"/>
            <w:bottom w:w="0" w:type="dxa"/>
            <w:right w:w="28" w:type="dxa"/>
          </w:tblCellMar>
        </w:tblPrEx>
        <w:tc>
          <w:tcPr>
            <w:tcW w:w="478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北京劳雷海洋仪器有限公司</w:t>
            </w:r>
          </w:p>
        </w:tc>
        <w:tc>
          <w:tcPr>
            <w:tcW w:w="478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15%</w:t>
            </w:r>
          </w:p>
        </w:tc>
      </w:tr>
      <w:tr>
        <w:tblPrEx>
          <w:tblLayout w:type="fixed"/>
          <w:tblCellMar>
            <w:top w:w="0" w:type="dxa"/>
            <w:left w:w="28" w:type="dxa"/>
            <w:bottom w:w="0" w:type="dxa"/>
            <w:right w:w="28" w:type="dxa"/>
          </w:tblCellMar>
        </w:tblPrEx>
        <w:tc>
          <w:tcPr>
            <w:tcW w:w="478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北京海兰盈华科技有限公司</w:t>
            </w:r>
          </w:p>
        </w:tc>
        <w:tc>
          <w:tcPr>
            <w:tcW w:w="478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12.5%</w:t>
            </w:r>
          </w:p>
        </w:tc>
      </w:tr>
      <w:tr>
        <w:tblPrEx>
          <w:tblLayout w:type="fixed"/>
          <w:tblCellMar>
            <w:top w:w="0" w:type="dxa"/>
            <w:left w:w="28" w:type="dxa"/>
            <w:bottom w:w="0" w:type="dxa"/>
            <w:right w:w="28" w:type="dxa"/>
          </w:tblCellMar>
        </w:tblPrEx>
        <w:tc>
          <w:tcPr>
            <w:tcW w:w="478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Rockson Automation GmbH</w:t>
            </w:r>
          </w:p>
        </w:tc>
        <w:tc>
          <w:tcPr>
            <w:tcW w:w="478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30.875%</w:t>
            </w:r>
          </w:p>
        </w:tc>
      </w:tr>
    </w:tbl>
    <w:p>
      <w:pPr>
        <w:pStyle w:val="11"/>
        <w:outlineLvl w:val="2"/>
        <w:rPr>
          <w:bCs w:val="0"/>
          <w:szCs w:val="24"/>
        </w:rPr>
      </w:pPr>
      <w:r>
        <w:rPr>
          <w:bCs w:val="0"/>
          <w:szCs w:val="24"/>
        </w:rPr>
        <w:t>2</w:t>
      </w:r>
      <w:r>
        <w:rPr>
          <w:rFonts w:hint="eastAsia"/>
          <w:bCs w:val="0"/>
          <w:szCs w:val="24"/>
        </w:rPr>
        <w:t>、税收优惠</w:t>
      </w:r>
    </w:p>
    <w:p>
      <w:pPr>
        <w:numPr>
          <w:ilvl w:val="0"/>
          <w:numId w:val="2"/>
        </w:numPr>
        <w:autoSpaceDE w:val="0"/>
        <w:autoSpaceDN w:val="0"/>
        <w:adjustRightInd w:val="0"/>
        <w:spacing w:before="240" w:after="0"/>
        <w:ind w:left="1410" w:hanging="360"/>
        <w:rPr>
          <w:rFonts w:eastAsia="Times New Roman"/>
          <w:kern w:val="0"/>
          <w:sz w:val="21"/>
          <w:szCs w:val="21"/>
          <w:lang w:val="zh-CN"/>
        </w:rPr>
      </w:pPr>
      <w:r>
        <w:rPr>
          <w:rFonts w:hint="eastAsia" w:ascii="宋体" w:hAnsi="宋体" w:cs="宋体"/>
          <w:kern w:val="0"/>
          <w:sz w:val="21"/>
          <w:szCs w:val="21"/>
          <w:lang w:val="zh-CN"/>
        </w:rPr>
        <w:t>增值税</w:t>
      </w:r>
    </w:p>
    <w:p>
      <w:pPr>
        <w:autoSpaceDE w:val="0"/>
        <w:autoSpaceDN w:val="0"/>
        <w:adjustRightInd w:val="0"/>
        <w:spacing w:before="0" w:after="0" w:line="360" w:lineRule="auto"/>
        <w:ind w:firstLine="420" w:firstLineChars="200"/>
        <w:jc w:val="left"/>
        <w:rPr>
          <w:rFonts w:eastAsia="Times New Roman"/>
          <w:kern w:val="0"/>
          <w:sz w:val="21"/>
          <w:szCs w:val="21"/>
          <w:lang w:val="zh-CN"/>
        </w:rPr>
      </w:pPr>
      <w:r>
        <w:rPr>
          <w:rFonts w:hint="eastAsia" w:ascii="宋体" w:hAnsi="宋体" w:cs="宋体"/>
          <w:kern w:val="0"/>
          <w:sz w:val="21"/>
          <w:szCs w:val="24"/>
          <w:lang w:val="zh-CN"/>
        </w:rPr>
        <w:t>根据财税</w:t>
      </w:r>
      <w:r>
        <w:rPr>
          <w:rFonts w:ascii="宋体" w:hAnsi="宋体" w:cs="宋体"/>
          <w:kern w:val="0"/>
          <w:sz w:val="21"/>
          <w:szCs w:val="24"/>
          <w:lang w:val="zh-CN"/>
        </w:rPr>
        <w:t>[2011]100</w:t>
      </w:r>
      <w:r>
        <w:rPr>
          <w:rFonts w:hint="eastAsia" w:ascii="宋体" w:hAnsi="宋体" w:cs="宋体"/>
          <w:kern w:val="0"/>
          <w:sz w:val="21"/>
          <w:szCs w:val="24"/>
          <w:lang w:val="zh-CN"/>
        </w:rPr>
        <w:t>号规定，对增值税一般纳税人销售其自行开发生产的软件产品，按</w:t>
      </w:r>
      <w:r>
        <w:rPr>
          <w:rFonts w:ascii="宋体" w:hAnsi="宋体" w:cs="宋体"/>
          <w:kern w:val="0"/>
          <w:sz w:val="21"/>
          <w:szCs w:val="24"/>
          <w:lang w:val="zh-CN"/>
        </w:rPr>
        <w:t>17%</w:t>
      </w:r>
      <w:r>
        <w:rPr>
          <w:rFonts w:hint="eastAsia" w:ascii="宋体" w:hAnsi="宋体" w:cs="宋体"/>
          <w:kern w:val="0"/>
          <w:sz w:val="21"/>
          <w:szCs w:val="24"/>
          <w:lang w:val="zh-CN"/>
        </w:rPr>
        <w:t>的法定</w:t>
      </w:r>
      <w:r>
        <w:rPr>
          <w:rFonts w:hint="eastAsia" w:ascii="宋体" w:hAnsi="宋体" w:cs="宋体"/>
          <w:kern w:val="0"/>
          <w:sz w:val="21"/>
          <w:szCs w:val="21"/>
          <w:lang w:val="zh-CN"/>
        </w:rPr>
        <w:t>税率征收增值税后，对其增值税实际税负超过</w:t>
      </w:r>
      <w:r>
        <w:rPr>
          <w:rFonts w:eastAsia="Times New Roman"/>
          <w:kern w:val="0"/>
          <w:sz w:val="21"/>
          <w:szCs w:val="21"/>
          <w:lang w:val="zh-CN"/>
        </w:rPr>
        <w:t>3%</w:t>
      </w:r>
      <w:r>
        <w:rPr>
          <w:rFonts w:hint="eastAsia" w:ascii="宋体" w:hAnsi="宋体" w:cs="宋体"/>
          <w:kern w:val="0"/>
          <w:sz w:val="21"/>
          <w:szCs w:val="21"/>
          <w:lang w:val="zh-CN"/>
        </w:rPr>
        <w:t>的部分实行即征即退政策。本公司于</w:t>
      </w:r>
      <w:r>
        <w:rPr>
          <w:rFonts w:eastAsia="Times New Roman"/>
          <w:kern w:val="0"/>
          <w:sz w:val="21"/>
          <w:szCs w:val="21"/>
          <w:lang w:val="zh-CN"/>
        </w:rPr>
        <w:t>2011</w:t>
      </w:r>
      <w:r>
        <w:rPr>
          <w:rFonts w:hint="eastAsia" w:ascii="宋体" w:hAnsi="宋体" w:cs="宋体"/>
          <w:kern w:val="0"/>
          <w:sz w:val="21"/>
          <w:szCs w:val="21"/>
          <w:lang w:val="zh-CN"/>
        </w:rPr>
        <w:t>年</w:t>
      </w:r>
      <w:r>
        <w:rPr>
          <w:rFonts w:eastAsia="Times New Roman"/>
          <w:kern w:val="0"/>
          <w:sz w:val="21"/>
          <w:szCs w:val="21"/>
          <w:lang w:val="zh-CN"/>
        </w:rPr>
        <w:t>12</w:t>
      </w:r>
      <w:r>
        <w:rPr>
          <w:rFonts w:hint="eastAsia" w:ascii="宋体" w:hAnsi="宋体" w:cs="宋体"/>
          <w:kern w:val="0"/>
          <w:sz w:val="21"/>
          <w:szCs w:val="21"/>
          <w:lang w:val="zh-CN"/>
        </w:rPr>
        <w:t>月取得了主管税务机关的批复文件，文件明确了本公司享受软件产品即征即退减免税优惠政策。</w:t>
      </w:r>
    </w:p>
    <w:p>
      <w:pPr>
        <w:numPr>
          <w:ilvl w:val="0"/>
          <w:numId w:val="3"/>
        </w:numPr>
        <w:autoSpaceDE w:val="0"/>
        <w:autoSpaceDN w:val="0"/>
        <w:adjustRightInd w:val="0"/>
        <w:spacing w:before="240" w:after="0"/>
        <w:ind w:left="1050" w:hanging="360"/>
        <w:rPr>
          <w:rFonts w:eastAsia="Times New Roman"/>
          <w:kern w:val="0"/>
          <w:sz w:val="21"/>
          <w:szCs w:val="21"/>
          <w:lang w:val="zh-CN"/>
        </w:rPr>
      </w:pPr>
      <w:r>
        <w:rPr>
          <w:rFonts w:hint="eastAsia" w:ascii="宋体" w:hAnsi="宋体" w:cs="宋体"/>
          <w:kern w:val="0"/>
          <w:sz w:val="21"/>
          <w:szCs w:val="21"/>
          <w:lang w:val="zh-CN"/>
        </w:rPr>
        <w:t>所得税</w:t>
      </w:r>
    </w:p>
    <w:p>
      <w:pPr>
        <w:autoSpaceDE w:val="0"/>
        <w:autoSpaceDN w:val="0"/>
        <w:adjustRightInd w:val="0"/>
        <w:spacing w:before="0" w:after="0" w:line="360" w:lineRule="auto"/>
        <w:ind w:firstLine="420" w:firstLineChars="200"/>
        <w:jc w:val="left"/>
        <w:rPr>
          <w:rFonts w:eastAsia="Times New Roman"/>
          <w:kern w:val="0"/>
          <w:sz w:val="21"/>
          <w:szCs w:val="21"/>
          <w:lang w:val="zh-CN"/>
        </w:rPr>
      </w:pPr>
      <w:r>
        <w:rPr>
          <w:rFonts w:eastAsia="Times New Roman"/>
          <w:kern w:val="0"/>
          <w:sz w:val="21"/>
          <w:szCs w:val="21"/>
          <w:lang w:val="en-GB"/>
        </w:rPr>
        <w:t>2014</w:t>
      </w:r>
      <w:r>
        <w:rPr>
          <w:rFonts w:hint="eastAsia" w:ascii="宋体" w:hAnsi="宋体" w:cs="宋体"/>
          <w:kern w:val="0"/>
          <w:sz w:val="21"/>
          <w:szCs w:val="21"/>
          <w:lang w:val="zh-CN"/>
        </w:rPr>
        <w:t>年</w:t>
      </w:r>
      <w:r>
        <w:rPr>
          <w:rFonts w:eastAsia="Times New Roman"/>
          <w:kern w:val="0"/>
          <w:sz w:val="21"/>
          <w:szCs w:val="21"/>
          <w:lang w:val="en-GB"/>
        </w:rPr>
        <w:t>10</w:t>
      </w:r>
      <w:r>
        <w:rPr>
          <w:rFonts w:hint="eastAsia" w:ascii="宋体" w:hAnsi="宋体" w:cs="宋体"/>
          <w:kern w:val="0"/>
          <w:sz w:val="21"/>
          <w:szCs w:val="21"/>
          <w:lang w:val="zh-CN"/>
        </w:rPr>
        <w:t>月</w:t>
      </w:r>
      <w:r>
        <w:rPr>
          <w:rFonts w:eastAsia="Times New Roman"/>
          <w:kern w:val="0"/>
          <w:sz w:val="21"/>
          <w:szCs w:val="21"/>
          <w:lang w:val="en-GB"/>
        </w:rPr>
        <w:t>30</w:t>
      </w:r>
      <w:r>
        <w:rPr>
          <w:rFonts w:hint="eastAsia" w:ascii="宋体" w:hAnsi="宋体" w:cs="宋体"/>
          <w:kern w:val="0"/>
          <w:sz w:val="21"/>
          <w:szCs w:val="21"/>
          <w:lang w:val="zh-CN"/>
        </w:rPr>
        <w:t>日，经北京市科学技术委员会、北京市财政局、北京市国家税务局、北京市地方税务局批准，本公司被认定为高新技术企业，证书编号：</w:t>
      </w:r>
      <w:r>
        <w:rPr>
          <w:rFonts w:eastAsia="Times New Roman"/>
          <w:kern w:val="0"/>
          <w:sz w:val="21"/>
          <w:szCs w:val="21"/>
          <w:lang w:val="en-GB"/>
        </w:rPr>
        <w:t>GR201411000648</w:t>
      </w:r>
      <w:r>
        <w:rPr>
          <w:rFonts w:hint="eastAsia" w:ascii="宋体" w:hAnsi="宋体" w:cs="宋体"/>
          <w:kern w:val="0"/>
          <w:sz w:val="21"/>
          <w:szCs w:val="21"/>
          <w:lang w:val="zh-CN"/>
        </w:rPr>
        <w:t>，有效期三年。</w:t>
      </w:r>
      <w:r>
        <w:rPr>
          <w:rFonts w:eastAsia="Times New Roman"/>
          <w:kern w:val="0"/>
          <w:sz w:val="21"/>
          <w:szCs w:val="21"/>
          <w:lang w:val="en-GB"/>
        </w:rPr>
        <w:t>2014</w:t>
      </w:r>
      <w:r>
        <w:rPr>
          <w:rFonts w:hint="eastAsia" w:ascii="宋体" w:hAnsi="宋体" w:cs="宋体"/>
          <w:kern w:val="0"/>
          <w:sz w:val="21"/>
          <w:szCs w:val="21"/>
          <w:lang w:val="zh-CN"/>
        </w:rPr>
        <w:t>年</w:t>
      </w:r>
      <w:r>
        <w:rPr>
          <w:rFonts w:eastAsia="Times New Roman"/>
          <w:kern w:val="0"/>
          <w:sz w:val="21"/>
          <w:szCs w:val="21"/>
          <w:lang w:val="en-GB"/>
        </w:rPr>
        <w:t>-2016</w:t>
      </w:r>
      <w:r>
        <w:rPr>
          <w:rFonts w:hint="eastAsia" w:ascii="宋体" w:hAnsi="宋体" w:cs="宋体"/>
          <w:kern w:val="0"/>
          <w:sz w:val="21"/>
          <w:szCs w:val="21"/>
          <w:lang w:val="zh-CN"/>
        </w:rPr>
        <w:t>年，本公司按规定执行</w:t>
      </w:r>
      <w:r>
        <w:rPr>
          <w:rFonts w:eastAsia="Times New Roman"/>
          <w:kern w:val="0"/>
          <w:sz w:val="21"/>
          <w:szCs w:val="21"/>
          <w:lang w:val="en-GB"/>
        </w:rPr>
        <w:t>15%</w:t>
      </w:r>
      <w:r>
        <w:rPr>
          <w:rFonts w:hint="eastAsia" w:ascii="宋体" w:hAnsi="宋体" w:cs="宋体"/>
          <w:kern w:val="0"/>
          <w:sz w:val="21"/>
          <w:szCs w:val="21"/>
          <w:lang w:val="zh-CN"/>
        </w:rPr>
        <w:t>的企业所得税优惠税率。</w:t>
      </w:r>
    </w:p>
    <w:p>
      <w:pPr>
        <w:autoSpaceDE w:val="0"/>
        <w:autoSpaceDN w:val="0"/>
        <w:adjustRightInd w:val="0"/>
        <w:spacing w:before="0" w:after="0" w:line="360" w:lineRule="auto"/>
        <w:ind w:firstLine="420" w:firstLineChars="200"/>
        <w:jc w:val="left"/>
        <w:rPr>
          <w:rFonts w:eastAsia="Times New Roman"/>
          <w:kern w:val="0"/>
          <w:sz w:val="21"/>
          <w:szCs w:val="21"/>
          <w:lang w:val="zh-CN"/>
        </w:rPr>
      </w:pPr>
      <w:r>
        <w:rPr>
          <w:rFonts w:eastAsia="Times New Roman"/>
          <w:kern w:val="0"/>
          <w:sz w:val="21"/>
          <w:szCs w:val="21"/>
          <w:lang w:val="en-GB"/>
        </w:rPr>
        <w:t>2014</w:t>
      </w:r>
      <w:r>
        <w:rPr>
          <w:rFonts w:hint="eastAsia" w:ascii="宋体" w:hAnsi="宋体" w:cs="宋体"/>
          <w:kern w:val="0"/>
          <w:sz w:val="21"/>
          <w:szCs w:val="21"/>
          <w:lang w:val="zh-CN"/>
        </w:rPr>
        <w:t>年</w:t>
      </w:r>
      <w:r>
        <w:rPr>
          <w:rFonts w:eastAsia="Times New Roman"/>
          <w:kern w:val="0"/>
          <w:sz w:val="21"/>
          <w:szCs w:val="21"/>
          <w:lang w:val="en-GB"/>
        </w:rPr>
        <w:t>7</w:t>
      </w:r>
      <w:r>
        <w:rPr>
          <w:rFonts w:hint="eastAsia" w:ascii="宋体" w:hAnsi="宋体" w:cs="宋体"/>
          <w:kern w:val="0"/>
          <w:sz w:val="21"/>
          <w:szCs w:val="21"/>
          <w:lang w:val="zh-CN"/>
        </w:rPr>
        <w:t>月</w:t>
      </w:r>
      <w:r>
        <w:rPr>
          <w:rFonts w:eastAsia="Times New Roman"/>
          <w:kern w:val="0"/>
          <w:sz w:val="21"/>
          <w:szCs w:val="21"/>
          <w:lang w:val="en-GB"/>
        </w:rPr>
        <w:t>9</w:t>
      </w:r>
      <w:r>
        <w:rPr>
          <w:rFonts w:hint="eastAsia" w:ascii="宋体" w:hAnsi="宋体" w:cs="宋体"/>
          <w:kern w:val="0"/>
          <w:sz w:val="21"/>
          <w:szCs w:val="21"/>
          <w:lang w:val="zh-CN"/>
        </w:rPr>
        <w:t>日，经四川省科学技术厅、四川省财政厅、四川省国家税务局、四川省地方税务局批准，本公司子公司成都海兰天澄科技股份有限公司被认定为高新技术企业，证书编号：</w:t>
      </w:r>
      <w:r>
        <w:rPr>
          <w:rFonts w:eastAsia="Times New Roman"/>
          <w:kern w:val="0"/>
          <w:sz w:val="21"/>
          <w:szCs w:val="21"/>
          <w:lang w:val="en-GB"/>
        </w:rPr>
        <w:t>GF201451000039</w:t>
      </w:r>
      <w:r>
        <w:rPr>
          <w:rFonts w:hint="eastAsia" w:ascii="宋体" w:hAnsi="宋体" w:cs="宋体"/>
          <w:kern w:val="0"/>
          <w:sz w:val="21"/>
          <w:szCs w:val="21"/>
          <w:lang w:val="zh-CN"/>
        </w:rPr>
        <w:t>，有效期三年。</w:t>
      </w:r>
      <w:r>
        <w:rPr>
          <w:rFonts w:eastAsia="Times New Roman"/>
          <w:kern w:val="0"/>
          <w:sz w:val="21"/>
          <w:szCs w:val="21"/>
          <w:lang w:val="en-GB"/>
        </w:rPr>
        <w:t>2014</w:t>
      </w:r>
      <w:r>
        <w:rPr>
          <w:rFonts w:hint="eastAsia" w:ascii="宋体" w:hAnsi="宋体" w:cs="宋体"/>
          <w:kern w:val="0"/>
          <w:sz w:val="21"/>
          <w:szCs w:val="21"/>
          <w:lang w:val="zh-CN"/>
        </w:rPr>
        <w:t>年</w:t>
      </w:r>
      <w:r>
        <w:rPr>
          <w:rFonts w:eastAsia="Times New Roman"/>
          <w:kern w:val="0"/>
          <w:sz w:val="21"/>
          <w:szCs w:val="21"/>
          <w:lang w:val="en-GB"/>
        </w:rPr>
        <w:t>-2016</w:t>
      </w:r>
      <w:r>
        <w:rPr>
          <w:rFonts w:hint="eastAsia" w:ascii="宋体" w:hAnsi="宋体" w:cs="宋体"/>
          <w:kern w:val="0"/>
          <w:sz w:val="21"/>
          <w:szCs w:val="21"/>
          <w:lang w:val="zh-CN"/>
        </w:rPr>
        <w:t>年，成都海兰天澄科技股份有限公司享受</w:t>
      </w:r>
      <w:r>
        <w:rPr>
          <w:rFonts w:eastAsia="Times New Roman"/>
          <w:kern w:val="0"/>
          <w:sz w:val="21"/>
          <w:szCs w:val="21"/>
          <w:lang w:val="en-GB"/>
        </w:rPr>
        <w:t>15%</w:t>
      </w:r>
      <w:r>
        <w:rPr>
          <w:rFonts w:hint="eastAsia" w:ascii="宋体" w:hAnsi="宋体" w:cs="宋体"/>
          <w:kern w:val="0"/>
          <w:sz w:val="21"/>
          <w:szCs w:val="21"/>
          <w:lang w:val="zh-CN"/>
        </w:rPr>
        <w:t>的企业所得税优惠税率。</w:t>
      </w:r>
    </w:p>
    <w:p>
      <w:pPr>
        <w:autoSpaceDE w:val="0"/>
        <w:autoSpaceDN w:val="0"/>
        <w:adjustRightInd w:val="0"/>
        <w:spacing w:before="0" w:after="0" w:line="360" w:lineRule="auto"/>
        <w:ind w:firstLine="420" w:firstLineChars="200"/>
        <w:jc w:val="left"/>
        <w:rPr>
          <w:rFonts w:eastAsia="Times New Roman"/>
          <w:kern w:val="0"/>
          <w:sz w:val="21"/>
          <w:szCs w:val="21"/>
          <w:lang w:val="zh-CN"/>
        </w:rPr>
      </w:pPr>
      <w:r>
        <w:rPr>
          <w:rFonts w:eastAsia="Times New Roman"/>
          <w:kern w:val="0"/>
          <w:sz w:val="21"/>
          <w:szCs w:val="21"/>
          <w:lang w:val="en-GB"/>
        </w:rPr>
        <w:t>2014</w:t>
      </w:r>
      <w:r>
        <w:rPr>
          <w:rFonts w:hint="eastAsia" w:ascii="宋体" w:hAnsi="宋体" w:cs="宋体"/>
          <w:kern w:val="0"/>
          <w:sz w:val="21"/>
          <w:szCs w:val="21"/>
          <w:lang w:val="zh-CN"/>
        </w:rPr>
        <w:t>年</w:t>
      </w:r>
      <w:r>
        <w:rPr>
          <w:rFonts w:eastAsia="Times New Roman"/>
          <w:kern w:val="0"/>
          <w:sz w:val="21"/>
          <w:szCs w:val="21"/>
          <w:lang w:val="en-GB"/>
        </w:rPr>
        <w:t>8</w:t>
      </w:r>
      <w:r>
        <w:rPr>
          <w:rFonts w:hint="eastAsia" w:ascii="宋体" w:hAnsi="宋体" w:cs="宋体"/>
          <w:kern w:val="0"/>
          <w:sz w:val="21"/>
          <w:szCs w:val="21"/>
          <w:lang w:val="zh-CN"/>
        </w:rPr>
        <w:t>月</w:t>
      </w:r>
      <w:r>
        <w:rPr>
          <w:rFonts w:eastAsia="Times New Roman"/>
          <w:kern w:val="0"/>
          <w:sz w:val="21"/>
          <w:szCs w:val="21"/>
          <w:lang w:val="en-GB"/>
        </w:rPr>
        <w:t>19</w:t>
      </w:r>
      <w:r>
        <w:rPr>
          <w:rFonts w:hint="eastAsia" w:ascii="宋体" w:hAnsi="宋体" w:cs="宋体"/>
          <w:kern w:val="0"/>
          <w:sz w:val="21"/>
          <w:szCs w:val="21"/>
          <w:lang w:val="zh-CN"/>
        </w:rPr>
        <w:t>日，经北京市经济和信息化委员会、北京市国家税务局批准，本公司子之公司北京海兰盈华科技技术有限公司被认定为软件企业，证书编号：京</w:t>
      </w:r>
      <w:r>
        <w:rPr>
          <w:rFonts w:eastAsia="Times New Roman"/>
          <w:kern w:val="0"/>
          <w:sz w:val="21"/>
          <w:szCs w:val="21"/>
          <w:lang w:val="en-GB"/>
        </w:rPr>
        <w:t>R-2014-0740</w:t>
      </w:r>
      <w:r>
        <w:rPr>
          <w:rFonts w:hint="eastAsia" w:ascii="宋体" w:hAnsi="宋体" w:cs="宋体"/>
          <w:kern w:val="0"/>
          <w:sz w:val="21"/>
          <w:szCs w:val="21"/>
          <w:lang w:val="zh-CN"/>
        </w:rPr>
        <w:t>，符合软件企业</w:t>
      </w:r>
      <w:r>
        <w:rPr>
          <w:rFonts w:eastAsia="Times New Roman"/>
          <w:kern w:val="0"/>
          <w:sz w:val="21"/>
          <w:szCs w:val="21"/>
          <w:lang w:val="zh-CN"/>
        </w:rPr>
        <w:t>“</w:t>
      </w:r>
      <w:r>
        <w:rPr>
          <w:rFonts w:hint="eastAsia" w:ascii="宋体" w:hAnsi="宋体" w:cs="宋体"/>
          <w:kern w:val="0"/>
          <w:sz w:val="21"/>
          <w:szCs w:val="21"/>
          <w:lang w:val="zh-CN"/>
        </w:rPr>
        <w:t>两免三减半</w:t>
      </w:r>
      <w:r>
        <w:rPr>
          <w:rFonts w:eastAsia="Times New Roman"/>
          <w:kern w:val="0"/>
          <w:sz w:val="21"/>
          <w:szCs w:val="21"/>
          <w:lang w:val="zh-CN"/>
        </w:rPr>
        <w:t>”</w:t>
      </w:r>
      <w:r>
        <w:rPr>
          <w:rFonts w:hint="eastAsia" w:ascii="宋体" w:hAnsi="宋体" w:cs="宋体"/>
          <w:kern w:val="0"/>
          <w:sz w:val="21"/>
          <w:szCs w:val="21"/>
          <w:lang w:val="zh-CN"/>
        </w:rPr>
        <w:t>政策。北京海兰盈华科技技术有限公司</w:t>
      </w:r>
      <w:r>
        <w:rPr>
          <w:rFonts w:eastAsia="Times New Roman"/>
          <w:kern w:val="0"/>
          <w:sz w:val="21"/>
          <w:szCs w:val="21"/>
          <w:lang w:val="en-GB"/>
        </w:rPr>
        <w:t>2013</w:t>
      </w:r>
      <w:r>
        <w:rPr>
          <w:rFonts w:hint="eastAsia" w:ascii="宋体" w:hAnsi="宋体" w:cs="宋体"/>
          <w:kern w:val="0"/>
          <w:sz w:val="21"/>
          <w:szCs w:val="21"/>
          <w:lang w:val="zh-CN"/>
        </w:rPr>
        <w:t>年为首次获利年度</w:t>
      </w:r>
      <w:r>
        <w:rPr>
          <w:rFonts w:eastAsia="Times New Roman"/>
          <w:kern w:val="0"/>
          <w:sz w:val="21"/>
          <w:szCs w:val="21"/>
          <w:lang w:val="en-GB"/>
        </w:rPr>
        <w:t>2013</w:t>
      </w:r>
      <w:r>
        <w:rPr>
          <w:rFonts w:hint="eastAsia" w:ascii="宋体" w:hAnsi="宋体" w:cs="宋体"/>
          <w:kern w:val="0"/>
          <w:sz w:val="21"/>
          <w:szCs w:val="21"/>
          <w:lang w:val="zh-CN"/>
        </w:rPr>
        <w:t>年</w:t>
      </w:r>
      <w:r>
        <w:rPr>
          <w:rFonts w:eastAsia="Times New Roman"/>
          <w:kern w:val="0"/>
          <w:sz w:val="21"/>
          <w:szCs w:val="21"/>
          <w:lang w:val="en-GB"/>
        </w:rPr>
        <w:t>-2014</w:t>
      </w:r>
      <w:r>
        <w:rPr>
          <w:rFonts w:hint="eastAsia" w:ascii="宋体" w:hAnsi="宋体" w:cs="宋体"/>
          <w:kern w:val="0"/>
          <w:sz w:val="21"/>
          <w:szCs w:val="21"/>
          <w:lang w:val="zh-CN"/>
        </w:rPr>
        <w:t>年免税，</w:t>
      </w:r>
      <w:r>
        <w:rPr>
          <w:rFonts w:eastAsia="Times New Roman"/>
          <w:kern w:val="0"/>
          <w:sz w:val="21"/>
          <w:szCs w:val="21"/>
          <w:lang w:val="en-GB"/>
        </w:rPr>
        <w:t>2015</w:t>
      </w:r>
      <w:r>
        <w:rPr>
          <w:rFonts w:hint="eastAsia" w:ascii="宋体" w:hAnsi="宋体" w:cs="宋体"/>
          <w:kern w:val="0"/>
          <w:sz w:val="21"/>
          <w:szCs w:val="21"/>
          <w:lang w:val="zh-CN"/>
        </w:rPr>
        <w:t>年</w:t>
      </w:r>
      <w:r>
        <w:rPr>
          <w:rFonts w:eastAsia="Times New Roman"/>
          <w:kern w:val="0"/>
          <w:sz w:val="21"/>
          <w:szCs w:val="21"/>
          <w:lang w:val="en-GB"/>
        </w:rPr>
        <w:t>-2017</w:t>
      </w:r>
      <w:r>
        <w:rPr>
          <w:rFonts w:hint="eastAsia" w:ascii="宋体" w:hAnsi="宋体" w:cs="宋体"/>
          <w:kern w:val="0"/>
          <w:sz w:val="21"/>
          <w:szCs w:val="21"/>
          <w:lang w:val="zh-CN"/>
        </w:rPr>
        <w:t>年减半征收企业所得税，北京海兰盈华科技技术有限公司</w:t>
      </w:r>
      <w:r>
        <w:rPr>
          <w:rFonts w:eastAsia="Times New Roman"/>
          <w:kern w:val="0"/>
          <w:sz w:val="21"/>
          <w:szCs w:val="21"/>
          <w:lang w:val="en-GB"/>
        </w:rPr>
        <w:t>2016</w:t>
      </w:r>
      <w:r>
        <w:rPr>
          <w:rFonts w:hint="eastAsia" w:ascii="宋体" w:hAnsi="宋体" w:cs="宋体"/>
          <w:kern w:val="0"/>
          <w:sz w:val="21"/>
          <w:szCs w:val="21"/>
          <w:lang w:val="zh-CN"/>
        </w:rPr>
        <w:t>年企业所得税税率为</w:t>
      </w:r>
      <w:r>
        <w:rPr>
          <w:rFonts w:eastAsia="Times New Roman"/>
          <w:kern w:val="0"/>
          <w:sz w:val="21"/>
          <w:szCs w:val="21"/>
          <w:lang w:val="en-GB"/>
        </w:rPr>
        <w:t>12.5%</w:t>
      </w:r>
      <w:r>
        <w:rPr>
          <w:rFonts w:hint="eastAsia" w:ascii="宋体" w:hAnsi="宋体" w:cs="宋体"/>
          <w:kern w:val="0"/>
          <w:sz w:val="21"/>
          <w:szCs w:val="21"/>
          <w:lang w:val="zh-CN"/>
        </w:rPr>
        <w:t>。</w:t>
      </w:r>
    </w:p>
    <w:p>
      <w:pPr>
        <w:autoSpaceDE w:val="0"/>
        <w:autoSpaceDN w:val="0"/>
        <w:adjustRightInd w:val="0"/>
        <w:spacing w:before="0" w:after="0" w:line="360" w:lineRule="auto"/>
        <w:ind w:firstLine="420" w:firstLineChars="200"/>
        <w:jc w:val="left"/>
        <w:rPr>
          <w:rFonts w:eastAsia="Times New Roman"/>
          <w:kern w:val="0"/>
          <w:sz w:val="21"/>
          <w:szCs w:val="21"/>
          <w:lang w:val="zh-CN"/>
        </w:rPr>
      </w:pPr>
      <w:r>
        <w:rPr>
          <w:rFonts w:eastAsia="Times New Roman"/>
          <w:kern w:val="0"/>
          <w:sz w:val="21"/>
          <w:szCs w:val="21"/>
          <w:lang w:val="en-GB"/>
        </w:rPr>
        <w:t>2016</w:t>
      </w:r>
      <w:r>
        <w:rPr>
          <w:rFonts w:hint="eastAsia" w:ascii="宋体" w:hAnsi="宋体" w:cs="宋体"/>
          <w:kern w:val="0"/>
          <w:sz w:val="21"/>
          <w:szCs w:val="21"/>
          <w:lang w:val="zh-CN"/>
        </w:rPr>
        <w:t>年</w:t>
      </w:r>
      <w:r>
        <w:rPr>
          <w:rFonts w:eastAsia="Times New Roman"/>
          <w:kern w:val="0"/>
          <w:sz w:val="21"/>
          <w:szCs w:val="21"/>
          <w:lang w:val="en-GB"/>
        </w:rPr>
        <w:t>12</w:t>
      </w:r>
      <w:r>
        <w:rPr>
          <w:rFonts w:hint="eastAsia" w:ascii="宋体" w:hAnsi="宋体" w:cs="宋体"/>
          <w:kern w:val="0"/>
          <w:sz w:val="21"/>
          <w:szCs w:val="21"/>
          <w:lang w:val="zh-CN"/>
        </w:rPr>
        <w:t>月</w:t>
      </w:r>
      <w:r>
        <w:rPr>
          <w:rFonts w:eastAsia="Times New Roman"/>
          <w:kern w:val="0"/>
          <w:sz w:val="21"/>
          <w:szCs w:val="21"/>
          <w:lang w:val="en-GB"/>
        </w:rPr>
        <w:t>22</w:t>
      </w:r>
      <w:r>
        <w:rPr>
          <w:rFonts w:hint="eastAsia" w:ascii="宋体" w:hAnsi="宋体" w:cs="宋体"/>
          <w:kern w:val="0"/>
          <w:sz w:val="21"/>
          <w:szCs w:val="21"/>
          <w:lang w:val="zh-CN"/>
        </w:rPr>
        <w:t>日，经北京市科学技术委员会、北京市财政局、北京市国家税务局、北京市地方税务局批准，本公司下属三级子公司北京劳雷海洋仪器有限公司被认定为高新技术企业，证书编号</w:t>
      </w:r>
      <w:r>
        <w:rPr>
          <w:rFonts w:eastAsia="Times New Roman"/>
          <w:kern w:val="0"/>
          <w:sz w:val="21"/>
          <w:szCs w:val="21"/>
          <w:lang w:val="en-GB"/>
        </w:rPr>
        <w:t>GR201611001522</w:t>
      </w:r>
      <w:r>
        <w:rPr>
          <w:rFonts w:hint="eastAsia" w:ascii="宋体" w:hAnsi="宋体" w:cs="宋体"/>
          <w:kern w:val="0"/>
          <w:sz w:val="21"/>
          <w:szCs w:val="21"/>
          <w:lang w:val="zh-CN"/>
        </w:rPr>
        <w:t>，有效期三年，</w:t>
      </w:r>
      <w:r>
        <w:rPr>
          <w:rFonts w:eastAsia="Times New Roman"/>
          <w:kern w:val="0"/>
          <w:sz w:val="21"/>
          <w:szCs w:val="21"/>
          <w:lang w:val="en-GB"/>
        </w:rPr>
        <w:t>2016</w:t>
      </w:r>
      <w:r>
        <w:rPr>
          <w:rFonts w:hint="eastAsia" w:ascii="宋体" w:hAnsi="宋体" w:cs="宋体"/>
          <w:kern w:val="0"/>
          <w:sz w:val="21"/>
          <w:szCs w:val="21"/>
          <w:lang w:val="zh-CN"/>
        </w:rPr>
        <w:t>年</w:t>
      </w:r>
      <w:r>
        <w:rPr>
          <w:rFonts w:eastAsia="Times New Roman"/>
          <w:kern w:val="0"/>
          <w:sz w:val="21"/>
          <w:szCs w:val="21"/>
          <w:lang w:val="en-GB"/>
        </w:rPr>
        <w:t>-2018</w:t>
      </w:r>
      <w:r>
        <w:rPr>
          <w:rFonts w:hint="eastAsia" w:ascii="宋体" w:hAnsi="宋体" w:cs="宋体"/>
          <w:kern w:val="0"/>
          <w:sz w:val="21"/>
          <w:szCs w:val="21"/>
          <w:lang w:val="zh-CN"/>
        </w:rPr>
        <w:t>年，北京劳雷海洋仪器有限公司享有</w:t>
      </w:r>
      <w:r>
        <w:rPr>
          <w:rFonts w:eastAsia="Times New Roman"/>
          <w:kern w:val="0"/>
          <w:sz w:val="21"/>
          <w:szCs w:val="21"/>
          <w:lang w:val="en-GB"/>
        </w:rPr>
        <w:t>15%</w:t>
      </w:r>
      <w:r>
        <w:rPr>
          <w:rFonts w:hint="eastAsia" w:ascii="宋体" w:hAnsi="宋体" w:cs="宋体"/>
          <w:kern w:val="0"/>
          <w:sz w:val="21"/>
          <w:szCs w:val="21"/>
          <w:lang w:val="zh-CN"/>
        </w:rPr>
        <w:t>的企业所得税税率。</w:t>
      </w:r>
    </w:p>
    <w:p>
      <w:pPr>
        <w:autoSpaceDE w:val="0"/>
        <w:autoSpaceDN w:val="0"/>
        <w:adjustRightInd w:val="0"/>
        <w:spacing w:before="0" w:after="0"/>
        <w:jc w:val="left"/>
        <w:rPr>
          <w:rFonts w:eastAsia="Times New Roman"/>
          <w:kern w:val="0"/>
          <w:szCs w:val="24"/>
          <w:lang w:val="zh-CN"/>
        </w:rPr>
      </w:pPr>
    </w:p>
    <w:p>
      <w:pPr>
        <w:pStyle w:val="11"/>
        <w:outlineLvl w:val="2"/>
        <w:rPr>
          <w:bCs w:val="0"/>
          <w:szCs w:val="24"/>
        </w:rPr>
      </w:pPr>
      <w:r>
        <w:rPr>
          <w:bCs w:val="0"/>
          <w:szCs w:val="24"/>
        </w:rPr>
        <w:t>3</w:t>
      </w:r>
      <w:r>
        <w:rPr>
          <w:rFonts w:hint="eastAsia"/>
          <w:bCs w:val="0"/>
          <w:szCs w:val="24"/>
        </w:rPr>
        <w:t>、其他</w:t>
      </w:r>
    </w:p>
    <w:p>
      <w:pPr>
        <w:pStyle w:val="10"/>
        <w:outlineLvl w:val="1"/>
        <w:rPr>
          <w:bCs w:val="0"/>
        </w:rPr>
      </w:pPr>
      <w:r>
        <w:rPr>
          <w:rFonts w:hint="eastAsia"/>
          <w:bCs w:val="0"/>
        </w:rPr>
        <w:t>七、合并财务报表项目注释</w:t>
      </w:r>
    </w:p>
    <w:p>
      <w:pPr>
        <w:pStyle w:val="11"/>
        <w:outlineLvl w:val="2"/>
        <w:rPr>
          <w:bCs w:val="0"/>
          <w:szCs w:val="24"/>
        </w:rPr>
      </w:pPr>
      <w:r>
        <w:rPr>
          <w:bCs w:val="0"/>
          <w:szCs w:val="24"/>
        </w:rPr>
        <w:t>1</w:t>
      </w:r>
      <w:r>
        <w:rPr>
          <w:rFonts w:hint="eastAsia"/>
          <w:bCs w:val="0"/>
          <w:szCs w:val="24"/>
        </w:rPr>
        <w:t>、货币资金</w:t>
      </w:r>
    </w:p>
    <w:p>
      <w:pPr>
        <w:jc w:val="right"/>
        <w:rPr>
          <w:szCs w:val="24"/>
        </w:rPr>
      </w:pPr>
      <w:r>
        <w:rPr>
          <w:rFonts w:hint="eastAsia"/>
          <w:szCs w:val="24"/>
        </w:rPr>
        <w:t>单位：</w:t>
      </w:r>
      <w:r>
        <w:rPr>
          <w:szCs w:val="24"/>
        </w:rPr>
        <w:t xml:space="preserve"> </w:t>
      </w:r>
      <w:r>
        <w:rPr>
          <w:rFonts w:hint="eastAsia"/>
          <w:szCs w:val="24"/>
        </w:rPr>
        <w:t>元</w:t>
      </w:r>
    </w:p>
    <w:tbl>
      <w:tblPr>
        <w:tblStyle w:val="8"/>
        <w:tblW w:w="9569" w:type="dxa"/>
        <w:tblInd w:w="28" w:type="dxa"/>
        <w:tblLayout w:type="fixed"/>
        <w:tblCellMar>
          <w:top w:w="0" w:type="dxa"/>
          <w:left w:w="28" w:type="dxa"/>
          <w:bottom w:w="0" w:type="dxa"/>
          <w:right w:w="28" w:type="dxa"/>
        </w:tblCellMar>
      </w:tblPr>
      <w:tblGrid>
        <w:gridCol w:w="3189"/>
        <w:gridCol w:w="3190"/>
        <w:gridCol w:w="3190"/>
      </w:tblGrid>
      <w:tr>
        <w:tblPrEx>
          <w:tblLayout w:type="fixed"/>
          <w:tblCellMar>
            <w:top w:w="0" w:type="dxa"/>
            <w:left w:w="28" w:type="dxa"/>
            <w:bottom w:w="0" w:type="dxa"/>
            <w:right w:w="28" w:type="dxa"/>
          </w:tblCellMar>
        </w:tblPrEx>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319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c>
          <w:tcPr>
            <w:tcW w:w="319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期初余额</w:t>
            </w:r>
          </w:p>
        </w:tc>
      </w:tr>
      <w:tr>
        <w:tblPrEx>
          <w:tblLayout w:type="fixed"/>
          <w:tblCellMar>
            <w:top w:w="0" w:type="dxa"/>
            <w:left w:w="28" w:type="dxa"/>
            <w:bottom w:w="0" w:type="dxa"/>
            <w:right w:w="28" w:type="dxa"/>
          </w:tblCellMar>
        </w:tblPrEx>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库存现金</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386,120.15</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426,337.07</w:t>
            </w:r>
          </w:p>
        </w:tc>
      </w:tr>
      <w:tr>
        <w:tblPrEx>
          <w:tblLayout w:type="fixed"/>
          <w:tblCellMar>
            <w:top w:w="0" w:type="dxa"/>
            <w:left w:w="28" w:type="dxa"/>
            <w:bottom w:w="0" w:type="dxa"/>
            <w:right w:w="28" w:type="dxa"/>
          </w:tblCellMar>
        </w:tblPrEx>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银行存款</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268,940,158.70</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423,884,455.28</w:t>
            </w:r>
          </w:p>
        </w:tc>
      </w:tr>
      <w:tr>
        <w:tblPrEx>
          <w:tblLayout w:type="fixed"/>
          <w:tblCellMar>
            <w:top w:w="0" w:type="dxa"/>
            <w:left w:w="28" w:type="dxa"/>
            <w:bottom w:w="0" w:type="dxa"/>
            <w:right w:w="28" w:type="dxa"/>
          </w:tblCellMar>
        </w:tblPrEx>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其他货币资金</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23,988,946.44</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25,016,314.58</w:t>
            </w:r>
          </w:p>
        </w:tc>
      </w:tr>
      <w:tr>
        <w:tblPrEx>
          <w:tblLayout w:type="fixed"/>
          <w:tblCellMar>
            <w:top w:w="0" w:type="dxa"/>
            <w:left w:w="28" w:type="dxa"/>
            <w:bottom w:w="0" w:type="dxa"/>
            <w:right w:w="28" w:type="dxa"/>
          </w:tblCellMar>
        </w:tblPrEx>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3190"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293,315,225.29</w:t>
            </w:r>
          </w:p>
        </w:tc>
        <w:tc>
          <w:tcPr>
            <w:tcW w:w="3190"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449,327,106.93</w:t>
            </w:r>
          </w:p>
        </w:tc>
      </w:tr>
      <w:tr>
        <w:tblPrEx>
          <w:tblLayout w:type="fixed"/>
          <w:tblCellMar>
            <w:top w:w="0" w:type="dxa"/>
            <w:left w:w="28" w:type="dxa"/>
            <w:bottom w:w="0" w:type="dxa"/>
            <w:right w:w="28" w:type="dxa"/>
          </w:tblCellMar>
        </w:tblPrEx>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其中：存放在境外的款项总额</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bl>
    <w:p>
      <w:pPr>
        <w:autoSpaceDE w:val="0"/>
        <w:autoSpaceDN w:val="0"/>
        <w:adjustRightInd w:val="0"/>
        <w:spacing w:before="240" w:after="0"/>
        <w:rPr>
          <w:rFonts w:eastAsia="Times New Roman"/>
          <w:kern w:val="0"/>
          <w:sz w:val="21"/>
          <w:szCs w:val="21"/>
          <w:lang w:val="zh-CN"/>
        </w:rPr>
      </w:pPr>
      <w:r>
        <w:rPr>
          <w:rFonts w:eastAsia="Times New Roman"/>
          <w:kern w:val="0"/>
          <w:sz w:val="22"/>
          <w:szCs w:val="24"/>
          <w:lang w:val="en-GB"/>
        </w:rPr>
        <w:t xml:space="preserve">   </w:t>
      </w:r>
      <w:r>
        <w:rPr>
          <w:rFonts w:eastAsia="Times New Roman"/>
          <w:kern w:val="0"/>
          <w:sz w:val="21"/>
          <w:szCs w:val="21"/>
          <w:lang w:val="en-GB"/>
        </w:rPr>
        <w:t xml:space="preserve">  </w:t>
      </w:r>
      <w:r>
        <w:rPr>
          <w:rFonts w:hint="eastAsia" w:ascii="宋体" w:hAnsi="宋体" w:cs="宋体"/>
          <w:kern w:val="0"/>
          <w:sz w:val="21"/>
          <w:szCs w:val="21"/>
          <w:lang w:val="zh-CN"/>
        </w:rPr>
        <w:t>注</w:t>
      </w:r>
      <w:r>
        <w:rPr>
          <w:rFonts w:eastAsia="Times New Roman"/>
          <w:kern w:val="0"/>
          <w:sz w:val="21"/>
          <w:szCs w:val="21"/>
          <w:lang w:val="zh-CN"/>
        </w:rPr>
        <w:t>:</w:t>
      </w:r>
      <w:r>
        <w:rPr>
          <w:rFonts w:hint="eastAsia" w:ascii="宋体" w:hAnsi="宋体" w:cs="宋体"/>
          <w:kern w:val="0"/>
          <w:sz w:val="21"/>
          <w:szCs w:val="21"/>
          <w:lang w:val="zh-CN"/>
        </w:rPr>
        <w:t>年末其他货币资金包括保函保证金及信用证保证金，因使用受限，不作为现金等价物。</w:t>
      </w:r>
    </w:p>
    <w:p>
      <w:pPr>
        <w:pStyle w:val="11"/>
        <w:outlineLvl w:val="2"/>
        <w:rPr>
          <w:bCs w:val="0"/>
          <w:szCs w:val="24"/>
        </w:rPr>
      </w:pPr>
      <w:r>
        <w:rPr>
          <w:bCs w:val="0"/>
          <w:szCs w:val="24"/>
        </w:rPr>
        <w:t>2</w:t>
      </w:r>
      <w:r>
        <w:rPr>
          <w:rFonts w:hint="eastAsia"/>
          <w:bCs w:val="0"/>
          <w:szCs w:val="24"/>
        </w:rPr>
        <w:t>、应收票据</w:t>
      </w:r>
    </w:p>
    <w:p>
      <w:pPr>
        <w:pStyle w:val="11"/>
        <w:outlineLvl w:val="3"/>
        <w:rPr>
          <w:bCs w:val="0"/>
          <w:szCs w:val="24"/>
        </w:rPr>
      </w:pPr>
      <w:r>
        <w:rPr>
          <w:rFonts w:hint="eastAsia"/>
          <w:bCs w:val="0"/>
          <w:szCs w:val="24"/>
        </w:rPr>
        <w:t>（</w:t>
      </w:r>
      <w:r>
        <w:rPr>
          <w:bCs w:val="0"/>
          <w:szCs w:val="24"/>
        </w:rPr>
        <w:t>1</w:t>
      </w:r>
      <w:r>
        <w:rPr>
          <w:rFonts w:hint="eastAsia"/>
          <w:bCs w:val="0"/>
          <w:szCs w:val="24"/>
        </w:rPr>
        <w:t>）应收票据分类列示</w:t>
      </w:r>
    </w:p>
    <w:p>
      <w:pPr>
        <w:jc w:val="right"/>
        <w:rPr>
          <w:szCs w:val="24"/>
        </w:rPr>
      </w:pPr>
      <w:r>
        <w:rPr>
          <w:rFonts w:hint="eastAsia"/>
          <w:szCs w:val="24"/>
        </w:rPr>
        <w:t>单位：</w:t>
      </w:r>
      <w:r>
        <w:rPr>
          <w:szCs w:val="24"/>
        </w:rPr>
        <w:t xml:space="preserve"> </w:t>
      </w:r>
      <w:r>
        <w:rPr>
          <w:rFonts w:hint="eastAsia"/>
          <w:szCs w:val="24"/>
        </w:rPr>
        <w:t>元</w:t>
      </w:r>
    </w:p>
    <w:tbl>
      <w:tblPr>
        <w:tblStyle w:val="8"/>
        <w:tblW w:w="9569" w:type="dxa"/>
        <w:tblInd w:w="28" w:type="dxa"/>
        <w:tblLayout w:type="fixed"/>
        <w:tblCellMar>
          <w:top w:w="0" w:type="dxa"/>
          <w:left w:w="28" w:type="dxa"/>
          <w:bottom w:w="0" w:type="dxa"/>
          <w:right w:w="28" w:type="dxa"/>
        </w:tblCellMar>
      </w:tblPr>
      <w:tblGrid>
        <w:gridCol w:w="3189"/>
        <w:gridCol w:w="3190"/>
        <w:gridCol w:w="3190"/>
      </w:tblGrid>
      <w:tr>
        <w:tblPrEx>
          <w:tblLayout w:type="fixed"/>
          <w:tblCellMar>
            <w:top w:w="0" w:type="dxa"/>
            <w:left w:w="28" w:type="dxa"/>
            <w:bottom w:w="0" w:type="dxa"/>
            <w:right w:w="28" w:type="dxa"/>
          </w:tblCellMar>
        </w:tblPrEx>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319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c>
          <w:tcPr>
            <w:tcW w:w="319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期初余额</w:t>
            </w:r>
          </w:p>
        </w:tc>
      </w:tr>
      <w:tr>
        <w:tblPrEx>
          <w:tblLayout w:type="fixed"/>
          <w:tblCellMar>
            <w:top w:w="0" w:type="dxa"/>
            <w:left w:w="28" w:type="dxa"/>
            <w:bottom w:w="0" w:type="dxa"/>
            <w:right w:w="28" w:type="dxa"/>
          </w:tblCellMar>
        </w:tblPrEx>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银行承兑票据</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49,008,824.20</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26,854,006.00</w:t>
            </w:r>
          </w:p>
        </w:tc>
      </w:tr>
      <w:tr>
        <w:tblPrEx>
          <w:tblLayout w:type="fixed"/>
          <w:tblCellMar>
            <w:top w:w="0" w:type="dxa"/>
            <w:left w:w="28" w:type="dxa"/>
            <w:bottom w:w="0" w:type="dxa"/>
            <w:right w:w="28" w:type="dxa"/>
          </w:tblCellMar>
        </w:tblPrEx>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3190"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49,008,824.20</w:t>
            </w:r>
          </w:p>
        </w:tc>
        <w:tc>
          <w:tcPr>
            <w:tcW w:w="3190"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26,854,006.00</w:t>
            </w:r>
          </w:p>
        </w:tc>
      </w:tr>
    </w:tbl>
    <w:p>
      <w:pPr>
        <w:pStyle w:val="11"/>
        <w:outlineLvl w:val="3"/>
        <w:rPr>
          <w:bCs w:val="0"/>
          <w:szCs w:val="24"/>
        </w:rPr>
      </w:pPr>
      <w:r>
        <w:rPr>
          <w:rFonts w:hint="eastAsia"/>
          <w:bCs w:val="0"/>
          <w:szCs w:val="24"/>
        </w:rPr>
        <w:t>（</w:t>
      </w:r>
      <w:r>
        <w:rPr>
          <w:bCs w:val="0"/>
          <w:szCs w:val="24"/>
        </w:rPr>
        <w:t>2</w:t>
      </w:r>
      <w:r>
        <w:rPr>
          <w:rFonts w:hint="eastAsia"/>
          <w:bCs w:val="0"/>
          <w:szCs w:val="24"/>
        </w:rPr>
        <w:t>）期末公司已质押的应收票据</w:t>
      </w:r>
    </w:p>
    <w:p>
      <w:pPr>
        <w:jc w:val="right"/>
        <w:rPr>
          <w:szCs w:val="24"/>
        </w:rPr>
      </w:pPr>
      <w:r>
        <w:rPr>
          <w:rFonts w:hint="eastAsia"/>
          <w:szCs w:val="24"/>
        </w:rPr>
        <w:t>单位：</w:t>
      </w:r>
      <w:r>
        <w:rPr>
          <w:szCs w:val="24"/>
        </w:rPr>
        <w:t xml:space="preserve"> </w:t>
      </w:r>
      <w:r>
        <w:rPr>
          <w:rFonts w:hint="eastAsia"/>
          <w:szCs w:val="24"/>
        </w:rPr>
        <w:t>元</w:t>
      </w:r>
    </w:p>
    <w:tbl>
      <w:tblPr>
        <w:tblStyle w:val="8"/>
        <w:tblW w:w="9568" w:type="dxa"/>
        <w:tblInd w:w="28" w:type="dxa"/>
        <w:tblLayout w:type="fixed"/>
        <w:tblCellMar>
          <w:top w:w="0" w:type="dxa"/>
          <w:left w:w="28" w:type="dxa"/>
          <w:bottom w:w="0" w:type="dxa"/>
          <w:right w:w="28" w:type="dxa"/>
        </w:tblCellMar>
      </w:tblPr>
      <w:tblGrid>
        <w:gridCol w:w="4784"/>
        <w:gridCol w:w="4784"/>
      </w:tblGrid>
      <w:tr>
        <w:tblPrEx>
          <w:tblLayout w:type="fixed"/>
          <w:tblCellMar>
            <w:top w:w="0" w:type="dxa"/>
            <w:left w:w="28" w:type="dxa"/>
            <w:bottom w:w="0" w:type="dxa"/>
            <w:right w:w="28" w:type="dxa"/>
          </w:tblCellMar>
        </w:tblPrEx>
        <w:tc>
          <w:tcPr>
            <w:tcW w:w="478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478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期末已质押金额</w:t>
            </w:r>
          </w:p>
        </w:tc>
      </w:tr>
    </w:tbl>
    <w:p>
      <w:pPr>
        <w:pStyle w:val="11"/>
        <w:outlineLvl w:val="3"/>
        <w:rPr>
          <w:bCs w:val="0"/>
          <w:szCs w:val="24"/>
        </w:rPr>
      </w:pPr>
      <w:r>
        <w:rPr>
          <w:rFonts w:hint="eastAsia"/>
          <w:bCs w:val="0"/>
          <w:szCs w:val="24"/>
        </w:rPr>
        <w:t>（</w:t>
      </w:r>
      <w:r>
        <w:rPr>
          <w:bCs w:val="0"/>
          <w:szCs w:val="24"/>
        </w:rPr>
        <w:t>3</w:t>
      </w:r>
      <w:r>
        <w:rPr>
          <w:rFonts w:hint="eastAsia"/>
          <w:bCs w:val="0"/>
          <w:szCs w:val="24"/>
        </w:rPr>
        <w:t>）期末公司已背书或贴现且在资产负债表日尚未到期的应收票据</w:t>
      </w:r>
    </w:p>
    <w:p>
      <w:pPr>
        <w:jc w:val="right"/>
        <w:rPr>
          <w:szCs w:val="24"/>
        </w:rPr>
      </w:pPr>
      <w:r>
        <w:rPr>
          <w:rFonts w:hint="eastAsia"/>
          <w:szCs w:val="24"/>
        </w:rPr>
        <w:t>单位：</w:t>
      </w:r>
      <w:r>
        <w:rPr>
          <w:szCs w:val="24"/>
        </w:rPr>
        <w:t xml:space="preserve"> </w:t>
      </w:r>
      <w:r>
        <w:rPr>
          <w:rFonts w:hint="eastAsia"/>
          <w:szCs w:val="24"/>
        </w:rPr>
        <w:t>元</w:t>
      </w:r>
    </w:p>
    <w:tbl>
      <w:tblPr>
        <w:tblStyle w:val="8"/>
        <w:tblW w:w="9569" w:type="dxa"/>
        <w:tblInd w:w="28" w:type="dxa"/>
        <w:tblLayout w:type="fixed"/>
        <w:tblCellMar>
          <w:top w:w="0" w:type="dxa"/>
          <w:left w:w="28" w:type="dxa"/>
          <w:bottom w:w="0" w:type="dxa"/>
          <w:right w:w="28" w:type="dxa"/>
        </w:tblCellMar>
      </w:tblPr>
      <w:tblGrid>
        <w:gridCol w:w="3189"/>
        <w:gridCol w:w="3190"/>
        <w:gridCol w:w="3190"/>
      </w:tblGrid>
      <w:tr>
        <w:tblPrEx>
          <w:tblLayout w:type="fixed"/>
          <w:tblCellMar>
            <w:top w:w="0" w:type="dxa"/>
            <w:left w:w="28" w:type="dxa"/>
            <w:bottom w:w="0" w:type="dxa"/>
            <w:right w:w="28" w:type="dxa"/>
          </w:tblCellMar>
        </w:tblPrEx>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319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期末终止确认金额</w:t>
            </w:r>
          </w:p>
        </w:tc>
        <w:tc>
          <w:tcPr>
            <w:tcW w:w="319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期末未终止确认金额</w:t>
            </w:r>
          </w:p>
        </w:tc>
      </w:tr>
      <w:tr>
        <w:tblPrEx>
          <w:tblLayout w:type="fixed"/>
          <w:tblCellMar>
            <w:top w:w="0" w:type="dxa"/>
            <w:left w:w="28" w:type="dxa"/>
            <w:bottom w:w="0" w:type="dxa"/>
            <w:right w:w="28" w:type="dxa"/>
          </w:tblCellMar>
        </w:tblPrEx>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银行承兑票据</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4,789,936.73</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4,789,936.73</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bl>
    <w:p>
      <w:pPr>
        <w:pStyle w:val="11"/>
        <w:outlineLvl w:val="3"/>
        <w:rPr>
          <w:bCs w:val="0"/>
          <w:szCs w:val="24"/>
        </w:rPr>
      </w:pPr>
      <w:r>
        <w:rPr>
          <w:rFonts w:hint="eastAsia"/>
          <w:bCs w:val="0"/>
          <w:szCs w:val="24"/>
        </w:rPr>
        <w:t>（</w:t>
      </w:r>
      <w:r>
        <w:rPr>
          <w:bCs w:val="0"/>
          <w:szCs w:val="24"/>
        </w:rPr>
        <w:t>4</w:t>
      </w:r>
      <w:r>
        <w:rPr>
          <w:rFonts w:hint="eastAsia"/>
          <w:bCs w:val="0"/>
          <w:szCs w:val="24"/>
        </w:rPr>
        <w:t>）期末公司因出票人未履约而将其转应收账款的票据</w:t>
      </w:r>
    </w:p>
    <w:p>
      <w:pPr>
        <w:jc w:val="right"/>
        <w:rPr>
          <w:szCs w:val="24"/>
        </w:rPr>
      </w:pPr>
      <w:r>
        <w:rPr>
          <w:rFonts w:hint="eastAsia"/>
          <w:szCs w:val="24"/>
        </w:rPr>
        <w:t>单位：</w:t>
      </w:r>
      <w:r>
        <w:rPr>
          <w:szCs w:val="24"/>
        </w:rPr>
        <w:t xml:space="preserve"> </w:t>
      </w:r>
      <w:r>
        <w:rPr>
          <w:rFonts w:hint="eastAsia"/>
          <w:szCs w:val="24"/>
        </w:rPr>
        <w:t>元</w:t>
      </w:r>
    </w:p>
    <w:tbl>
      <w:tblPr>
        <w:tblStyle w:val="8"/>
        <w:tblW w:w="9568" w:type="dxa"/>
        <w:tblInd w:w="28" w:type="dxa"/>
        <w:tblLayout w:type="fixed"/>
        <w:tblCellMar>
          <w:top w:w="0" w:type="dxa"/>
          <w:left w:w="28" w:type="dxa"/>
          <w:bottom w:w="0" w:type="dxa"/>
          <w:right w:w="28" w:type="dxa"/>
        </w:tblCellMar>
      </w:tblPr>
      <w:tblGrid>
        <w:gridCol w:w="4784"/>
        <w:gridCol w:w="4784"/>
      </w:tblGrid>
      <w:tr>
        <w:tblPrEx>
          <w:tblLayout w:type="fixed"/>
          <w:tblCellMar>
            <w:top w:w="0" w:type="dxa"/>
            <w:left w:w="28" w:type="dxa"/>
            <w:bottom w:w="0" w:type="dxa"/>
            <w:right w:w="28" w:type="dxa"/>
          </w:tblCellMar>
        </w:tblPrEx>
        <w:tc>
          <w:tcPr>
            <w:tcW w:w="478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478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期末转应收账款金额</w:t>
            </w:r>
          </w:p>
        </w:tc>
      </w:tr>
    </w:tbl>
    <w:p>
      <w:pPr>
        <w:jc w:val="left"/>
        <w:rPr>
          <w:szCs w:val="24"/>
        </w:rPr>
      </w:pPr>
      <w:r>
        <w:rPr>
          <w:rFonts w:hint="eastAsia"/>
          <w:szCs w:val="24"/>
        </w:rPr>
        <w:t>其他说明</w:t>
      </w:r>
    </w:p>
    <w:p>
      <w:pPr>
        <w:pStyle w:val="11"/>
        <w:outlineLvl w:val="2"/>
        <w:rPr>
          <w:bCs w:val="0"/>
          <w:szCs w:val="24"/>
        </w:rPr>
      </w:pPr>
      <w:r>
        <w:rPr>
          <w:bCs w:val="0"/>
          <w:szCs w:val="24"/>
        </w:rPr>
        <w:t>3</w:t>
      </w:r>
      <w:r>
        <w:rPr>
          <w:rFonts w:hint="eastAsia"/>
          <w:bCs w:val="0"/>
          <w:szCs w:val="24"/>
        </w:rPr>
        <w:t>、应收账款</w:t>
      </w:r>
    </w:p>
    <w:p>
      <w:pPr>
        <w:pStyle w:val="11"/>
        <w:outlineLvl w:val="3"/>
        <w:rPr>
          <w:bCs w:val="0"/>
          <w:szCs w:val="24"/>
        </w:rPr>
      </w:pPr>
      <w:r>
        <w:rPr>
          <w:rFonts w:hint="eastAsia"/>
          <w:bCs w:val="0"/>
          <w:szCs w:val="24"/>
        </w:rPr>
        <w:t>（</w:t>
      </w:r>
      <w:r>
        <w:rPr>
          <w:bCs w:val="0"/>
          <w:szCs w:val="24"/>
        </w:rPr>
        <w:t>1</w:t>
      </w:r>
      <w:r>
        <w:rPr>
          <w:rFonts w:hint="eastAsia"/>
          <w:bCs w:val="0"/>
          <w:szCs w:val="24"/>
        </w:rPr>
        <w:t>）应收账款分类披露</w:t>
      </w:r>
    </w:p>
    <w:p>
      <w:pPr>
        <w:jc w:val="right"/>
        <w:rPr>
          <w:szCs w:val="24"/>
        </w:rPr>
      </w:pPr>
      <w:r>
        <w:rPr>
          <w:rFonts w:hint="eastAsia"/>
          <w:szCs w:val="24"/>
        </w:rPr>
        <w:t>单位：</w:t>
      </w:r>
      <w:r>
        <w:rPr>
          <w:szCs w:val="24"/>
        </w:rPr>
        <w:t xml:space="preserve"> </w:t>
      </w:r>
      <w:r>
        <w:rPr>
          <w:rFonts w:hint="eastAsia"/>
          <w:szCs w:val="24"/>
        </w:rPr>
        <w:t>元</w:t>
      </w:r>
    </w:p>
    <w:tbl>
      <w:tblPr>
        <w:tblStyle w:val="8"/>
        <w:tblW w:w="9694" w:type="dxa"/>
        <w:tblInd w:w="0" w:type="dxa"/>
        <w:tblLayout w:type="fixed"/>
        <w:tblCellMar>
          <w:top w:w="0" w:type="dxa"/>
          <w:left w:w="28" w:type="dxa"/>
          <w:bottom w:w="0" w:type="dxa"/>
          <w:right w:w="28" w:type="dxa"/>
        </w:tblCellMar>
      </w:tblPr>
      <w:tblGrid>
        <w:gridCol w:w="997"/>
        <w:gridCol w:w="1056"/>
        <w:gridCol w:w="630"/>
        <w:gridCol w:w="976"/>
        <w:gridCol w:w="630"/>
        <w:gridCol w:w="1056"/>
        <w:gridCol w:w="1057"/>
        <w:gridCol w:w="630"/>
        <w:gridCol w:w="976"/>
        <w:gridCol w:w="630"/>
        <w:gridCol w:w="1056"/>
      </w:tblGrid>
      <w:tr>
        <w:tblPrEx>
          <w:tblLayout w:type="fixed"/>
          <w:tblCellMar>
            <w:top w:w="0" w:type="dxa"/>
            <w:left w:w="28" w:type="dxa"/>
            <w:bottom w:w="0" w:type="dxa"/>
            <w:right w:w="28" w:type="dxa"/>
          </w:tblCellMar>
        </w:tblPrEx>
        <w:tc>
          <w:tcPr>
            <w:tcW w:w="997"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类别</w:t>
            </w:r>
          </w:p>
        </w:tc>
        <w:tc>
          <w:tcPr>
            <w:tcW w:w="4348" w:type="dxa"/>
            <w:gridSpan w:val="5"/>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c>
          <w:tcPr>
            <w:tcW w:w="4349" w:type="dxa"/>
            <w:gridSpan w:val="5"/>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期初余额</w:t>
            </w:r>
          </w:p>
        </w:tc>
      </w:tr>
      <w:tr>
        <w:tblPrEx>
          <w:tblLayout w:type="fixed"/>
          <w:tblCellMar>
            <w:top w:w="0" w:type="dxa"/>
            <w:left w:w="28" w:type="dxa"/>
            <w:bottom w:w="0" w:type="dxa"/>
            <w:right w:w="28" w:type="dxa"/>
          </w:tblCellMar>
        </w:tblPrEx>
        <w:tc>
          <w:tcPr>
            <w:tcW w:w="997"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686"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账面余额</w:t>
            </w:r>
          </w:p>
        </w:tc>
        <w:tc>
          <w:tcPr>
            <w:tcW w:w="1606"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坏账准备</w:t>
            </w:r>
          </w:p>
        </w:tc>
        <w:tc>
          <w:tcPr>
            <w:tcW w:w="1056"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账面价值</w:t>
            </w:r>
          </w:p>
        </w:tc>
        <w:tc>
          <w:tcPr>
            <w:tcW w:w="1687"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账面余额</w:t>
            </w:r>
          </w:p>
        </w:tc>
        <w:tc>
          <w:tcPr>
            <w:tcW w:w="1606"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坏账准备</w:t>
            </w:r>
          </w:p>
        </w:tc>
        <w:tc>
          <w:tcPr>
            <w:tcW w:w="1056"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账面价值</w:t>
            </w:r>
          </w:p>
        </w:tc>
      </w:tr>
      <w:tr>
        <w:tblPrEx>
          <w:tblLayout w:type="fixed"/>
          <w:tblCellMar>
            <w:top w:w="0" w:type="dxa"/>
            <w:left w:w="28" w:type="dxa"/>
            <w:bottom w:w="0" w:type="dxa"/>
            <w:right w:w="28" w:type="dxa"/>
          </w:tblCellMar>
        </w:tblPrEx>
        <w:tc>
          <w:tcPr>
            <w:tcW w:w="997"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05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金额</w:t>
            </w:r>
          </w:p>
        </w:tc>
        <w:tc>
          <w:tcPr>
            <w:tcW w:w="63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比例</w:t>
            </w:r>
          </w:p>
        </w:tc>
        <w:tc>
          <w:tcPr>
            <w:tcW w:w="97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金额</w:t>
            </w:r>
          </w:p>
        </w:tc>
        <w:tc>
          <w:tcPr>
            <w:tcW w:w="63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计提比例</w:t>
            </w:r>
          </w:p>
        </w:tc>
        <w:tc>
          <w:tcPr>
            <w:tcW w:w="1056"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05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金额</w:t>
            </w:r>
          </w:p>
        </w:tc>
        <w:tc>
          <w:tcPr>
            <w:tcW w:w="63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比例</w:t>
            </w:r>
          </w:p>
        </w:tc>
        <w:tc>
          <w:tcPr>
            <w:tcW w:w="97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金额</w:t>
            </w:r>
          </w:p>
        </w:tc>
        <w:tc>
          <w:tcPr>
            <w:tcW w:w="63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计提比例</w:t>
            </w:r>
          </w:p>
        </w:tc>
        <w:tc>
          <w:tcPr>
            <w:tcW w:w="1056"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r>
      <w:tr>
        <w:tblPrEx>
          <w:tblLayout w:type="fixed"/>
          <w:tblCellMar>
            <w:top w:w="0" w:type="dxa"/>
            <w:left w:w="28" w:type="dxa"/>
            <w:bottom w:w="0" w:type="dxa"/>
            <w:right w:w="28" w:type="dxa"/>
          </w:tblCellMar>
        </w:tblPrEx>
        <w:tc>
          <w:tcPr>
            <w:tcW w:w="99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16"/>
                <w:szCs w:val="16"/>
              </w:rPr>
            </w:pPr>
            <w:r>
              <w:rPr>
                <w:rFonts w:hint="eastAsia"/>
                <w:sz w:val="16"/>
                <w:szCs w:val="16"/>
              </w:rPr>
              <w:t>按信用风险特征组合计提坏账准备的应收账款</w:t>
            </w:r>
          </w:p>
        </w:tc>
        <w:tc>
          <w:tcPr>
            <w:tcW w:w="105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355,789,172.85</w:t>
            </w:r>
          </w:p>
        </w:tc>
        <w:tc>
          <w:tcPr>
            <w:tcW w:w="63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99.82%</w:t>
            </w:r>
          </w:p>
        </w:tc>
        <w:tc>
          <w:tcPr>
            <w:tcW w:w="9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37,854,912.67</w:t>
            </w:r>
          </w:p>
        </w:tc>
        <w:tc>
          <w:tcPr>
            <w:tcW w:w="63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10.64%</w:t>
            </w:r>
          </w:p>
        </w:tc>
        <w:tc>
          <w:tcPr>
            <w:tcW w:w="105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317,934,260.18</w:t>
            </w:r>
          </w:p>
        </w:tc>
        <w:tc>
          <w:tcPr>
            <w:tcW w:w="105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396,607,792.32</w:t>
            </w:r>
          </w:p>
        </w:tc>
        <w:tc>
          <w:tcPr>
            <w:tcW w:w="63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99.85%</w:t>
            </w:r>
          </w:p>
        </w:tc>
        <w:tc>
          <w:tcPr>
            <w:tcW w:w="9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36,560,584.26</w:t>
            </w:r>
          </w:p>
        </w:tc>
        <w:tc>
          <w:tcPr>
            <w:tcW w:w="63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9.22%</w:t>
            </w:r>
          </w:p>
        </w:tc>
        <w:tc>
          <w:tcPr>
            <w:tcW w:w="105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360,047,208.06</w:t>
            </w:r>
          </w:p>
        </w:tc>
      </w:tr>
      <w:tr>
        <w:tblPrEx>
          <w:tblLayout w:type="fixed"/>
          <w:tblCellMar>
            <w:top w:w="0" w:type="dxa"/>
            <w:left w:w="28" w:type="dxa"/>
            <w:bottom w:w="0" w:type="dxa"/>
            <w:right w:w="28" w:type="dxa"/>
          </w:tblCellMar>
        </w:tblPrEx>
        <w:tc>
          <w:tcPr>
            <w:tcW w:w="99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16"/>
                <w:szCs w:val="16"/>
              </w:rPr>
            </w:pPr>
            <w:r>
              <w:rPr>
                <w:rFonts w:hint="eastAsia"/>
                <w:sz w:val="16"/>
                <w:szCs w:val="16"/>
              </w:rPr>
              <w:t>单项金额不重大但单独计提坏账准备的应收账款</w:t>
            </w:r>
          </w:p>
        </w:tc>
        <w:tc>
          <w:tcPr>
            <w:tcW w:w="105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658,675.61</w:t>
            </w:r>
          </w:p>
        </w:tc>
        <w:tc>
          <w:tcPr>
            <w:tcW w:w="63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0.18%</w:t>
            </w:r>
          </w:p>
        </w:tc>
        <w:tc>
          <w:tcPr>
            <w:tcW w:w="9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658,675.61</w:t>
            </w:r>
          </w:p>
        </w:tc>
        <w:tc>
          <w:tcPr>
            <w:tcW w:w="63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100.00%</w:t>
            </w:r>
          </w:p>
        </w:tc>
        <w:tc>
          <w:tcPr>
            <w:tcW w:w="105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p>
        </w:tc>
        <w:tc>
          <w:tcPr>
            <w:tcW w:w="105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623,036.30</w:t>
            </w:r>
          </w:p>
        </w:tc>
        <w:tc>
          <w:tcPr>
            <w:tcW w:w="63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0.15%</w:t>
            </w:r>
          </w:p>
        </w:tc>
        <w:tc>
          <w:tcPr>
            <w:tcW w:w="9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623,036.30</w:t>
            </w:r>
          </w:p>
        </w:tc>
        <w:tc>
          <w:tcPr>
            <w:tcW w:w="63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100.00%</w:t>
            </w:r>
          </w:p>
        </w:tc>
        <w:tc>
          <w:tcPr>
            <w:tcW w:w="105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p>
        </w:tc>
      </w:tr>
      <w:tr>
        <w:tblPrEx>
          <w:tblLayout w:type="fixed"/>
          <w:tblCellMar>
            <w:top w:w="0" w:type="dxa"/>
            <w:left w:w="28" w:type="dxa"/>
            <w:bottom w:w="0" w:type="dxa"/>
            <w:right w:w="28" w:type="dxa"/>
          </w:tblCellMar>
        </w:tblPrEx>
        <w:tc>
          <w:tcPr>
            <w:tcW w:w="99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16"/>
                <w:szCs w:val="16"/>
              </w:rPr>
            </w:pPr>
            <w:r>
              <w:rPr>
                <w:rFonts w:hint="eastAsia"/>
                <w:sz w:val="16"/>
                <w:szCs w:val="16"/>
              </w:rPr>
              <w:t>合计</w:t>
            </w:r>
          </w:p>
        </w:tc>
        <w:tc>
          <w:tcPr>
            <w:tcW w:w="105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356,447,848.46</w:t>
            </w:r>
          </w:p>
        </w:tc>
        <w:tc>
          <w:tcPr>
            <w:tcW w:w="63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100.00%</w:t>
            </w:r>
          </w:p>
        </w:tc>
        <w:tc>
          <w:tcPr>
            <w:tcW w:w="9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38,513,588.28</w:t>
            </w:r>
          </w:p>
        </w:tc>
        <w:tc>
          <w:tcPr>
            <w:tcW w:w="63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10.80%</w:t>
            </w:r>
          </w:p>
        </w:tc>
        <w:tc>
          <w:tcPr>
            <w:tcW w:w="1056" w:type="dxa"/>
            <w:tcBorders>
              <w:top w:val="single" w:color="auto" w:sz="4" w:space="0"/>
              <w:left w:val="single" w:color="auto" w:sz="4" w:space="0"/>
              <w:bottom w:val="single" w:color="auto" w:sz="4" w:space="0"/>
              <w:right w:val="single" w:color="auto" w:sz="4" w:space="0"/>
            </w:tcBorders>
            <w:vAlign w:val="center"/>
          </w:tcPr>
          <w:p>
            <w:pPr>
              <w:jc w:val="right"/>
              <w:rPr>
                <w:sz w:val="16"/>
                <w:szCs w:val="16"/>
              </w:rPr>
            </w:pPr>
            <w:r>
              <w:rPr>
                <w:sz w:val="16"/>
                <w:szCs w:val="16"/>
              </w:rPr>
              <w:t>317,934,260.18</w:t>
            </w:r>
          </w:p>
        </w:tc>
        <w:tc>
          <w:tcPr>
            <w:tcW w:w="105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397,230,828.62</w:t>
            </w:r>
          </w:p>
        </w:tc>
        <w:tc>
          <w:tcPr>
            <w:tcW w:w="63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100.00%</w:t>
            </w:r>
          </w:p>
        </w:tc>
        <w:tc>
          <w:tcPr>
            <w:tcW w:w="9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37,183,620.56</w:t>
            </w:r>
          </w:p>
        </w:tc>
        <w:tc>
          <w:tcPr>
            <w:tcW w:w="63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9.36%</w:t>
            </w:r>
          </w:p>
        </w:tc>
        <w:tc>
          <w:tcPr>
            <w:tcW w:w="1056" w:type="dxa"/>
            <w:tcBorders>
              <w:top w:val="single" w:color="auto" w:sz="4" w:space="0"/>
              <w:left w:val="single" w:color="auto" w:sz="4" w:space="0"/>
              <w:bottom w:val="single" w:color="auto" w:sz="4" w:space="0"/>
              <w:right w:val="single" w:color="auto" w:sz="4" w:space="0"/>
            </w:tcBorders>
            <w:vAlign w:val="center"/>
          </w:tcPr>
          <w:p>
            <w:pPr>
              <w:jc w:val="right"/>
              <w:rPr>
                <w:sz w:val="16"/>
                <w:szCs w:val="16"/>
              </w:rPr>
            </w:pPr>
            <w:r>
              <w:rPr>
                <w:sz w:val="16"/>
                <w:szCs w:val="16"/>
              </w:rPr>
              <w:t>360,047,208.06</w:t>
            </w:r>
          </w:p>
        </w:tc>
      </w:tr>
    </w:tbl>
    <w:p>
      <w:pPr>
        <w:autoSpaceDE w:val="0"/>
        <w:autoSpaceDN w:val="0"/>
        <w:adjustRightInd w:val="0"/>
        <w:spacing w:before="240" w:after="0"/>
        <w:rPr>
          <w:rFonts w:ascii="宋体" w:cs="宋体"/>
          <w:kern w:val="0"/>
          <w:sz w:val="21"/>
          <w:szCs w:val="21"/>
          <w:lang w:val="zh-CN"/>
        </w:rPr>
      </w:pPr>
      <w:r>
        <w:rPr>
          <w:rFonts w:hint="eastAsia" w:ascii="宋体" w:hAnsi="宋体" w:cs="宋体"/>
          <w:kern w:val="0"/>
          <w:sz w:val="21"/>
          <w:szCs w:val="21"/>
          <w:lang w:val="zh-CN"/>
        </w:rPr>
        <w:t>期末单项金额重大并单项计提坏账准备的应收账款：</w:t>
      </w:r>
    </w:p>
    <w:p>
      <w:pPr>
        <w:autoSpaceDE w:val="0"/>
        <w:autoSpaceDN w:val="0"/>
        <w:adjustRightInd w:val="0"/>
        <w:spacing w:before="240" w:after="0"/>
        <w:rPr>
          <w:rFonts w:ascii="宋体" w:hAnsi="宋体" w:cs="宋体"/>
          <w:kern w:val="0"/>
          <w:sz w:val="21"/>
          <w:szCs w:val="21"/>
          <w:lang w:val="zh-CN"/>
        </w:rPr>
      </w:pPr>
      <w:r>
        <w:rPr>
          <w:rFonts w:hint="eastAsia" w:ascii="宋体" w:cs="宋体"/>
          <w:kern w:val="0"/>
          <w:sz w:val="21"/>
          <w:szCs w:val="21"/>
          <w:lang w:val="zh-CN"/>
        </w:rPr>
        <w:t>□</w:t>
      </w:r>
      <w:r>
        <w:rPr>
          <w:rFonts w:ascii="宋体" w:hAnsi="宋体" w:cs="宋体"/>
          <w:kern w:val="0"/>
          <w:sz w:val="21"/>
          <w:szCs w:val="21"/>
          <w:lang w:val="zh-CN"/>
        </w:rPr>
        <w:t xml:space="preserve"> </w:t>
      </w:r>
      <w:r>
        <w:rPr>
          <w:rFonts w:hint="eastAsia" w:ascii="宋体" w:hAnsi="宋体" w:cs="宋体"/>
          <w:kern w:val="0"/>
          <w:sz w:val="21"/>
          <w:szCs w:val="21"/>
          <w:lang w:val="zh-CN"/>
        </w:rPr>
        <w:t>适用</w:t>
      </w:r>
      <w:r>
        <w:rPr>
          <w:rFonts w:ascii="宋体" w:hAnsi="宋体" w:cs="宋体"/>
          <w:kern w:val="0"/>
          <w:sz w:val="21"/>
          <w:szCs w:val="21"/>
          <w:lang w:val="zh-CN"/>
        </w:rPr>
        <w:t xml:space="preserve"> </w:t>
      </w:r>
      <w:r>
        <w:rPr>
          <w:rFonts w:hint="eastAsia" w:ascii="宋体" w:hAnsi="宋体" w:cs="宋体"/>
          <w:kern w:val="0"/>
          <w:sz w:val="21"/>
          <w:szCs w:val="21"/>
          <w:lang w:val="zh-CN"/>
        </w:rPr>
        <w:t>√</w:t>
      </w:r>
      <w:r>
        <w:rPr>
          <w:rFonts w:ascii="宋体" w:hAnsi="宋体" w:cs="宋体"/>
          <w:kern w:val="0"/>
          <w:sz w:val="21"/>
          <w:szCs w:val="21"/>
          <w:lang w:val="zh-CN"/>
        </w:rPr>
        <w:t xml:space="preserve"> </w:t>
      </w:r>
      <w:r>
        <w:rPr>
          <w:rFonts w:hint="eastAsia" w:ascii="宋体" w:hAnsi="宋体" w:cs="宋体"/>
          <w:kern w:val="0"/>
          <w:sz w:val="21"/>
          <w:szCs w:val="21"/>
          <w:lang w:val="zh-CN"/>
        </w:rPr>
        <w:t>不适用</w:t>
      </w:r>
      <w:r>
        <w:rPr>
          <w:rFonts w:ascii="宋体" w:hAnsi="宋体" w:cs="宋体"/>
          <w:kern w:val="0"/>
          <w:sz w:val="21"/>
          <w:szCs w:val="21"/>
          <w:lang w:val="zh-CN"/>
        </w:rPr>
        <w:t xml:space="preserve"> </w:t>
      </w:r>
    </w:p>
    <w:p>
      <w:pPr>
        <w:autoSpaceDE w:val="0"/>
        <w:autoSpaceDN w:val="0"/>
        <w:adjustRightInd w:val="0"/>
        <w:spacing w:before="240" w:after="0"/>
        <w:rPr>
          <w:rFonts w:ascii="宋体" w:cs="宋体"/>
          <w:kern w:val="0"/>
          <w:sz w:val="21"/>
          <w:szCs w:val="21"/>
          <w:lang w:val="zh-CN"/>
        </w:rPr>
      </w:pPr>
      <w:r>
        <w:rPr>
          <w:rFonts w:hint="eastAsia" w:ascii="宋体" w:hAnsi="宋体" w:cs="宋体"/>
          <w:kern w:val="0"/>
          <w:sz w:val="21"/>
          <w:szCs w:val="21"/>
          <w:lang w:val="zh-CN"/>
        </w:rPr>
        <w:t>组合中，按账龄分析法计提坏账准备的应收账款：</w:t>
      </w:r>
    </w:p>
    <w:p>
      <w:pPr>
        <w:autoSpaceDE w:val="0"/>
        <w:autoSpaceDN w:val="0"/>
        <w:adjustRightInd w:val="0"/>
        <w:spacing w:before="240" w:after="0"/>
        <w:rPr>
          <w:rFonts w:ascii="宋体" w:hAnsi="宋体" w:cs="宋体"/>
          <w:kern w:val="0"/>
          <w:sz w:val="21"/>
          <w:szCs w:val="21"/>
          <w:lang w:val="zh-CN"/>
        </w:rPr>
      </w:pPr>
      <w:r>
        <w:rPr>
          <w:rFonts w:hint="eastAsia" w:ascii="宋体" w:cs="宋体"/>
          <w:kern w:val="0"/>
          <w:sz w:val="21"/>
          <w:szCs w:val="21"/>
          <w:lang w:val="zh-CN"/>
        </w:rPr>
        <w:t>√</w:t>
      </w:r>
      <w:r>
        <w:rPr>
          <w:rFonts w:ascii="宋体" w:hAnsi="宋体" w:cs="宋体"/>
          <w:kern w:val="0"/>
          <w:sz w:val="21"/>
          <w:szCs w:val="21"/>
          <w:lang w:val="zh-CN"/>
        </w:rPr>
        <w:t xml:space="preserve"> </w:t>
      </w:r>
      <w:r>
        <w:rPr>
          <w:rFonts w:hint="eastAsia" w:ascii="宋体" w:hAnsi="宋体" w:cs="宋体"/>
          <w:kern w:val="0"/>
          <w:sz w:val="21"/>
          <w:szCs w:val="21"/>
          <w:lang w:val="zh-CN"/>
        </w:rPr>
        <w:t>适用</w:t>
      </w:r>
      <w:r>
        <w:rPr>
          <w:rFonts w:ascii="宋体" w:hAnsi="宋体" w:cs="宋体"/>
          <w:kern w:val="0"/>
          <w:sz w:val="21"/>
          <w:szCs w:val="21"/>
          <w:lang w:val="zh-CN"/>
        </w:rPr>
        <w:t xml:space="preserve"> </w:t>
      </w:r>
      <w:r>
        <w:rPr>
          <w:rFonts w:hint="eastAsia" w:ascii="宋体" w:hAnsi="宋体" w:cs="宋体"/>
          <w:kern w:val="0"/>
          <w:sz w:val="21"/>
          <w:szCs w:val="21"/>
          <w:lang w:val="zh-CN"/>
        </w:rPr>
        <w:t>□</w:t>
      </w:r>
      <w:r>
        <w:rPr>
          <w:rFonts w:ascii="宋体" w:hAnsi="宋体" w:cs="宋体"/>
          <w:kern w:val="0"/>
          <w:sz w:val="21"/>
          <w:szCs w:val="21"/>
          <w:lang w:val="zh-CN"/>
        </w:rPr>
        <w:t xml:space="preserve"> </w:t>
      </w:r>
      <w:r>
        <w:rPr>
          <w:rFonts w:hint="eastAsia" w:ascii="宋体" w:hAnsi="宋体" w:cs="宋体"/>
          <w:kern w:val="0"/>
          <w:sz w:val="21"/>
          <w:szCs w:val="21"/>
          <w:lang w:val="zh-CN"/>
        </w:rPr>
        <w:t>不适用</w:t>
      </w:r>
      <w:r>
        <w:rPr>
          <w:rFonts w:ascii="宋体" w:hAnsi="宋体" w:cs="宋体"/>
          <w:kern w:val="0"/>
          <w:sz w:val="21"/>
          <w:szCs w:val="21"/>
          <w:lang w:val="zh-CN"/>
        </w:rPr>
        <w:t xml:space="preserve"> </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568" w:type="dxa"/>
        <w:tblInd w:w="28" w:type="dxa"/>
        <w:tblLayout w:type="fixed"/>
        <w:tblCellMar>
          <w:top w:w="0" w:type="dxa"/>
          <w:left w:w="28" w:type="dxa"/>
          <w:bottom w:w="0" w:type="dxa"/>
          <w:right w:w="28" w:type="dxa"/>
        </w:tblCellMar>
      </w:tblPr>
      <w:tblGrid>
        <w:gridCol w:w="2392"/>
        <w:gridCol w:w="2392"/>
        <w:gridCol w:w="2392"/>
        <w:gridCol w:w="2392"/>
      </w:tblGrid>
      <w:tr>
        <w:tblPrEx>
          <w:tblLayout w:type="fixed"/>
          <w:tblCellMar>
            <w:top w:w="0" w:type="dxa"/>
            <w:left w:w="28" w:type="dxa"/>
            <w:bottom w:w="0" w:type="dxa"/>
            <w:right w:w="28" w:type="dxa"/>
          </w:tblCellMar>
        </w:tblPrEx>
        <w:tc>
          <w:tcPr>
            <w:tcW w:w="2392"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账龄</w:t>
            </w:r>
          </w:p>
        </w:tc>
        <w:tc>
          <w:tcPr>
            <w:tcW w:w="7176" w:type="dxa"/>
            <w:gridSpan w:val="3"/>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r>
      <w:tr>
        <w:tblPrEx>
          <w:tblLayout w:type="fixed"/>
          <w:tblCellMar>
            <w:top w:w="0" w:type="dxa"/>
            <w:left w:w="28" w:type="dxa"/>
            <w:bottom w:w="0" w:type="dxa"/>
            <w:right w:w="28" w:type="dxa"/>
          </w:tblCellMar>
        </w:tblPrEx>
        <w:tc>
          <w:tcPr>
            <w:tcW w:w="2392"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239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应收账款</w:t>
            </w:r>
          </w:p>
        </w:tc>
        <w:tc>
          <w:tcPr>
            <w:tcW w:w="239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坏账准备</w:t>
            </w:r>
          </w:p>
        </w:tc>
        <w:tc>
          <w:tcPr>
            <w:tcW w:w="239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计提比例</w:t>
            </w:r>
          </w:p>
        </w:tc>
      </w:tr>
      <w:tr>
        <w:tblPrEx>
          <w:tblLayout w:type="fixed"/>
          <w:tblCellMar>
            <w:top w:w="0" w:type="dxa"/>
            <w:left w:w="28" w:type="dxa"/>
            <w:bottom w:w="0" w:type="dxa"/>
            <w:right w:w="28" w:type="dxa"/>
          </w:tblCellMar>
        </w:tblPrEx>
        <w:tc>
          <w:tcPr>
            <w:tcW w:w="9568" w:type="dxa"/>
            <w:gridSpan w:val="4"/>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1</w:t>
            </w:r>
            <w:r>
              <w:rPr>
                <w:rFonts w:hint="eastAsia"/>
                <w:sz w:val="21"/>
                <w:szCs w:val="21"/>
              </w:rPr>
              <w:t>年以内分项</w:t>
            </w:r>
          </w:p>
        </w:tc>
      </w:tr>
      <w:tr>
        <w:tblPrEx>
          <w:tblLayout w:type="fixed"/>
          <w:tblCellMar>
            <w:top w:w="0" w:type="dxa"/>
            <w:left w:w="28" w:type="dxa"/>
            <w:bottom w:w="0" w:type="dxa"/>
            <w:right w:w="28" w:type="dxa"/>
          </w:tblCellMar>
        </w:tblPrEx>
        <w:tc>
          <w:tcPr>
            <w:tcW w:w="239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1</w:t>
            </w:r>
            <w:r>
              <w:rPr>
                <w:rFonts w:hint="eastAsia"/>
                <w:sz w:val="21"/>
                <w:szCs w:val="21"/>
              </w:rPr>
              <w:t>年以内小计</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227,172,141.60</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11,358,503.57</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5.00%</w:t>
            </w:r>
          </w:p>
        </w:tc>
      </w:tr>
      <w:tr>
        <w:tblPrEx>
          <w:tblLayout w:type="fixed"/>
          <w:tblCellMar>
            <w:top w:w="0" w:type="dxa"/>
            <w:left w:w="28" w:type="dxa"/>
            <w:bottom w:w="0" w:type="dxa"/>
            <w:right w:w="28" w:type="dxa"/>
          </w:tblCellMar>
        </w:tblPrEx>
        <w:tc>
          <w:tcPr>
            <w:tcW w:w="239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1</w:t>
            </w:r>
            <w:r>
              <w:rPr>
                <w:rFonts w:hint="eastAsia"/>
                <w:sz w:val="21"/>
                <w:szCs w:val="21"/>
              </w:rPr>
              <w:t>至</w:t>
            </w:r>
            <w:r>
              <w:rPr>
                <w:sz w:val="21"/>
                <w:szCs w:val="21"/>
              </w:rPr>
              <w:t>2</w:t>
            </w:r>
            <w:r>
              <w:rPr>
                <w:rFonts w:hint="eastAsia"/>
                <w:sz w:val="21"/>
                <w:szCs w:val="21"/>
              </w:rPr>
              <w:t>年</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61,988,447.93</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6,198,844.79</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10.00%</w:t>
            </w:r>
          </w:p>
        </w:tc>
      </w:tr>
      <w:tr>
        <w:tblPrEx>
          <w:tblLayout w:type="fixed"/>
          <w:tblCellMar>
            <w:top w:w="0" w:type="dxa"/>
            <w:left w:w="28" w:type="dxa"/>
            <w:bottom w:w="0" w:type="dxa"/>
            <w:right w:w="28" w:type="dxa"/>
          </w:tblCellMar>
        </w:tblPrEx>
        <w:tc>
          <w:tcPr>
            <w:tcW w:w="239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2</w:t>
            </w:r>
            <w:r>
              <w:rPr>
                <w:rFonts w:hint="eastAsia"/>
                <w:sz w:val="21"/>
                <w:szCs w:val="21"/>
              </w:rPr>
              <w:t>至</w:t>
            </w:r>
            <w:r>
              <w:rPr>
                <w:sz w:val="21"/>
                <w:szCs w:val="21"/>
              </w:rPr>
              <w:t>3</w:t>
            </w:r>
            <w:r>
              <w:rPr>
                <w:rFonts w:hint="eastAsia"/>
                <w:sz w:val="21"/>
                <w:szCs w:val="21"/>
              </w:rPr>
              <w:t>年</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28,937,008.43</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8,681,102.53</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30.00%</w:t>
            </w:r>
          </w:p>
        </w:tc>
      </w:tr>
      <w:tr>
        <w:tblPrEx>
          <w:tblLayout w:type="fixed"/>
          <w:tblCellMar>
            <w:top w:w="0" w:type="dxa"/>
            <w:left w:w="28" w:type="dxa"/>
            <w:bottom w:w="0" w:type="dxa"/>
            <w:right w:w="28" w:type="dxa"/>
          </w:tblCellMar>
        </w:tblPrEx>
        <w:tc>
          <w:tcPr>
            <w:tcW w:w="239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3</w:t>
            </w:r>
            <w:r>
              <w:rPr>
                <w:rFonts w:hint="eastAsia"/>
                <w:sz w:val="21"/>
                <w:szCs w:val="21"/>
              </w:rPr>
              <w:t>至</w:t>
            </w:r>
            <w:r>
              <w:rPr>
                <w:sz w:val="21"/>
                <w:szCs w:val="21"/>
              </w:rPr>
              <w:t>4</w:t>
            </w:r>
            <w:r>
              <w:rPr>
                <w:rFonts w:hint="eastAsia"/>
                <w:sz w:val="21"/>
                <w:szCs w:val="21"/>
              </w:rPr>
              <w:t>年</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13,250,357.59</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6,625,178.80</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50.00%</w:t>
            </w:r>
          </w:p>
        </w:tc>
      </w:tr>
      <w:tr>
        <w:tblPrEx>
          <w:tblLayout w:type="fixed"/>
          <w:tblCellMar>
            <w:top w:w="0" w:type="dxa"/>
            <w:left w:w="28" w:type="dxa"/>
            <w:bottom w:w="0" w:type="dxa"/>
            <w:right w:w="28" w:type="dxa"/>
          </w:tblCellMar>
        </w:tblPrEx>
        <w:tc>
          <w:tcPr>
            <w:tcW w:w="239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4</w:t>
            </w:r>
            <w:r>
              <w:rPr>
                <w:rFonts w:hint="eastAsia"/>
                <w:sz w:val="21"/>
                <w:szCs w:val="21"/>
              </w:rPr>
              <w:t>至</w:t>
            </w:r>
            <w:r>
              <w:rPr>
                <w:sz w:val="21"/>
                <w:szCs w:val="21"/>
              </w:rPr>
              <w:t>5</w:t>
            </w:r>
            <w:r>
              <w:rPr>
                <w:rFonts w:hint="eastAsia"/>
                <w:sz w:val="21"/>
                <w:szCs w:val="21"/>
              </w:rPr>
              <w:t>年</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1,991,620.73</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1,593,296.58</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80.00%</w:t>
            </w:r>
          </w:p>
        </w:tc>
      </w:tr>
      <w:tr>
        <w:tblPrEx>
          <w:tblLayout w:type="fixed"/>
          <w:tblCellMar>
            <w:top w:w="0" w:type="dxa"/>
            <w:left w:w="28" w:type="dxa"/>
            <w:bottom w:w="0" w:type="dxa"/>
            <w:right w:w="28" w:type="dxa"/>
          </w:tblCellMar>
        </w:tblPrEx>
        <w:tc>
          <w:tcPr>
            <w:tcW w:w="239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5</w:t>
            </w:r>
            <w:r>
              <w:rPr>
                <w:rFonts w:hint="eastAsia"/>
                <w:sz w:val="21"/>
                <w:szCs w:val="21"/>
              </w:rPr>
              <w:t>年以上</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3,397,986.40</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3,397,986.40</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100.00%</w:t>
            </w:r>
          </w:p>
        </w:tc>
      </w:tr>
      <w:tr>
        <w:tblPrEx>
          <w:tblLayout w:type="fixed"/>
          <w:tblCellMar>
            <w:top w:w="0" w:type="dxa"/>
            <w:left w:w="28" w:type="dxa"/>
            <w:bottom w:w="0" w:type="dxa"/>
            <w:right w:w="28" w:type="dxa"/>
          </w:tblCellMar>
        </w:tblPrEx>
        <w:tc>
          <w:tcPr>
            <w:tcW w:w="239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336,737,562.68</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37,854,912.67</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bl>
    <w:p>
      <w:pPr>
        <w:autoSpaceDE w:val="0"/>
        <w:autoSpaceDN w:val="0"/>
        <w:adjustRightInd w:val="0"/>
        <w:spacing w:before="240" w:after="0"/>
        <w:rPr>
          <w:rFonts w:ascii="宋体" w:cs="宋体"/>
          <w:kern w:val="0"/>
          <w:sz w:val="21"/>
          <w:szCs w:val="21"/>
          <w:lang w:val="zh-CN"/>
        </w:rPr>
      </w:pPr>
      <w:r>
        <w:rPr>
          <w:rFonts w:hint="eastAsia" w:ascii="宋体" w:hAnsi="宋体" w:cs="宋体"/>
          <w:kern w:val="0"/>
          <w:sz w:val="21"/>
          <w:szCs w:val="21"/>
          <w:lang w:val="zh-CN"/>
        </w:rPr>
        <w:t>确定该组合依据的说明：</w:t>
      </w:r>
    </w:p>
    <w:p>
      <w:pPr>
        <w:autoSpaceDE w:val="0"/>
        <w:autoSpaceDN w:val="0"/>
        <w:adjustRightInd w:val="0"/>
        <w:spacing w:before="240" w:after="0"/>
        <w:rPr>
          <w:rFonts w:ascii="宋体" w:cs="宋体"/>
          <w:kern w:val="0"/>
          <w:sz w:val="21"/>
          <w:szCs w:val="21"/>
          <w:lang w:val="zh-CN"/>
        </w:rPr>
      </w:pPr>
      <w:r>
        <w:rPr>
          <w:rFonts w:hint="eastAsia" w:ascii="宋体" w:hAnsi="宋体" w:cs="宋体"/>
          <w:kern w:val="0"/>
          <w:sz w:val="21"/>
          <w:szCs w:val="21"/>
          <w:lang w:val="zh-CN"/>
        </w:rPr>
        <w:t>以应收款项的账龄为信用风险特征划分组合</w:t>
      </w:r>
    </w:p>
    <w:p>
      <w:pPr>
        <w:autoSpaceDE w:val="0"/>
        <w:autoSpaceDN w:val="0"/>
        <w:adjustRightInd w:val="0"/>
        <w:spacing w:before="240" w:after="0"/>
        <w:rPr>
          <w:rFonts w:ascii="宋体" w:cs="宋体"/>
          <w:kern w:val="0"/>
          <w:sz w:val="21"/>
          <w:szCs w:val="21"/>
          <w:lang w:val="zh-CN"/>
        </w:rPr>
      </w:pPr>
      <w:r>
        <w:rPr>
          <w:rFonts w:hint="eastAsia" w:ascii="宋体" w:hAnsi="宋体" w:cs="宋体"/>
          <w:kern w:val="0"/>
          <w:sz w:val="21"/>
          <w:szCs w:val="21"/>
          <w:lang w:val="zh-CN"/>
        </w:rPr>
        <w:t>组合中，采用余额百分比法计提坏账准备的应收账款：</w:t>
      </w:r>
    </w:p>
    <w:p>
      <w:pPr>
        <w:autoSpaceDE w:val="0"/>
        <w:autoSpaceDN w:val="0"/>
        <w:adjustRightInd w:val="0"/>
        <w:spacing w:before="240" w:after="0"/>
        <w:rPr>
          <w:rFonts w:ascii="宋体" w:hAnsi="宋体" w:cs="宋体"/>
          <w:kern w:val="0"/>
          <w:sz w:val="21"/>
          <w:szCs w:val="21"/>
          <w:lang w:val="zh-CN"/>
        </w:rPr>
      </w:pPr>
      <w:r>
        <w:rPr>
          <w:rFonts w:hint="eastAsia" w:ascii="宋体" w:cs="宋体"/>
          <w:kern w:val="0"/>
          <w:sz w:val="21"/>
          <w:szCs w:val="21"/>
          <w:lang w:val="zh-CN"/>
        </w:rPr>
        <w:t>□</w:t>
      </w:r>
      <w:r>
        <w:rPr>
          <w:rFonts w:ascii="宋体" w:hAnsi="宋体" w:cs="宋体"/>
          <w:kern w:val="0"/>
          <w:sz w:val="21"/>
          <w:szCs w:val="21"/>
          <w:lang w:val="zh-CN"/>
        </w:rPr>
        <w:t xml:space="preserve"> </w:t>
      </w:r>
      <w:r>
        <w:rPr>
          <w:rFonts w:hint="eastAsia" w:ascii="宋体" w:hAnsi="宋体" w:cs="宋体"/>
          <w:kern w:val="0"/>
          <w:sz w:val="21"/>
          <w:szCs w:val="21"/>
          <w:lang w:val="zh-CN"/>
        </w:rPr>
        <w:t>适用</w:t>
      </w:r>
      <w:r>
        <w:rPr>
          <w:rFonts w:ascii="宋体" w:hAnsi="宋体" w:cs="宋体"/>
          <w:kern w:val="0"/>
          <w:sz w:val="21"/>
          <w:szCs w:val="21"/>
          <w:lang w:val="zh-CN"/>
        </w:rPr>
        <w:t xml:space="preserve"> </w:t>
      </w:r>
      <w:r>
        <w:rPr>
          <w:rFonts w:hint="eastAsia" w:ascii="宋体" w:hAnsi="宋体" w:cs="宋体"/>
          <w:kern w:val="0"/>
          <w:sz w:val="21"/>
          <w:szCs w:val="21"/>
          <w:lang w:val="zh-CN"/>
        </w:rPr>
        <w:t>√</w:t>
      </w:r>
      <w:r>
        <w:rPr>
          <w:rFonts w:ascii="宋体" w:hAnsi="宋体" w:cs="宋体"/>
          <w:kern w:val="0"/>
          <w:sz w:val="21"/>
          <w:szCs w:val="21"/>
          <w:lang w:val="zh-CN"/>
        </w:rPr>
        <w:t xml:space="preserve"> </w:t>
      </w:r>
      <w:r>
        <w:rPr>
          <w:rFonts w:hint="eastAsia" w:ascii="宋体" w:hAnsi="宋体" w:cs="宋体"/>
          <w:kern w:val="0"/>
          <w:sz w:val="21"/>
          <w:szCs w:val="21"/>
          <w:lang w:val="zh-CN"/>
        </w:rPr>
        <w:t>不适用</w:t>
      </w:r>
      <w:r>
        <w:rPr>
          <w:rFonts w:ascii="宋体" w:hAnsi="宋体" w:cs="宋体"/>
          <w:kern w:val="0"/>
          <w:sz w:val="21"/>
          <w:szCs w:val="21"/>
          <w:lang w:val="zh-CN"/>
        </w:rPr>
        <w:t xml:space="preserve"> </w:t>
      </w:r>
    </w:p>
    <w:p>
      <w:pPr>
        <w:autoSpaceDE w:val="0"/>
        <w:autoSpaceDN w:val="0"/>
        <w:adjustRightInd w:val="0"/>
        <w:spacing w:before="240" w:after="0"/>
        <w:rPr>
          <w:sz w:val="21"/>
          <w:szCs w:val="21"/>
        </w:rPr>
      </w:pPr>
      <w:r>
        <w:rPr>
          <w:rFonts w:hint="eastAsia" w:ascii="宋体" w:hAnsi="宋体" w:cs="宋体"/>
          <w:kern w:val="0"/>
          <w:sz w:val="21"/>
          <w:szCs w:val="21"/>
          <w:lang w:val="zh-CN"/>
        </w:rPr>
        <w:t>组合中，采用其他方法计提坏账准备的应收账款</w:t>
      </w:r>
      <w:r>
        <w:rPr>
          <w:rFonts w:hint="eastAsia"/>
          <w:sz w:val="21"/>
          <w:szCs w:val="21"/>
        </w:rPr>
        <w:t>：</w:t>
      </w:r>
    </w:p>
    <w:p>
      <w:pPr>
        <w:autoSpaceDE w:val="0"/>
        <w:autoSpaceDN w:val="0"/>
        <w:adjustRightInd w:val="0"/>
        <w:spacing w:before="240" w:after="0"/>
        <w:rPr>
          <w:rFonts w:ascii="宋体" w:cs="宋体"/>
          <w:kern w:val="0"/>
          <w:sz w:val="21"/>
          <w:szCs w:val="21"/>
          <w:lang w:val="zh-CN"/>
        </w:rPr>
      </w:pPr>
      <w:r>
        <w:rPr>
          <w:rFonts w:hint="eastAsia" w:ascii="宋体" w:hAnsi="宋体" w:cs="宋体"/>
          <w:kern w:val="0"/>
          <w:sz w:val="21"/>
          <w:szCs w:val="21"/>
          <w:lang w:val="zh-CN"/>
        </w:rPr>
        <w:t>年末单项金额虽不重大但单独计提坏账准备的应收账款</w:t>
      </w:r>
    </w:p>
    <w:p>
      <w:pPr>
        <w:autoSpaceDE w:val="0"/>
        <w:autoSpaceDN w:val="0"/>
        <w:adjustRightInd w:val="0"/>
        <w:spacing w:before="240" w:after="0"/>
        <w:rPr>
          <w:rFonts w:eastAsia="Times New Roman"/>
          <w:kern w:val="0"/>
          <w:sz w:val="21"/>
          <w:szCs w:val="21"/>
          <w:lang w:val="zh-CN"/>
        </w:rPr>
      </w:pPr>
    </w:p>
    <w:tbl>
      <w:tblPr>
        <w:tblStyle w:val="8"/>
        <w:tblW w:w="9658" w:type="dxa"/>
        <w:tblInd w:w="0" w:type="dxa"/>
        <w:tblBorders>
          <w:top w:val="single" w:color="auto" w:sz="6" w:space="0"/>
          <w:left w:val="single" w:color="auto" w:sz="6" w:space="0"/>
          <w:bottom w:val="single" w:color="auto" w:sz="8" w:space="0"/>
          <w:right w:val="single" w:color="auto" w:sz="6" w:space="0"/>
          <w:insideH w:val="single" w:color="auto" w:sz="8" w:space="0"/>
          <w:insideV w:val="single" w:color="auto" w:sz="6" w:space="0"/>
        </w:tblBorders>
        <w:tblLayout w:type="fixed"/>
        <w:tblCellMar>
          <w:top w:w="10" w:type="dxa"/>
          <w:left w:w="10" w:type="dxa"/>
          <w:bottom w:w="10" w:type="dxa"/>
          <w:right w:w="10" w:type="dxa"/>
        </w:tblCellMar>
      </w:tblPr>
      <w:tblGrid>
        <w:gridCol w:w="2834"/>
        <w:gridCol w:w="1493"/>
        <w:gridCol w:w="1491"/>
        <w:gridCol w:w="1893"/>
        <w:gridCol w:w="1947"/>
      </w:tblGrid>
      <w:tr>
        <w:tblPrEx>
          <w:tblBorders>
            <w:top w:val="single" w:color="auto" w:sz="6" w:space="0"/>
            <w:left w:val="single" w:color="auto" w:sz="6" w:space="0"/>
            <w:bottom w:val="single" w:color="auto" w:sz="8" w:space="0"/>
            <w:right w:val="single" w:color="auto" w:sz="6" w:space="0"/>
            <w:insideH w:val="single" w:color="auto" w:sz="8" w:space="0"/>
            <w:insideV w:val="single" w:color="auto" w:sz="6" w:space="0"/>
          </w:tblBorders>
          <w:tblLayout w:type="fixed"/>
          <w:tblCellMar>
            <w:top w:w="10" w:type="dxa"/>
            <w:left w:w="10" w:type="dxa"/>
            <w:bottom w:w="10" w:type="dxa"/>
            <w:right w:w="10" w:type="dxa"/>
          </w:tblCellMar>
        </w:tblPrEx>
        <w:tc>
          <w:tcPr>
            <w:tcW w:w="2834" w:type="dxa"/>
            <w:tcBorders>
              <w:top w:val="single" w:color="auto" w:sz="6" w:space="0"/>
            </w:tcBorders>
          </w:tcPr>
          <w:p>
            <w:pPr>
              <w:autoSpaceDE w:val="0"/>
              <w:autoSpaceDN w:val="0"/>
              <w:adjustRightInd w:val="0"/>
              <w:spacing w:before="0" w:after="0"/>
              <w:rPr>
                <w:rFonts w:eastAsia="Times New Roman"/>
                <w:kern w:val="0"/>
                <w:sz w:val="21"/>
                <w:szCs w:val="21"/>
                <w:lang w:val="zh-CN"/>
              </w:rPr>
            </w:pPr>
            <w:r>
              <w:rPr>
                <w:rFonts w:hint="eastAsia" w:ascii="宋体" w:hAnsi="宋体" w:cs="宋体"/>
                <w:kern w:val="0"/>
                <w:sz w:val="21"/>
                <w:szCs w:val="21"/>
                <w:lang w:val="zh-CN"/>
              </w:rPr>
              <w:t>单位名称</w:t>
            </w:r>
          </w:p>
        </w:tc>
        <w:tc>
          <w:tcPr>
            <w:tcW w:w="1493" w:type="dxa"/>
            <w:tcBorders>
              <w:top w:val="single" w:color="auto" w:sz="6" w:space="0"/>
            </w:tcBorders>
          </w:tcPr>
          <w:p>
            <w:pPr>
              <w:autoSpaceDE w:val="0"/>
              <w:autoSpaceDN w:val="0"/>
              <w:adjustRightInd w:val="0"/>
              <w:spacing w:before="0" w:after="0"/>
              <w:jc w:val="center"/>
              <w:rPr>
                <w:rFonts w:eastAsia="Times New Roman"/>
                <w:kern w:val="0"/>
                <w:sz w:val="21"/>
                <w:szCs w:val="21"/>
                <w:lang w:val="zh-CN"/>
              </w:rPr>
            </w:pPr>
            <w:r>
              <w:rPr>
                <w:rFonts w:hint="eastAsia" w:ascii="宋体" w:hAnsi="宋体" w:cs="宋体"/>
                <w:kern w:val="0"/>
                <w:sz w:val="21"/>
                <w:szCs w:val="21"/>
                <w:lang w:val="zh-CN"/>
              </w:rPr>
              <w:t>账面余额</w:t>
            </w:r>
          </w:p>
        </w:tc>
        <w:tc>
          <w:tcPr>
            <w:tcW w:w="1491" w:type="dxa"/>
            <w:tcBorders>
              <w:top w:val="single" w:color="auto" w:sz="6" w:space="0"/>
            </w:tcBorders>
          </w:tcPr>
          <w:p>
            <w:pPr>
              <w:autoSpaceDE w:val="0"/>
              <w:autoSpaceDN w:val="0"/>
              <w:adjustRightInd w:val="0"/>
              <w:spacing w:before="0" w:after="0"/>
              <w:jc w:val="center"/>
              <w:rPr>
                <w:rFonts w:eastAsia="Times New Roman"/>
                <w:kern w:val="0"/>
                <w:sz w:val="21"/>
                <w:szCs w:val="21"/>
                <w:lang w:val="zh-CN"/>
              </w:rPr>
            </w:pPr>
            <w:r>
              <w:rPr>
                <w:rFonts w:hint="eastAsia" w:ascii="宋体" w:hAnsi="宋体" w:cs="宋体"/>
                <w:kern w:val="0"/>
                <w:sz w:val="21"/>
                <w:szCs w:val="21"/>
                <w:lang w:val="zh-CN"/>
              </w:rPr>
              <w:t>坏账金额</w:t>
            </w:r>
          </w:p>
        </w:tc>
        <w:tc>
          <w:tcPr>
            <w:tcW w:w="1893" w:type="dxa"/>
            <w:tcBorders>
              <w:top w:val="single" w:color="auto" w:sz="6" w:space="0"/>
            </w:tcBorders>
          </w:tcPr>
          <w:p>
            <w:pPr>
              <w:autoSpaceDE w:val="0"/>
              <w:autoSpaceDN w:val="0"/>
              <w:adjustRightInd w:val="0"/>
              <w:spacing w:before="0" w:after="0"/>
              <w:jc w:val="center"/>
              <w:rPr>
                <w:rFonts w:eastAsia="Times New Roman"/>
                <w:kern w:val="0"/>
                <w:sz w:val="21"/>
                <w:szCs w:val="21"/>
                <w:lang w:val="zh-CN"/>
              </w:rPr>
            </w:pPr>
            <w:r>
              <w:rPr>
                <w:rFonts w:hint="eastAsia" w:ascii="宋体" w:hAnsi="宋体" w:cs="宋体"/>
                <w:kern w:val="0"/>
                <w:sz w:val="21"/>
                <w:szCs w:val="21"/>
                <w:lang w:val="zh-CN"/>
              </w:rPr>
              <w:t>计提比例（</w:t>
            </w:r>
            <w:r>
              <w:rPr>
                <w:rFonts w:eastAsia="Times New Roman"/>
                <w:kern w:val="0"/>
                <w:sz w:val="21"/>
                <w:szCs w:val="21"/>
                <w:lang w:val="zh-CN"/>
              </w:rPr>
              <w:t>%</w:t>
            </w:r>
            <w:r>
              <w:rPr>
                <w:rFonts w:hint="eastAsia" w:ascii="宋体" w:hAnsi="宋体" w:cs="宋体"/>
                <w:kern w:val="0"/>
                <w:sz w:val="21"/>
                <w:szCs w:val="21"/>
                <w:lang w:val="zh-CN"/>
              </w:rPr>
              <w:t>）</w:t>
            </w:r>
          </w:p>
        </w:tc>
        <w:tc>
          <w:tcPr>
            <w:tcW w:w="1947" w:type="dxa"/>
            <w:tcBorders>
              <w:top w:val="single" w:color="auto" w:sz="6" w:space="0"/>
            </w:tcBorders>
          </w:tcPr>
          <w:p>
            <w:pPr>
              <w:autoSpaceDE w:val="0"/>
              <w:autoSpaceDN w:val="0"/>
              <w:adjustRightInd w:val="0"/>
              <w:spacing w:before="0" w:after="0"/>
              <w:jc w:val="center"/>
              <w:rPr>
                <w:rFonts w:eastAsia="Times New Roman"/>
                <w:kern w:val="0"/>
                <w:sz w:val="21"/>
                <w:szCs w:val="21"/>
                <w:lang w:val="zh-CN"/>
              </w:rPr>
            </w:pPr>
            <w:r>
              <w:rPr>
                <w:rFonts w:hint="eastAsia" w:ascii="宋体" w:hAnsi="宋体" w:cs="宋体"/>
                <w:kern w:val="0"/>
                <w:sz w:val="21"/>
                <w:szCs w:val="21"/>
                <w:lang w:val="zh-CN"/>
              </w:rPr>
              <w:t>计提原因</w:t>
            </w:r>
          </w:p>
        </w:tc>
      </w:tr>
      <w:tr>
        <w:tblPrEx>
          <w:tblBorders>
            <w:top w:val="single" w:color="auto" w:sz="6" w:space="0"/>
            <w:left w:val="single" w:color="auto" w:sz="6" w:space="0"/>
            <w:bottom w:val="single" w:color="auto" w:sz="8" w:space="0"/>
            <w:right w:val="single" w:color="auto" w:sz="6" w:space="0"/>
            <w:insideH w:val="single" w:color="auto" w:sz="8" w:space="0"/>
            <w:insideV w:val="single" w:color="auto" w:sz="6" w:space="0"/>
          </w:tblBorders>
          <w:tblLayout w:type="fixed"/>
          <w:tblCellMar>
            <w:top w:w="10" w:type="dxa"/>
            <w:left w:w="10" w:type="dxa"/>
            <w:bottom w:w="10" w:type="dxa"/>
            <w:right w:w="10" w:type="dxa"/>
          </w:tblCellMar>
        </w:tblPrEx>
        <w:tc>
          <w:tcPr>
            <w:tcW w:w="2834" w:type="dxa"/>
          </w:tcPr>
          <w:p>
            <w:pPr>
              <w:autoSpaceDE w:val="0"/>
              <w:autoSpaceDN w:val="0"/>
              <w:adjustRightInd w:val="0"/>
              <w:spacing w:before="0" w:after="0"/>
              <w:rPr>
                <w:rFonts w:eastAsia="Times New Roman"/>
                <w:kern w:val="0"/>
                <w:sz w:val="21"/>
                <w:szCs w:val="21"/>
                <w:lang w:val="zh-CN"/>
              </w:rPr>
            </w:pPr>
            <w:r>
              <w:rPr>
                <w:rFonts w:hint="eastAsia" w:ascii="宋体" w:hAnsi="宋体" w:cs="宋体"/>
                <w:kern w:val="0"/>
                <w:sz w:val="21"/>
                <w:szCs w:val="21"/>
                <w:lang w:val="zh-CN"/>
              </w:rPr>
              <w:t>宁波海之星远洋渔业有限公司</w:t>
            </w:r>
          </w:p>
        </w:tc>
        <w:tc>
          <w:tcPr>
            <w:tcW w:w="1493" w:type="dxa"/>
          </w:tcPr>
          <w:p>
            <w:pPr>
              <w:autoSpaceDE w:val="0"/>
              <w:autoSpaceDN w:val="0"/>
              <w:adjustRightInd w:val="0"/>
              <w:spacing w:before="0" w:after="0"/>
              <w:jc w:val="right"/>
              <w:rPr>
                <w:rFonts w:eastAsia="Times New Roman"/>
                <w:kern w:val="0"/>
                <w:sz w:val="21"/>
                <w:szCs w:val="21"/>
                <w:lang w:val="zh-CN"/>
              </w:rPr>
            </w:pPr>
            <w:r>
              <w:rPr>
                <w:rFonts w:eastAsia="Times New Roman"/>
                <w:kern w:val="0"/>
                <w:sz w:val="21"/>
                <w:szCs w:val="21"/>
                <w:lang w:val="en-GB"/>
              </w:rPr>
              <w:t>658,675.61</w:t>
            </w:r>
          </w:p>
        </w:tc>
        <w:tc>
          <w:tcPr>
            <w:tcW w:w="1491" w:type="dxa"/>
          </w:tcPr>
          <w:p>
            <w:pPr>
              <w:autoSpaceDE w:val="0"/>
              <w:autoSpaceDN w:val="0"/>
              <w:adjustRightInd w:val="0"/>
              <w:spacing w:before="0" w:after="0"/>
              <w:jc w:val="right"/>
              <w:rPr>
                <w:rFonts w:eastAsia="Times New Roman"/>
                <w:kern w:val="0"/>
                <w:sz w:val="21"/>
                <w:szCs w:val="21"/>
                <w:lang w:val="zh-CN"/>
              </w:rPr>
            </w:pPr>
            <w:r>
              <w:rPr>
                <w:rFonts w:eastAsia="Times New Roman"/>
                <w:kern w:val="0"/>
                <w:sz w:val="21"/>
                <w:szCs w:val="21"/>
                <w:lang w:val="en-GB"/>
              </w:rPr>
              <w:t>658,675.61</w:t>
            </w:r>
          </w:p>
        </w:tc>
        <w:tc>
          <w:tcPr>
            <w:tcW w:w="1893" w:type="dxa"/>
          </w:tcPr>
          <w:p>
            <w:pPr>
              <w:autoSpaceDE w:val="0"/>
              <w:autoSpaceDN w:val="0"/>
              <w:adjustRightInd w:val="0"/>
              <w:spacing w:before="0" w:after="0"/>
              <w:jc w:val="center"/>
              <w:rPr>
                <w:rFonts w:eastAsia="Times New Roman"/>
                <w:kern w:val="0"/>
                <w:sz w:val="21"/>
                <w:szCs w:val="21"/>
                <w:lang w:val="zh-CN"/>
              </w:rPr>
            </w:pPr>
            <w:r>
              <w:rPr>
                <w:rFonts w:eastAsia="Times New Roman"/>
                <w:kern w:val="0"/>
                <w:sz w:val="21"/>
                <w:szCs w:val="21"/>
                <w:lang w:val="en-GB"/>
              </w:rPr>
              <w:t>100.00</w:t>
            </w:r>
          </w:p>
        </w:tc>
        <w:tc>
          <w:tcPr>
            <w:tcW w:w="1947" w:type="dxa"/>
          </w:tcPr>
          <w:p>
            <w:pPr>
              <w:autoSpaceDE w:val="0"/>
              <w:autoSpaceDN w:val="0"/>
              <w:adjustRightInd w:val="0"/>
              <w:spacing w:before="0" w:after="0"/>
              <w:jc w:val="center"/>
              <w:rPr>
                <w:rFonts w:eastAsia="Times New Roman"/>
                <w:kern w:val="0"/>
                <w:sz w:val="21"/>
                <w:szCs w:val="21"/>
                <w:lang w:val="zh-CN"/>
              </w:rPr>
            </w:pPr>
            <w:r>
              <w:rPr>
                <w:rFonts w:hint="eastAsia" w:ascii="宋体" w:hAnsi="宋体" w:cs="宋体"/>
                <w:kern w:val="0"/>
                <w:sz w:val="21"/>
                <w:szCs w:val="21"/>
                <w:lang w:val="zh-CN"/>
              </w:rPr>
              <w:t>债务人破产整合</w:t>
            </w:r>
          </w:p>
        </w:tc>
      </w:tr>
    </w:tbl>
    <w:p>
      <w:pPr>
        <w:autoSpaceDE w:val="0"/>
        <w:autoSpaceDN w:val="0"/>
        <w:adjustRightInd w:val="0"/>
        <w:spacing w:before="0" w:after="0"/>
        <w:jc w:val="left"/>
        <w:rPr>
          <w:rFonts w:eastAsia="Times New Roman"/>
          <w:kern w:val="0"/>
          <w:szCs w:val="24"/>
          <w:lang w:val="zh-CN"/>
        </w:rPr>
      </w:pPr>
    </w:p>
    <w:p>
      <w:pPr>
        <w:pStyle w:val="11"/>
        <w:outlineLvl w:val="3"/>
        <w:rPr>
          <w:bCs w:val="0"/>
          <w:szCs w:val="24"/>
        </w:rPr>
      </w:pPr>
      <w:r>
        <w:rPr>
          <w:rFonts w:hint="eastAsia"/>
          <w:bCs w:val="0"/>
          <w:szCs w:val="24"/>
        </w:rPr>
        <w:t>（</w:t>
      </w:r>
      <w:r>
        <w:rPr>
          <w:bCs w:val="0"/>
          <w:szCs w:val="24"/>
        </w:rPr>
        <w:t>2</w:t>
      </w:r>
      <w:r>
        <w:rPr>
          <w:rFonts w:hint="eastAsia"/>
          <w:bCs w:val="0"/>
          <w:szCs w:val="24"/>
        </w:rPr>
        <w:t>）本期计提、收回或转回的坏账准备情况</w:t>
      </w:r>
    </w:p>
    <w:p>
      <w:pPr>
        <w:jc w:val="left"/>
        <w:rPr>
          <w:sz w:val="21"/>
          <w:szCs w:val="21"/>
        </w:rPr>
      </w:pPr>
      <w:r>
        <w:rPr>
          <w:rFonts w:hint="eastAsia"/>
          <w:sz w:val="21"/>
          <w:szCs w:val="21"/>
        </w:rPr>
        <w:t>本期计提坏账准备金额</w:t>
      </w:r>
      <w:r>
        <w:rPr>
          <w:sz w:val="21"/>
          <w:szCs w:val="21"/>
        </w:rPr>
        <w:t>1,563,475.12</w:t>
      </w:r>
      <w:r>
        <w:rPr>
          <w:rFonts w:hint="eastAsia"/>
          <w:sz w:val="21"/>
          <w:szCs w:val="21"/>
        </w:rPr>
        <w:t>元；本期收回或转回坏账准备金额</w:t>
      </w:r>
      <w:r>
        <w:rPr>
          <w:sz w:val="21"/>
          <w:szCs w:val="21"/>
        </w:rPr>
        <w:t>0.00</w:t>
      </w:r>
      <w:r>
        <w:rPr>
          <w:rFonts w:hint="eastAsia"/>
          <w:sz w:val="21"/>
          <w:szCs w:val="21"/>
        </w:rPr>
        <w:t>元。</w:t>
      </w:r>
    </w:p>
    <w:p>
      <w:pPr>
        <w:jc w:val="left"/>
        <w:rPr>
          <w:sz w:val="21"/>
          <w:szCs w:val="21"/>
        </w:rPr>
      </w:pPr>
      <w:r>
        <w:rPr>
          <w:rFonts w:hint="eastAsia"/>
          <w:sz w:val="21"/>
          <w:szCs w:val="21"/>
        </w:rPr>
        <w:t>其中本期坏账准备收回或转回金额重要的：</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569" w:type="dxa"/>
        <w:tblInd w:w="28" w:type="dxa"/>
        <w:tblLayout w:type="fixed"/>
        <w:tblCellMar>
          <w:top w:w="0" w:type="dxa"/>
          <w:left w:w="28" w:type="dxa"/>
          <w:bottom w:w="0" w:type="dxa"/>
          <w:right w:w="28" w:type="dxa"/>
        </w:tblCellMar>
      </w:tblPr>
      <w:tblGrid>
        <w:gridCol w:w="3189"/>
        <w:gridCol w:w="3190"/>
        <w:gridCol w:w="3190"/>
      </w:tblGrid>
      <w:tr>
        <w:tblPrEx>
          <w:tblLayout w:type="fixed"/>
        </w:tblPrEx>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单位名称</w:t>
            </w:r>
          </w:p>
        </w:tc>
        <w:tc>
          <w:tcPr>
            <w:tcW w:w="319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收回或转回金额</w:t>
            </w:r>
          </w:p>
        </w:tc>
        <w:tc>
          <w:tcPr>
            <w:tcW w:w="319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收回方式</w:t>
            </w:r>
          </w:p>
        </w:tc>
      </w:tr>
    </w:tbl>
    <w:p>
      <w:pPr>
        <w:autoSpaceDE w:val="0"/>
        <w:autoSpaceDN w:val="0"/>
        <w:adjustRightInd w:val="0"/>
        <w:spacing w:before="0" w:after="0" w:line="360" w:lineRule="auto"/>
        <w:ind w:firstLine="420" w:firstLineChars="200"/>
        <w:jc w:val="left"/>
        <w:rPr>
          <w:rFonts w:eastAsia="Times New Roman"/>
          <w:kern w:val="0"/>
          <w:sz w:val="21"/>
          <w:szCs w:val="21"/>
          <w:lang w:val="zh-CN"/>
        </w:rPr>
      </w:pPr>
      <w:r>
        <w:rPr>
          <w:rFonts w:hint="eastAsia" w:ascii="宋体" w:hAnsi="宋体" w:cs="宋体"/>
          <w:kern w:val="0"/>
          <w:sz w:val="21"/>
          <w:szCs w:val="21"/>
          <w:lang w:val="zh-CN"/>
        </w:rPr>
        <w:t>本年计提坏账准备金额</w:t>
      </w:r>
      <w:r>
        <w:rPr>
          <w:rFonts w:eastAsia="Times New Roman"/>
          <w:kern w:val="0"/>
          <w:sz w:val="21"/>
          <w:szCs w:val="21"/>
          <w:lang w:val="zh-CN"/>
        </w:rPr>
        <w:t>1,259,697.92</w:t>
      </w:r>
      <w:r>
        <w:rPr>
          <w:rFonts w:hint="eastAsia" w:ascii="宋体" w:hAnsi="宋体" w:cs="宋体"/>
          <w:kern w:val="0"/>
          <w:sz w:val="21"/>
          <w:szCs w:val="21"/>
          <w:lang w:val="zh-CN"/>
        </w:rPr>
        <w:t>元，本年因收购广东蓝图信息技术有限公司及</w:t>
      </w:r>
      <w:r>
        <w:rPr>
          <w:rFonts w:eastAsia="Times New Roman"/>
          <w:kern w:val="0"/>
          <w:sz w:val="21"/>
          <w:szCs w:val="21"/>
          <w:lang w:val="en-GB"/>
        </w:rPr>
        <w:t>Rockson Automation GmbH</w:t>
      </w:r>
      <w:r>
        <w:rPr>
          <w:rFonts w:hint="eastAsia" w:ascii="宋体" w:hAnsi="宋体" w:cs="宋体"/>
          <w:kern w:val="0"/>
          <w:sz w:val="21"/>
          <w:szCs w:val="21"/>
          <w:lang w:val="zh-CN"/>
        </w:rPr>
        <w:t>增加坏账准备</w:t>
      </w:r>
      <w:r>
        <w:rPr>
          <w:rFonts w:eastAsia="Times New Roman"/>
          <w:kern w:val="0"/>
          <w:sz w:val="21"/>
          <w:szCs w:val="21"/>
          <w:lang w:val="zh-CN"/>
        </w:rPr>
        <w:t xml:space="preserve">242,025.48 </w:t>
      </w:r>
      <w:r>
        <w:rPr>
          <w:rFonts w:hint="eastAsia" w:ascii="宋体" w:hAnsi="宋体" w:cs="宋体"/>
          <w:kern w:val="0"/>
          <w:sz w:val="21"/>
          <w:szCs w:val="21"/>
          <w:lang w:val="zh-CN"/>
        </w:rPr>
        <w:t>元，本年因外币汇率折算减少坏账准备金额</w:t>
      </w:r>
      <w:r>
        <w:rPr>
          <w:rFonts w:eastAsia="Times New Roman"/>
          <w:kern w:val="0"/>
          <w:sz w:val="21"/>
          <w:szCs w:val="21"/>
          <w:lang w:val="zh-CN"/>
        </w:rPr>
        <w:t>171,755.68</w:t>
      </w:r>
      <w:r>
        <w:rPr>
          <w:rFonts w:hint="eastAsia" w:ascii="宋体" w:hAnsi="宋体" w:cs="宋体"/>
          <w:kern w:val="0"/>
          <w:sz w:val="21"/>
          <w:szCs w:val="21"/>
          <w:lang w:val="zh-CN"/>
        </w:rPr>
        <w:t>元。</w:t>
      </w:r>
    </w:p>
    <w:p>
      <w:pPr>
        <w:pStyle w:val="11"/>
        <w:outlineLvl w:val="3"/>
        <w:rPr>
          <w:bCs w:val="0"/>
          <w:szCs w:val="24"/>
        </w:rPr>
      </w:pPr>
      <w:r>
        <w:rPr>
          <w:rFonts w:hint="eastAsia"/>
          <w:bCs w:val="0"/>
          <w:szCs w:val="24"/>
        </w:rPr>
        <w:t>（</w:t>
      </w:r>
      <w:r>
        <w:rPr>
          <w:bCs w:val="0"/>
          <w:szCs w:val="24"/>
        </w:rPr>
        <w:t>4</w:t>
      </w:r>
      <w:r>
        <w:rPr>
          <w:rFonts w:hint="eastAsia"/>
          <w:bCs w:val="0"/>
          <w:szCs w:val="24"/>
        </w:rPr>
        <w:t>）按欠款方归集的期末余额前五名的应收账款情况</w:t>
      </w:r>
    </w:p>
    <w:tbl>
      <w:tblPr>
        <w:tblStyle w:val="8"/>
        <w:tblW w:w="8363" w:type="dxa"/>
        <w:tblInd w:w="10" w:type="dxa"/>
        <w:tblBorders>
          <w:top w:val="single" w:color="auto" w:sz="6" w:space="0"/>
          <w:left w:val="single" w:color="auto" w:sz="6" w:space="0"/>
          <w:bottom w:val="single" w:color="auto" w:sz="8" w:space="0"/>
          <w:right w:val="none" w:color="auto" w:sz="0" w:space="0"/>
          <w:insideH w:val="single" w:color="auto" w:sz="6" w:space="0"/>
          <w:insideV w:val="single" w:color="auto" w:sz="6" w:space="0"/>
        </w:tblBorders>
        <w:tblLayout w:type="fixed"/>
        <w:tblCellMar>
          <w:top w:w="10" w:type="dxa"/>
          <w:left w:w="10" w:type="dxa"/>
          <w:bottom w:w="10" w:type="dxa"/>
          <w:right w:w="10" w:type="dxa"/>
        </w:tblCellMar>
      </w:tblPr>
      <w:tblGrid>
        <w:gridCol w:w="1729"/>
        <w:gridCol w:w="1560"/>
        <w:gridCol w:w="2466"/>
        <w:gridCol w:w="1245"/>
        <w:gridCol w:w="1363"/>
      </w:tblGrid>
      <w:tr>
        <w:tblPrEx>
          <w:tblBorders>
            <w:top w:val="single" w:color="auto" w:sz="6" w:space="0"/>
            <w:left w:val="single" w:color="auto" w:sz="6" w:space="0"/>
            <w:bottom w:val="single" w:color="auto" w:sz="8" w:space="0"/>
            <w:right w:val="none" w:color="auto" w:sz="0" w:space="0"/>
            <w:insideH w:val="single" w:color="auto" w:sz="6" w:space="0"/>
            <w:insideV w:val="single" w:color="auto" w:sz="6" w:space="0"/>
          </w:tblBorders>
          <w:tblLayout w:type="fixed"/>
          <w:tblCellMar>
            <w:top w:w="10" w:type="dxa"/>
            <w:left w:w="10" w:type="dxa"/>
            <w:bottom w:w="10" w:type="dxa"/>
            <w:right w:w="10" w:type="dxa"/>
          </w:tblCellMar>
        </w:tblPrEx>
        <w:tc>
          <w:tcPr>
            <w:tcW w:w="1729" w:type="dxa"/>
            <w:tcBorders>
              <w:bottom w:val="single" w:color="auto" w:sz="8" w:space="0"/>
              <w:right w:val="nil"/>
            </w:tcBorders>
          </w:tcPr>
          <w:p>
            <w:pPr>
              <w:autoSpaceDE w:val="0"/>
              <w:autoSpaceDN w:val="0"/>
              <w:adjustRightInd w:val="0"/>
              <w:spacing w:before="0" w:after="0"/>
              <w:rPr>
                <w:rFonts w:eastAsia="Times New Roman"/>
                <w:b/>
                <w:kern w:val="0"/>
                <w:sz w:val="21"/>
                <w:szCs w:val="21"/>
                <w:lang w:val="zh-CN"/>
              </w:rPr>
            </w:pPr>
            <w:r>
              <w:rPr>
                <w:rFonts w:hint="eastAsia" w:ascii="宋体" w:hAnsi="宋体" w:cs="宋体"/>
                <w:b/>
                <w:kern w:val="0"/>
                <w:sz w:val="21"/>
                <w:szCs w:val="21"/>
                <w:lang w:val="zh-CN"/>
              </w:rPr>
              <w:t>单位名称</w:t>
            </w:r>
          </w:p>
        </w:tc>
        <w:tc>
          <w:tcPr>
            <w:tcW w:w="1560" w:type="dxa"/>
            <w:tcBorders>
              <w:bottom w:val="single" w:color="auto" w:sz="8" w:space="0"/>
              <w:right w:val="nil"/>
            </w:tcBorders>
          </w:tcPr>
          <w:p>
            <w:pPr>
              <w:autoSpaceDE w:val="0"/>
              <w:autoSpaceDN w:val="0"/>
              <w:adjustRightInd w:val="0"/>
              <w:spacing w:before="0" w:after="0"/>
              <w:jc w:val="center"/>
              <w:rPr>
                <w:rFonts w:eastAsia="Times New Roman"/>
                <w:b/>
                <w:kern w:val="0"/>
                <w:sz w:val="21"/>
                <w:szCs w:val="21"/>
                <w:lang w:val="zh-CN"/>
              </w:rPr>
            </w:pPr>
            <w:r>
              <w:rPr>
                <w:rFonts w:hint="eastAsia" w:ascii="宋体" w:hAnsi="宋体" w:cs="宋体"/>
                <w:b/>
                <w:kern w:val="0"/>
                <w:sz w:val="21"/>
                <w:szCs w:val="21"/>
                <w:lang w:val="zh-CN"/>
              </w:rPr>
              <w:t>年末余额</w:t>
            </w:r>
          </w:p>
        </w:tc>
        <w:tc>
          <w:tcPr>
            <w:tcW w:w="2466" w:type="dxa"/>
            <w:tcBorders>
              <w:bottom w:val="single" w:color="auto" w:sz="8" w:space="0"/>
              <w:right w:val="nil"/>
            </w:tcBorders>
          </w:tcPr>
          <w:p>
            <w:pPr>
              <w:autoSpaceDE w:val="0"/>
              <w:autoSpaceDN w:val="0"/>
              <w:adjustRightInd w:val="0"/>
              <w:spacing w:before="0" w:after="0"/>
              <w:jc w:val="center"/>
              <w:rPr>
                <w:rFonts w:eastAsia="Times New Roman"/>
                <w:b/>
                <w:kern w:val="0"/>
                <w:sz w:val="21"/>
                <w:szCs w:val="21"/>
                <w:lang w:val="zh-CN"/>
              </w:rPr>
            </w:pPr>
            <w:r>
              <w:rPr>
                <w:rFonts w:hint="eastAsia" w:ascii="宋体" w:hAnsi="宋体" w:cs="宋体"/>
                <w:b/>
                <w:kern w:val="0"/>
                <w:sz w:val="21"/>
                <w:szCs w:val="21"/>
                <w:lang w:val="zh-CN"/>
              </w:rPr>
              <w:t>账龄</w:t>
            </w:r>
          </w:p>
        </w:tc>
        <w:tc>
          <w:tcPr>
            <w:tcW w:w="1245" w:type="dxa"/>
            <w:tcBorders>
              <w:bottom w:val="single" w:color="auto" w:sz="8" w:space="0"/>
              <w:right w:val="nil"/>
            </w:tcBorders>
          </w:tcPr>
          <w:p>
            <w:pPr>
              <w:autoSpaceDE w:val="0"/>
              <w:autoSpaceDN w:val="0"/>
              <w:adjustRightInd w:val="0"/>
              <w:spacing w:before="0" w:after="0"/>
              <w:jc w:val="center"/>
              <w:rPr>
                <w:rFonts w:eastAsia="Times New Roman"/>
                <w:b/>
                <w:kern w:val="0"/>
                <w:sz w:val="21"/>
                <w:szCs w:val="21"/>
                <w:lang w:val="zh-CN"/>
              </w:rPr>
            </w:pPr>
            <w:r>
              <w:rPr>
                <w:rFonts w:hint="eastAsia" w:ascii="宋体" w:hAnsi="宋体" w:cs="宋体"/>
                <w:b/>
                <w:kern w:val="0"/>
                <w:sz w:val="21"/>
                <w:szCs w:val="21"/>
                <w:lang w:val="zh-CN"/>
              </w:rPr>
              <w:t>占应收账款年末余额合计数的比例</w:t>
            </w:r>
            <w:r>
              <w:rPr>
                <w:rFonts w:eastAsia="Times New Roman"/>
                <w:b/>
                <w:kern w:val="0"/>
                <w:sz w:val="21"/>
                <w:szCs w:val="21"/>
                <w:lang w:val="en-GB"/>
              </w:rPr>
              <w:t>(%)</w:t>
            </w:r>
          </w:p>
        </w:tc>
        <w:tc>
          <w:tcPr>
            <w:tcW w:w="1363" w:type="dxa"/>
            <w:tcBorders>
              <w:bottom w:val="single" w:color="auto" w:sz="8" w:space="0"/>
              <w:right w:val="nil"/>
            </w:tcBorders>
          </w:tcPr>
          <w:p>
            <w:pPr>
              <w:autoSpaceDE w:val="0"/>
              <w:autoSpaceDN w:val="0"/>
              <w:adjustRightInd w:val="0"/>
              <w:spacing w:before="0" w:after="0"/>
              <w:jc w:val="center"/>
              <w:rPr>
                <w:rFonts w:eastAsia="Times New Roman"/>
                <w:b/>
                <w:kern w:val="0"/>
                <w:sz w:val="21"/>
                <w:szCs w:val="21"/>
                <w:lang w:val="zh-CN"/>
              </w:rPr>
            </w:pPr>
            <w:r>
              <w:rPr>
                <w:rFonts w:hint="eastAsia" w:ascii="宋体" w:hAnsi="宋体" w:cs="宋体"/>
                <w:b/>
                <w:kern w:val="0"/>
                <w:sz w:val="21"/>
                <w:szCs w:val="21"/>
                <w:lang w:val="zh-CN"/>
              </w:rPr>
              <w:t>坏账准备年末余额</w:t>
            </w:r>
          </w:p>
        </w:tc>
      </w:tr>
      <w:tr>
        <w:tblPrEx>
          <w:tblBorders>
            <w:top w:val="single" w:color="auto" w:sz="6" w:space="0"/>
            <w:left w:val="single" w:color="auto" w:sz="6" w:space="0"/>
            <w:bottom w:val="single" w:color="auto" w:sz="8" w:space="0"/>
            <w:right w:val="none" w:color="auto" w:sz="0" w:space="0"/>
            <w:insideH w:val="single" w:color="auto" w:sz="6" w:space="0"/>
            <w:insideV w:val="single" w:color="auto" w:sz="6" w:space="0"/>
          </w:tblBorders>
          <w:tblLayout w:type="fixed"/>
          <w:tblCellMar>
            <w:top w:w="10" w:type="dxa"/>
            <w:left w:w="10" w:type="dxa"/>
            <w:bottom w:w="10" w:type="dxa"/>
            <w:right w:w="10" w:type="dxa"/>
          </w:tblCellMar>
        </w:tblPrEx>
        <w:tc>
          <w:tcPr>
            <w:tcW w:w="1729" w:type="dxa"/>
            <w:tcBorders>
              <w:bottom w:val="single" w:color="auto" w:sz="8" w:space="0"/>
              <w:right w:val="nil"/>
            </w:tcBorders>
          </w:tcPr>
          <w:p>
            <w:pPr>
              <w:autoSpaceDE w:val="0"/>
              <w:autoSpaceDN w:val="0"/>
              <w:adjustRightInd w:val="0"/>
              <w:spacing w:before="0" w:after="0"/>
              <w:jc w:val="left"/>
              <w:rPr>
                <w:rFonts w:eastAsia="Times New Roman"/>
                <w:kern w:val="0"/>
                <w:sz w:val="21"/>
                <w:szCs w:val="21"/>
                <w:lang w:val="zh-CN"/>
              </w:rPr>
            </w:pPr>
            <w:r>
              <w:rPr>
                <w:rFonts w:hint="eastAsia" w:ascii="宋体" w:hAnsi="宋体" w:cs="宋体"/>
                <w:kern w:val="0"/>
                <w:sz w:val="21"/>
                <w:szCs w:val="21"/>
                <w:lang w:val="zh-CN"/>
              </w:rPr>
              <w:t>客户一</w:t>
            </w:r>
          </w:p>
        </w:tc>
        <w:tc>
          <w:tcPr>
            <w:tcW w:w="1560" w:type="dxa"/>
            <w:tcBorders>
              <w:bottom w:val="single" w:color="auto" w:sz="8" w:space="0"/>
              <w:right w:val="nil"/>
            </w:tcBorders>
          </w:tcPr>
          <w:p>
            <w:pPr>
              <w:autoSpaceDE w:val="0"/>
              <w:autoSpaceDN w:val="0"/>
              <w:adjustRightInd w:val="0"/>
              <w:spacing w:before="0" w:after="0"/>
              <w:jc w:val="right"/>
              <w:rPr>
                <w:rFonts w:eastAsia="Times New Roman"/>
                <w:kern w:val="0"/>
                <w:sz w:val="21"/>
                <w:szCs w:val="21"/>
                <w:lang w:val="zh-CN"/>
              </w:rPr>
            </w:pPr>
            <w:r>
              <w:rPr>
                <w:rFonts w:eastAsia="Times New Roman"/>
                <w:kern w:val="0"/>
                <w:sz w:val="21"/>
                <w:szCs w:val="21"/>
                <w:lang w:val="en-GB"/>
              </w:rPr>
              <w:t xml:space="preserve"> 23,806,100.00 </w:t>
            </w:r>
          </w:p>
        </w:tc>
        <w:tc>
          <w:tcPr>
            <w:tcW w:w="2466" w:type="dxa"/>
            <w:tcBorders>
              <w:bottom w:val="single" w:color="auto" w:sz="8" w:space="0"/>
              <w:right w:val="nil"/>
            </w:tcBorders>
          </w:tcPr>
          <w:p>
            <w:pPr>
              <w:autoSpaceDE w:val="0"/>
              <w:autoSpaceDN w:val="0"/>
              <w:adjustRightInd w:val="0"/>
              <w:spacing w:before="0" w:after="0"/>
              <w:jc w:val="center"/>
              <w:rPr>
                <w:rFonts w:eastAsia="Times New Roman"/>
                <w:kern w:val="0"/>
                <w:sz w:val="21"/>
                <w:szCs w:val="21"/>
                <w:lang w:val="zh-CN"/>
              </w:rPr>
            </w:pPr>
            <w:r>
              <w:rPr>
                <w:rFonts w:eastAsia="Times New Roman"/>
                <w:kern w:val="0"/>
                <w:sz w:val="21"/>
                <w:szCs w:val="21"/>
                <w:lang w:val="zh-CN"/>
              </w:rPr>
              <w:t>1</w:t>
            </w:r>
            <w:r>
              <w:rPr>
                <w:rFonts w:hint="eastAsia" w:ascii="宋体" w:hAnsi="宋体" w:cs="宋体"/>
                <w:kern w:val="0"/>
                <w:sz w:val="21"/>
                <w:szCs w:val="21"/>
                <w:lang w:val="zh-CN"/>
              </w:rPr>
              <w:t>年以内</w:t>
            </w:r>
          </w:p>
        </w:tc>
        <w:tc>
          <w:tcPr>
            <w:tcW w:w="1245" w:type="dxa"/>
            <w:tcBorders>
              <w:bottom w:val="single" w:color="auto" w:sz="8" w:space="0"/>
              <w:right w:val="nil"/>
            </w:tcBorders>
          </w:tcPr>
          <w:p>
            <w:pPr>
              <w:autoSpaceDE w:val="0"/>
              <w:autoSpaceDN w:val="0"/>
              <w:adjustRightInd w:val="0"/>
              <w:spacing w:before="0" w:after="0"/>
              <w:jc w:val="center"/>
              <w:rPr>
                <w:rFonts w:eastAsia="Times New Roman"/>
                <w:kern w:val="0"/>
                <w:sz w:val="21"/>
                <w:szCs w:val="21"/>
                <w:lang w:val="zh-CN"/>
              </w:rPr>
            </w:pPr>
            <w:r>
              <w:rPr>
                <w:rFonts w:eastAsia="Times New Roman"/>
                <w:kern w:val="0"/>
                <w:sz w:val="21"/>
                <w:szCs w:val="21"/>
                <w:lang w:val="en-GB"/>
              </w:rPr>
              <w:t>6.68</w:t>
            </w:r>
          </w:p>
        </w:tc>
        <w:tc>
          <w:tcPr>
            <w:tcW w:w="1363" w:type="dxa"/>
            <w:tcBorders>
              <w:bottom w:val="single" w:color="auto" w:sz="8" w:space="0"/>
              <w:right w:val="nil"/>
            </w:tcBorders>
          </w:tcPr>
          <w:p>
            <w:pPr>
              <w:autoSpaceDE w:val="0"/>
              <w:autoSpaceDN w:val="0"/>
              <w:adjustRightInd w:val="0"/>
              <w:spacing w:before="0" w:after="0"/>
              <w:jc w:val="center"/>
              <w:rPr>
                <w:rFonts w:eastAsia="Times New Roman"/>
                <w:kern w:val="0"/>
                <w:sz w:val="21"/>
                <w:szCs w:val="21"/>
                <w:lang w:val="zh-CN"/>
              </w:rPr>
            </w:pPr>
            <w:r>
              <w:rPr>
                <w:rFonts w:eastAsia="Times New Roman"/>
                <w:kern w:val="0"/>
                <w:sz w:val="21"/>
                <w:szCs w:val="21"/>
                <w:lang w:val="en-GB"/>
              </w:rPr>
              <w:t xml:space="preserve"> 1,190,305.00 </w:t>
            </w:r>
          </w:p>
        </w:tc>
      </w:tr>
      <w:tr>
        <w:tblPrEx>
          <w:tblBorders>
            <w:top w:val="single" w:color="auto" w:sz="6" w:space="0"/>
            <w:left w:val="single" w:color="auto" w:sz="6" w:space="0"/>
            <w:bottom w:val="single" w:color="auto" w:sz="8" w:space="0"/>
            <w:right w:val="none" w:color="auto" w:sz="0" w:space="0"/>
            <w:insideH w:val="single" w:color="auto" w:sz="6" w:space="0"/>
            <w:insideV w:val="single" w:color="auto" w:sz="6" w:space="0"/>
          </w:tblBorders>
          <w:tblLayout w:type="fixed"/>
          <w:tblCellMar>
            <w:top w:w="10" w:type="dxa"/>
            <w:left w:w="10" w:type="dxa"/>
            <w:bottom w:w="10" w:type="dxa"/>
            <w:right w:w="10" w:type="dxa"/>
          </w:tblCellMar>
        </w:tblPrEx>
        <w:tc>
          <w:tcPr>
            <w:tcW w:w="1729" w:type="dxa"/>
            <w:tcBorders>
              <w:bottom w:val="single" w:color="auto" w:sz="8" w:space="0"/>
              <w:right w:val="nil"/>
            </w:tcBorders>
          </w:tcPr>
          <w:p>
            <w:pPr>
              <w:autoSpaceDE w:val="0"/>
              <w:autoSpaceDN w:val="0"/>
              <w:adjustRightInd w:val="0"/>
              <w:spacing w:before="0" w:after="0"/>
              <w:jc w:val="left"/>
              <w:rPr>
                <w:rFonts w:eastAsia="Times New Roman"/>
                <w:kern w:val="0"/>
                <w:sz w:val="21"/>
                <w:szCs w:val="21"/>
                <w:lang w:val="zh-CN"/>
              </w:rPr>
            </w:pPr>
            <w:r>
              <w:rPr>
                <w:rFonts w:hint="eastAsia" w:ascii="宋体" w:hAnsi="宋体" w:cs="宋体"/>
                <w:kern w:val="0"/>
                <w:sz w:val="21"/>
                <w:szCs w:val="21"/>
                <w:lang w:val="zh-CN"/>
              </w:rPr>
              <w:t>客户二</w:t>
            </w:r>
          </w:p>
        </w:tc>
        <w:tc>
          <w:tcPr>
            <w:tcW w:w="1560" w:type="dxa"/>
            <w:tcBorders>
              <w:bottom w:val="single" w:color="auto" w:sz="8" w:space="0"/>
              <w:right w:val="nil"/>
            </w:tcBorders>
          </w:tcPr>
          <w:p>
            <w:pPr>
              <w:autoSpaceDE w:val="0"/>
              <w:autoSpaceDN w:val="0"/>
              <w:adjustRightInd w:val="0"/>
              <w:spacing w:before="0" w:after="0"/>
              <w:jc w:val="right"/>
              <w:rPr>
                <w:rFonts w:eastAsia="Times New Roman"/>
                <w:kern w:val="0"/>
                <w:sz w:val="21"/>
                <w:szCs w:val="21"/>
                <w:lang w:val="zh-CN"/>
              </w:rPr>
            </w:pPr>
            <w:r>
              <w:rPr>
                <w:rFonts w:eastAsia="Times New Roman"/>
                <w:kern w:val="0"/>
                <w:sz w:val="21"/>
                <w:szCs w:val="21"/>
                <w:lang w:val="en-GB"/>
              </w:rPr>
              <w:t>19,297,350.00</w:t>
            </w:r>
          </w:p>
        </w:tc>
        <w:tc>
          <w:tcPr>
            <w:tcW w:w="2466" w:type="dxa"/>
            <w:tcBorders>
              <w:bottom w:val="single" w:color="auto" w:sz="8" w:space="0"/>
              <w:right w:val="nil"/>
            </w:tcBorders>
          </w:tcPr>
          <w:p>
            <w:pPr>
              <w:autoSpaceDE w:val="0"/>
              <w:autoSpaceDN w:val="0"/>
              <w:adjustRightInd w:val="0"/>
              <w:spacing w:before="0" w:after="0"/>
              <w:jc w:val="center"/>
              <w:rPr>
                <w:rFonts w:eastAsia="Times New Roman"/>
                <w:kern w:val="0"/>
                <w:sz w:val="21"/>
                <w:szCs w:val="21"/>
                <w:lang w:val="zh-CN"/>
              </w:rPr>
            </w:pPr>
            <w:r>
              <w:rPr>
                <w:rFonts w:eastAsia="Times New Roman"/>
                <w:kern w:val="0"/>
                <w:sz w:val="21"/>
                <w:szCs w:val="21"/>
                <w:lang w:val="en-GB"/>
              </w:rPr>
              <w:t>1</w:t>
            </w:r>
            <w:r>
              <w:rPr>
                <w:rFonts w:hint="eastAsia" w:ascii="宋体" w:hAnsi="宋体" w:cs="宋体"/>
                <w:kern w:val="0"/>
                <w:sz w:val="21"/>
                <w:szCs w:val="21"/>
                <w:lang w:val="zh-CN"/>
              </w:rPr>
              <w:t>年以内</w:t>
            </w:r>
          </w:p>
        </w:tc>
        <w:tc>
          <w:tcPr>
            <w:tcW w:w="1245" w:type="dxa"/>
            <w:tcBorders>
              <w:bottom w:val="single" w:color="auto" w:sz="8" w:space="0"/>
              <w:right w:val="nil"/>
            </w:tcBorders>
          </w:tcPr>
          <w:p>
            <w:pPr>
              <w:autoSpaceDE w:val="0"/>
              <w:autoSpaceDN w:val="0"/>
              <w:adjustRightInd w:val="0"/>
              <w:spacing w:before="0" w:after="0"/>
              <w:jc w:val="center"/>
              <w:rPr>
                <w:rFonts w:eastAsia="Times New Roman"/>
                <w:kern w:val="0"/>
                <w:sz w:val="21"/>
                <w:szCs w:val="21"/>
                <w:lang w:val="zh-CN"/>
              </w:rPr>
            </w:pPr>
            <w:r>
              <w:rPr>
                <w:rFonts w:eastAsia="Times New Roman"/>
                <w:kern w:val="0"/>
                <w:sz w:val="21"/>
                <w:szCs w:val="21"/>
                <w:lang w:val="en-GB"/>
              </w:rPr>
              <w:t>5.41</w:t>
            </w:r>
          </w:p>
        </w:tc>
        <w:tc>
          <w:tcPr>
            <w:tcW w:w="1363" w:type="dxa"/>
            <w:tcBorders>
              <w:bottom w:val="single" w:color="auto" w:sz="8" w:space="0"/>
              <w:right w:val="nil"/>
            </w:tcBorders>
          </w:tcPr>
          <w:p>
            <w:pPr>
              <w:autoSpaceDE w:val="0"/>
              <w:autoSpaceDN w:val="0"/>
              <w:adjustRightInd w:val="0"/>
              <w:spacing w:before="0" w:after="0"/>
              <w:jc w:val="right"/>
              <w:rPr>
                <w:rFonts w:eastAsia="Times New Roman"/>
                <w:kern w:val="0"/>
                <w:sz w:val="21"/>
                <w:szCs w:val="21"/>
                <w:lang w:val="zh-CN"/>
              </w:rPr>
            </w:pPr>
            <w:r>
              <w:rPr>
                <w:rFonts w:eastAsia="Times New Roman"/>
                <w:kern w:val="0"/>
                <w:sz w:val="21"/>
                <w:szCs w:val="21"/>
                <w:lang w:val="en-GB"/>
              </w:rPr>
              <w:t>964,867.50</w:t>
            </w:r>
          </w:p>
        </w:tc>
      </w:tr>
      <w:tr>
        <w:tblPrEx>
          <w:tblBorders>
            <w:top w:val="single" w:color="auto" w:sz="6" w:space="0"/>
            <w:left w:val="single" w:color="auto" w:sz="6" w:space="0"/>
            <w:bottom w:val="single" w:color="auto" w:sz="8" w:space="0"/>
            <w:right w:val="none" w:color="auto" w:sz="0" w:space="0"/>
            <w:insideH w:val="single" w:color="auto" w:sz="6" w:space="0"/>
            <w:insideV w:val="single" w:color="auto" w:sz="6" w:space="0"/>
          </w:tblBorders>
          <w:tblLayout w:type="fixed"/>
          <w:tblCellMar>
            <w:top w:w="10" w:type="dxa"/>
            <w:left w:w="10" w:type="dxa"/>
            <w:bottom w:w="10" w:type="dxa"/>
            <w:right w:w="10" w:type="dxa"/>
          </w:tblCellMar>
        </w:tblPrEx>
        <w:tc>
          <w:tcPr>
            <w:tcW w:w="1729" w:type="dxa"/>
            <w:tcBorders>
              <w:bottom w:val="single" w:color="auto" w:sz="8" w:space="0"/>
              <w:right w:val="nil"/>
            </w:tcBorders>
          </w:tcPr>
          <w:p>
            <w:pPr>
              <w:autoSpaceDE w:val="0"/>
              <w:autoSpaceDN w:val="0"/>
              <w:adjustRightInd w:val="0"/>
              <w:spacing w:before="0" w:after="0"/>
              <w:jc w:val="left"/>
              <w:rPr>
                <w:rFonts w:eastAsia="Times New Roman"/>
                <w:kern w:val="0"/>
                <w:sz w:val="21"/>
                <w:szCs w:val="21"/>
                <w:lang w:val="zh-CN"/>
              </w:rPr>
            </w:pPr>
            <w:r>
              <w:rPr>
                <w:rFonts w:hint="eastAsia" w:ascii="宋体" w:hAnsi="宋体" w:cs="宋体"/>
                <w:kern w:val="0"/>
                <w:sz w:val="21"/>
                <w:szCs w:val="21"/>
                <w:lang w:val="zh-CN"/>
              </w:rPr>
              <w:t>客户三</w:t>
            </w:r>
          </w:p>
        </w:tc>
        <w:tc>
          <w:tcPr>
            <w:tcW w:w="1560" w:type="dxa"/>
            <w:tcBorders>
              <w:bottom w:val="single" w:color="auto" w:sz="8" w:space="0"/>
              <w:right w:val="nil"/>
            </w:tcBorders>
          </w:tcPr>
          <w:p>
            <w:pPr>
              <w:autoSpaceDE w:val="0"/>
              <w:autoSpaceDN w:val="0"/>
              <w:adjustRightInd w:val="0"/>
              <w:spacing w:before="0" w:after="0"/>
              <w:jc w:val="right"/>
              <w:rPr>
                <w:rFonts w:eastAsia="Times New Roman"/>
                <w:kern w:val="0"/>
                <w:sz w:val="21"/>
                <w:szCs w:val="21"/>
                <w:lang w:val="zh-CN"/>
              </w:rPr>
            </w:pPr>
            <w:r>
              <w:rPr>
                <w:rFonts w:eastAsia="Times New Roman"/>
                <w:kern w:val="0"/>
                <w:sz w:val="21"/>
                <w:szCs w:val="21"/>
                <w:lang w:val="en-GB"/>
              </w:rPr>
              <w:t>16,121,859.30</w:t>
            </w:r>
          </w:p>
        </w:tc>
        <w:tc>
          <w:tcPr>
            <w:tcW w:w="2466" w:type="dxa"/>
            <w:tcBorders>
              <w:bottom w:val="single" w:color="auto" w:sz="8" w:space="0"/>
              <w:right w:val="nil"/>
            </w:tcBorders>
          </w:tcPr>
          <w:p>
            <w:pPr>
              <w:autoSpaceDE w:val="0"/>
              <w:autoSpaceDN w:val="0"/>
              <w:adjustRightInd w:val="0"/>
              <w:spacing w:before="0" w:after="0"/>
              <w:jc w:val="center"/>
              <w:rPr>
                <w:rFonts w:eastAsia="Times New Roman"/>
                <w:kern w:val="0"/>
                <w:sz w:val="21"/>
                <w:szCs w:val="21"/>
                <w:lang w:val="zh-CN"/>
              </w:rPr>
            </w:pPr>
            <w:r>
              <w:rPr>
                <w:rFonts w:eastAsia="Times New Roman"/>
                <w:kern w:val="0"/>
                <w:sz w:val="21"/>
                <w:szCs w:val="21"/>
                <w:lang w:val="en-GB"/>
              </w:rPr>
              <w:t>1</w:t>
            </w:r>
            <w:r>
              <w:rPr>
                <w:rFonts w:hint="eastAsia" w:ascii="宋体" w:hAnsi="宋体" w:cs="宋体"/>
                <w:kern w:val="0"/>
                <w:sz w:val="21"/>
                <w:szCs w:val="21"/>
                <w:lang w:val="zh-CN"/>
              </w:rPr>
              <w:t>年以内</w:t>
            </w:r>
          </w:p>
        </w:tc>
        <w:tc>
          <w:tcPr>
            <w:tcW w:w="1245" w:type="dxa"/>
            <w:tcBorders>
              <w:bottom w:val="single" w:color="auto" w:sz="8" w:space="0"/>
              <w:right w:val="nil"/>
            </w:tcBorders>
          </w:tcPr>
          <w:p>
            <w:pPr>
              <w:autoSpaceDE w:val="0"/>
              <w:autoSpaceDN w:val="0"/>
              <w:adjustRightInd w:val="0"/>
              <w:spacing w:before="0" w:after="0"/>
              <w:jc w:val="center"/>
              <w:rPr>
                <w:rFonts w:eastAsia="Times New Roman"/>
                <w:kern w:val="0"/>
                <w:sz w:val="21"/>
                <w:szCs w:val="21"/>
                <w:lang w:val="zh-CN"/>
              </w:rPr>
            </w:pPr>
            <w:r>
              <w:rPr>
                <w:rFonts w:eastAsia="Times New Roman"/>
                <w:kern w:val="0"/>
                <w:sz w:val="21"/>
                <w:szCs w:val="21"/>
                <w:lang w:val="en-GB"/>
              </w:rPr>
              <w:t>4.52</w:t>
            </w:r>
          </w:p>
        </w:tc>
        <w:tc>
          <w:tcPr>
            <w:tcW w:w="1363" w:type="dxa"/>
            <w:tcBorders>
              <w:bottom w:val="single" w:color="auto" w:sz="8" w:space="0"/>
              <w:right w:val="nil"/>
            </w:tcBorders>
          </w:tcPr>
          <w:p>
            <w:pPr>
              <w:autoSpaceDE w:val="0"/>
              <w:autoSpaceDN w:val="0"/>
              <w:adjustRightInd w:val="0"/>
              <w:spacing w:before="0" w:after="0"/>
              <w:jc w:val="right"/>
              <w:rPr>
                <w:rFonts w:eastAsia="Times New Roman"/>
                <w:kern w:val="0"/>
                <w:sz w:val="21"/>
                <w:szCs w:val="21"/>
                <w:lang w:val="zh-CN"/>
              </w:rPr>
            </w:pPr>
            <w:r>
              <w:rPr>
                <w:rFonts w:eastAsia="Times New Roman"/>
                <w:kern w:val="0"/>
                <w:sz w:val="21"/>
                <w:szCs w:val="21"/>
                <w:lang w:val="en-GB"/>
              </w:rPr>
              <w:t>806,092.97</w:t>
            </w:r>
          </w:p>
        </w:tc>
      </w:tr>
      <w:tr>
        <w:tblPrEx>
          <w:tblBorders>
            <w:top w:val="single" w:color="auto" w:sz="6" w:space="0"/>
            <w:left w:val="single" w:color="auto" w:sz="6" w:space="0"/>
            <w:bottom w:val="single" w:color="auto" w:sz="8" w:space="0"/>
            <w:right w:val="none" w:color="auto" w:sz="0" w:space="0"/>
            <w:insideH w:val="single" w:color="auto" w:sz="6" w:space="0"/>
            <w:insideV w:val="single" w:color="auto" w:sz="6" w:space="0"/>
          </w:tblBorders>
          <w:tblLayout w:type="fixed"/>
          <w:tblCellMar>
            <w:top w:w="10" w:type="dxa"/>
            <w:left w:w="10" w:type="dxa"/>
            <w:bottom w:w="10" w:type="dxa"/>
            <w:right w:w="10" w:type="dxa"/>
          </w:tblCellMar>
        </w:tblPrEx>
        <w:tc>
          <w:tcPr>
            <w:tcW w:w="1729" w:type="dxa"/>
            <w:tcBorders>
              <w:bottom w:val="single" w:color="auto" w:sz="8" w:space="0"/>
              <w:right w:val="nil"/>
            </w:tcBorders>
          </w:tcPr>
          <w:p>
            <w:pPr>
              <w:autoSpaceDE w:val="0"/>
              <w:autoSpaceDN w:val="0"/>
              <w:adjustRightInd w:val="0"/>
              <w:spacing w:before="0" w:after="0"/>
              <w:jc w:val="left"/>
              <w:rPr>
                <w:rFonts w:eastAsia="Times New Roman"/>
                <w:kern w:val="0"/>
                <w:sz w:val="21"/>
                <w:szCs w:val="21"/>
                <w:lang w:val="zh-CN"/>
              </w:rPr>
            </w:pPr>
            <w:r>
              <w:rPr>
                <w:rFonts w:hint="eastAsia" w:ascii="宋体" w:hAnsi="宋体" w:cs="宋体"/>
                <w:kern w:val="0"/>
                <w:sz w:val="21"/>
                <w:szCs w:val="21"/>
                <w:lang w:val="zh-CN"/>
              </w:rPr>
              <w:t>客户四</w:t>
            </w:r>
          </w:p>
        </w:tc>
        <w:tc>
          <w:tcPr>
            <w:tcW w:w="1560" w:type="dxa"/>
            <w:tcBorders>
              <w:bottom w:val="single" w:color="auto" w:sz="8" w:space="0"/>
              <w:right w:val="nil"/>
            </w:tcBorders>
          </w:tcPr>
          <w:p>
            <w:pPr>
              <w:autoSpaceDE w:val="0"/>
              <w:autoSpaceDN w:val="0"/>
              <w:adjustRightInd w:val="0"/>
              <w:spacing w:before="0" w:after="0"/>
              <w:jc w:val="right"/>
              <w:rPr>
                <w:rFonts w:eastAsia="Times New Roman"/>
                <w:kern w:val="0"/>
                <w:sz w:val="21"/>
                <w:szCs w:val="21"/>
                <w:lang w:val="zh-CN"/>
              </w:rPr>
            </w:pPr>
            <w:r>
              <w:rPr>
                <w:rFonts w:eastAsia="Times New Roman"/>
                <w:kern w:val="0"/>
                <w:sz w:val="21"/>
                <w:szCs w:val="21"/>
                <w:lang w:val="en-GB"/>
              </w:rPr>
              <w:t>13,264,500.00</w:t>
            </w:r>
          </w:p>
        </w:tc>
        <w:tc>
          <w:tcPr>
            <w:tcW w:w="2466" w:type="dxa"/>
            <w:tcBorders>
              <w:bottom w:val="single" w:color="auto" w:sz="8" w:space="0"/>
              <w:right w:val="nil"/>
            </w:tcBorders>
          </w:tcPr>
          <w:p>
            <w:pPr>
              <w:autoSpaceDE w:val="0"/>
              <w:autoSpaceDN w:val="0"/>
              <w:adjustRightInd w:val="0"/>
              <w:spacing w:before="0" w:after="0"/>
              <w:jc w:val="center"/>
              <w:rPr>
                <w:rFonts w:eastAsia="Times New Roman"/>
                <w:kern w:val="0"/>
                <w:sz w:val="21"/>
                <w:szCs w:val="21"/>
                <w:lang w:val="zh-CN"/>
              </w:rPr>
            </w:pPr>
            <w:r>
              <w:rPr>
                <w:rFonts w:eastAsia="Times New Roman"/>
                <w:kern w:val="0"/>
                <w:sz w:val="21"/>
                <w:szCs w:val="21"/>
                <w:lang w:val="en-GB"/>
              </w:rPr>
              <w:t>1</w:t>
            </w:r>
            <w:r>
              <w:rPr>
                <w:rFonts w:hint="eastAsia" w:ascii="宋体" w:hAnsi="宋体" w:cs="宋体"/>
                <w:kern w:val="0"/>
                <w:sz w:val="21"/>
                <w:szCs w:val="21"/>
                <w:lang w:val="zh-CN"/>
              </w:rPr>
              <w:t>年以内</w:t>
            </w:r>
          </w:p>
        </w:tc>
        <w:tc>
          <w:tcPr>
            <w:tcW w:w="1245" w:type="dxa"/>
            <w:tcBorders>
              <w:bottom w:val="single" w:color="auto" w:sz="8" w:space="0"/>
              <w:right w:val="nil"/>
            </w:tcBorders>
          </w:tcPr>
          <w:p>
            <w:pPr>
              <w:autoSpaceDE w:val="0"/>
              <w:autoSpaceDN w:val="0"/>
              <w:adjustRightInd w:val="0"/>
              <w:spacing w:before="0" w:after="0"/>
              <w:jc w:val="center"/>
              <w:rPr>
                <w:rFonts w:eastAsia="Times New Roman"/>
                <w:kern w:val="0"/>
                <w:sz w:val="21"/>
                <w:szCs w:val="21"/>
                <w:lang w:val="zh-CN"/>
              </w:rPr>
            </w:pPr>
            <w:r>
              <w:rPr>
                <w:rFonts w:eastAsia="Times New Roman"/>
                <w:kern w:val="0"/>
                <w:sz w:val="21"/>
                <w:szCs w:val="21"/>
                <w:lang w:val="en-GB"/>
              </w:rPr>
              <w:t>3.72</w:t>
            </w:r>
          </w:p>
        </w:tc>
        <w:tc>
          <w:tcPr>
            <w:tcW w:w="1363" w:type="dxa"/>
            <w:tcBorders>
              <w:bottom w:val="single" w:color="auto" w:sz="8" w:space="0"/>
              <w:right w:val="nil"/>
            </w:tcBorders>
          </w:tcPr>
          <w:p>
            <w:pPr>
              <w:autoSpaceDE w:val="0"/>
              <w:autoSpaceDN w:val="0"/>
              <w:adjustRightInd w:val="0"/>
              <w:spacing w:before="0" w:after="0"/>
              <w:jc w:val="right"/>
              <w:rPr>
                <w:rFonts w:eastAsia="Times New Roman"/>
                <w:kern w:val="0"/>
                <w:sz w:val="21"/>
                <w:szCs w:val="21"/>
                <w:lang w:val="zh-CN"/>
              </w:rPr>
            </w:pPr>
            <w:r>
              <w:rPr>
                <w:rFonts w:hint="eastAsia" w:ascii="宋体" w:hAnsi="宋体" w:cs="宋体"/>
                <w:kern w:val="0"/>
                <w:sz w:val="21"/>
                <w:szCs w:val="21"/>
                <w:lang w:val="zh-CN"/>
              </w:rPr>
              <w:t>　</w:t>
            </w:r>
          </w:p>
        </w:tc>
      </w:tr>
      <w:tr>
        <w:tblPrEx>
          <w:tblBorders>
            <w:top w:val="single" w:color="auto" w:sz="6" w:space="0"/>
            <w:left w:val="single" w:color="auto" w:sz="6" w:space="0"/>
            <w:bottom w:val="single" w:color="auto" w:sz="8" w:space="0"/>
            <w:right w:val="none" w:color="auto" w:sz="0" w:space="0"/>
            <w:insideH w:val="single" w:color="auto" w:sz="6" w:space="0"/>
            <w:insideV w:val="single" w:color="auto" w:sz="6" w:space="0"/>
          </w:tblBorders>
          <w:tblLayout w:type="fixed"/>
          <w:tblCellMar>
            <w:top w:w="10" w:type="dxa"/>
            <w:left w:w="10" w:type="dxa"/>
            <w:bottom w:w="10" w:type="dxa"/>
            <w:right w:w="10" w:type="dxa"/>
          </w:tblCellMar>
        </w:tblPrEx>
        <w:tc>
          <w:tcPr>
            <w:tcW w:w="1729" w:type="dxa"/>
            <w:tcBorders>
              <w:bottom w:val="single" w:color="auto" w:sz="8" w:space="0"/>
              <w:right w:val="nil"/>
            </w:tcBorders>
          </w:tcPr>
          <w:p>
            <w:pPr>
              <w:autoSpaceDE w:val="0"/>
              <w:autoSpaceDN w:val="0"/>
              <w:adjustRightInd w:val="0"/>
              <w:spacing w:before="0" w:after="0"/>
              <w:jc w:val="left"/>
              <w:rPr>
                <w:rFonts w:eastAsia="Times New Roman"/>
                <w:kern w:val="0"/>
                <w:sz w:val="21"/>
                <w:szCs w:val="21"/>
                <w:lang w:val="zh-CN"/>
              </w:rPr>
            </w:pPr>
            <w:r>
              <w:rPr>
                <w:rFonts w:hint="eastAsia" w:ascii="宋体" w:hAnsi="宋体" w:cs="宋体"/>
                <w:kern w:val="0"/>
                <w:sz w:val="21"/>
                <w:szCs w:val="21"/>
                <w:lang w:val="zh-CN"/>
              </w:rPr>
              <w:t>客户五</w:t>
            </w:r>
          </w:p>
        </w:tc>
        <w:tc>
          <w:tcPr>
            <w:tcW w:w="1560" w:type="dxa"/>
            <w:tcBorders>
              <w:bottom w:val="single" w:color="auto" w:sz="8" w:space="0"/>
              <w:right w:val="nil"/>
            </w:tcBorders>
          </w:tcPr>
          <w:p>
            <w:pPr>
              <w:autoSpaceDE w:val="0"/>
              <w:autoSpaceDN w:val="0"/>
              <w:adjustRightInd w:val="0"/>
              <w:spacing w:before="0" w:after="0"/>
              <w:jc w:val="right"/>
              <w:rPr>
                <w:rFonts w:eastAsia="Times New Roman"/>
                <w:kern w:val="0"/>
                <w:sz w:val="21"/>
                <w:szCs w:val="21"/>
                <w:lang w:val="zh-CN"/>
              </w:rPr>
            </w:pPr>
            <w:r>
              <w:rPr>
                <w:rFonts w:eastAsia="Times New Roman"/>
                <w:kern w:val="0"/>
                <w:sz w:val="21"/>
                <w:szCs w:val="21"/>
                <w:lang w:val="en-GB"/>
              </w:rPr>
              <w:t>12,300,000.00</w:t>
            </w:r>
          </w:p>
        </w:tc>
        <w:tc>
          <w:tcPr>
            <w:tcW w:w="2466" w:type="dxa"/>
            <w:tcBorders>
              <w:bottom w:val="single" w:color="auto" w:sz="8" w:space="0"/>
              <w:right w:val="nil"/>
            </w:tcBorders>
          </w:tcPr>
          <w:p>
            <w:pPr>
              <w:autoSpaceDE w:val="0"/>
              <w:autoSpaceDN w:val="0"/>
              <w:adjustRightInd w:val="0"/>
              <w:spacing w:before="0" w:after="0"/>
              <w:ind w:right="220"/>
              <w:jc w:val="center"/>
              <w:rPr>
                <w:rFonts w:eastAsia="Times New Roman"/>
                <w:kern w:val="0"/>
                <w:sz w:val="21"/>
                <w:szCs w:val="21"/>
                <w:lang w:val="zh-CN"/>
              </w:rPr>
            </w:pPr>
            <w:r>
              <w:rPr>
                <w:rFonts w:eastAsia="Times New Roman"/>
                <w:kern w:val="0"/>
                <w:sz w:val="21"/>
                <w:szCs w:val="21"/>
                <w:lang w:val="en-GB"/>
              </w:rPr>
              <w:t>1</w:t>
            </w:r>
            <w:r>
              <w:rPr>
                <w:rFonts w:hint="eastAsia" w:ascii="宋体" w:hAnsi="宋体" w:cs="宋体"/>
                <w:kern w:val="0"/>
                <w:sz w:val="21"/>
                <w:szCs w:val="21"/>
                <w:lang w:val="zh-CN"/>
              </w:rPr>
              <w:t>年内</w:t>
            </w:r>
            <w:r>
              <w:rPr>
                <w:rFonts w:eastAsia="Times New Roman"/>
                <w:kern w:val="0"/>
                <w:sz w:val="21"/>
                <w:szCs w:val="21"/>
                <w:lang w:val="en-GB"/>
              </w:rPr>
              <w:t>:2,814,000          1-2</w:t>
            </w:r>
            <w:r>
              <w:rPr>
                <w:rFonts w:hint="eastAsia" w:ascii="宋体" w:hAnsi="宋体" w:cs="宋体"/>
                <w:kern w:val="0"/>
                <w:sz w:val="21"/>
                <w:szCs w:val="21"/>
                <w:lang w:val="zh-CN"/>
              </w:rPr>
              <w:t>年：</w:t>
            </w:r>
            <w:r>
              <w:rPr>
                <w:rFonts w:eastAsia="Times New Roman"/>
                <w:kern w:val="0"/>
                <w:sz w:val="21"/>
                <w:szCs w:val="21"/>
                <w:lang w:val="en-GB"/>
              </w:rPr>
              <w:t>3,145,000       2-3</w:t>
            </w:r>
            <w:r>
              <w:rPr>
                <w:rFonts w:hint="eastAsia" w:ascii="宋体" w:hAnsi="宋体" w:cs="宋体"/>
                <w:kern w:val="0"/>
                <w:sz w:val="21"/>
                <w:szCs w:val="21"/>
                <w:lang w:val="zh-CN"/>
              </w:rPr>
              <w:t>年：</w:t>
            </w:r>
            <w:r>
              <w:rPr>
                <w:rFonts w:eastAsia="Times New Roman"/>
                <w:kern w:val="0"/>
                <w:sz w:val="21"/>
                <w:szCs w:val="21"/>
                <w:lang w:val="en-GB"/>
              </w:rPr>
              <w:t>1,880,000         3-4</w:t>
            </w:r>
            <w:r>
              <w:rPr>
                <w:rFonts w:hint="eastAsia" w:ascii="宋体" w:hAnsi="宋体" w:cs="宋体"/>
                <w:kern w:val="0"/>
                <w:sz w:val="21"/>
                <w:szCs w:val="21"/>
                <w:lang w:val="zh-CN"/>
              </w:rPr>
              <w:t>年：</w:t>
            </w:r>
            <w:r>
              <w:rPr>
                <w:rFonts w:eastAsia="Times New Roman"/>
                <w:kern w:val="0"/>
                <w:sz w:val="21"/>
                <w:szCs w:val="21"/>
                <w:lang w:val="en-GB"/>
              </w:rPr>
              <w:t>4,461,000</w:t>
            </w:r>
          </w:p>
        </w:tc>
        <w:tc>
          <w:tcPr>
            <w:tcW w:w="1245" w:type="dxa"/>
            <w:tcBorders>
              <w:bottom w:val="single" w:color="auto" w:sz="8" w:space="0"/>
              <w:right w:val="nil"/>
            </w:tcBorders>
          </w:tcPr>
          <w:p>
            <w:pPr>
              <w:autoSpaceDE w:val="0"/>
              <w:autoSpaceDN w:val="0"/>
              <w:adjustRightInd w:val="0"/>
              <w:spacing w:before="0" w:after="0"/>
              <w:jc w:val="center"/>
              <w:rPr>
                <w:rFonts w:eastAsia="Times New Roman"/>
                <w:kern w:val="0"/>
                <w:sz w:val="21"/>
                <w:szCs w:val="21"/>
                <w:lang w:val="zh-CN"/>
              </w:rPr>
            </w:pPr>
            <w:r>
              <w:rPr>
                <w:rFonts w:eastAsia="Times New Roman"/>
                <w:kern w:val="0"/>
                <w:sz w:val="21"/>
                <w:szCs w:val="21"/>
                <w:lang w:val="en-GB"/>
              </w:rPr>
              <w:t>3.45</w:t>
            </w:r>
          </w:p>
        </w:tc>
        <w:tc>
          <w:tcPr>
            <w:tcW w:w="1363" w:type="dxa"/>
            <w:tcBorders>
              <w:bottom w:val="single" w:color="auto" w:sz="8" w:space="0"/>
              <w:right w:val="nil"/>
            </w:tcBorders>
          </w:tcPr>
          <w:p>
            <w:pPr>
              <w:autoSpaceDE w:val="0"/>
              <w:autoSpaceDN w:val="0"/>
              <w:adjustRightInd w:val="0"/>
              <w:spacing w:before="0" w:after="0"/>
              <w:jc w:val="right"/>
              <w:rPr>
                <w:rFonts w:eastAsia="Times New Roman"/>
                <w:kern w:val="0"/>
                <w:sz w:val="21"/>
                <w:szCs w:val="21"/>
                <w:lang w:val="zh-CN"/>
              </w:rPr>
            </w:pPr>
            <w:r>
              <w:rPr>
                <w:rFonts w:eastAsia="Times New Roman"/>
                <w:kern w:val="0"/>
                <w:sz w:val="21"/>
                <w:szCs w:val="21"/>
                <w:lang w:val="en-GB"/>
              </w:rPr>
              <w:t>3,249,700.00</w:t>
            </w:r>
          </w:p>
        </w:tc>
      </w:tr>
      <w:tr>
        <w:tblPrEx>
          <w:tblBorders>
            <w:top w:val="single" w:color="auto" w:sz="6" w:space="0"/>
            <w:left w:val="single" w:color="auto" w:sz="6" w:space="0"/>
            <w:bottom w:val="single" w:color="auto" w:sz="8" w:space="0"/>
            <w:right w:val="none" w:color="auto" w:sz="0" w:space="0"/>
            <w:insideH w:val="single" w:color="auto" w:sz="6" w:space="0"/>
            <w:insideV w:val="single" w:color="auto" w:sz="6" w:space="0"/>
          </w:tblBorders>
          <w:tblLayout w:type="fixed"/>
          <w:tblCellMar>
            <w:top w:w="10" w:type="dxa"/>
            <w:left w:w="10" w:type="dxa"/>
            <w:bottom w:w="10" w:type="dxa"/>
            <w:right w:w="10" w:type="dxa"/>
          </w:tblCellMar>
        </w:tblPrEx>
        <w:tc>
          <w:tcPr>
            <w:tcW w:w="1729" w:type="dxa"/>
            <w:tcBorders>
              <w:bottom w:val="single" w:color="auto" w:sz="8" w:space="0"/>
              <w:right w:val="nil"/>
            </w:tcBorders>
          </w:tcPr>
          <w:p>
            <w:pPr>
              <w:autoSpaceDE w:val="0"/>
              <w:autoSpaceDN w:val="0"/>
              <w:adjustRightInd w:val="0"/>
              <w:spacing w:before="0" w:after="0"/>
              <w:jc w:val="left"/>
              <w:rPr>
                <w:rFonts w:eastAsia="Times New Roman"/>
                <w:b/>
                <w:kern w:val="0"/>
                <w:sz w:val="21"/>
                <w:szCs w:val="21"/>
                <w:lang w:val="zh-CN"/>
              </w:rPr>
            </w:pPr>
            <w:r>
              <w:rPr>
                <w:rFonts w:hint="eastAsia" w:ascii="宋体" w:hAnsi="宋体" w:cs="宋体"/>
                <w:b/>
                <w:kern w:val="0"/>
                <w:sz w:val="21"/>
                <w:szCs w:val="21"/>
                <w:lang w:val="zh-CN"/>
              </w:rPr>
              <w:t>合计</w:t>
            </w:r>
          </w:p>
        </w:tc>
        <w:tc>
          <w:tcPr>
            <w:tcW w:w="1560" w:type="dxa"/>
            <w:tcBorders>
              <w:bottom w:val="single" w:color="auto" w:sz="8" w:space="0"/>
              <w:right w:val="nil"/>
            </w:tcBorders>
          </w:tcPr>
          <w:p>
            <w:pPr>
              <w:autoSpaceDE w:val="0"/>
              <w:autoSpaceDN w:val="0"/>
              <w:adjustRightInd w:val="0"/>
              <w:spacing w:before="0" w:after="0"/>
              <w:jc w:val="right"/>
              <w:rPr>
                <w:rFonts w:eastAsia="Times New Roman"/>
                <w:b/>
                <w:kern w:val="0"/>
                <w:sz w:val="21"/>
                <w:szCs w:val="21"/>
                <w:lang w:val="zh-CN"/>
              </w:rPr>
            </w:pPr>
            <w:r>
              <w:rPr>
                <w:rFonts w:eastAsia="Times New Roman"/>
                <w:b/>
                <w:kern w:val="0"/>
                <w:sz w:val="21"/>
                <w:szCs w:val="21"/>
                <w:lang w:val="en-GB"/>
              </w:rPr>
              <w:t>84,789,809.30</w:t>
            </w:r>
          </w:p>
        </w:tc>
        <w:tc>
          <w:tcPr>
            <w:tcW w:w="2466" w:type="dxa"/>
            <w:tcBorders>
              <w:bottom w:val="single" w:color="auto" w:sz="8" w:space="0"/>
              <w:right w:val="nil"/>
            </w:tcBorders>
          </w:tcPr>
          <w:p>
            <w:pPr>
              <w:autoSpaceDE w:val="0"/>
              <w:autoSpaceDN w:val="0"/>
              <w:adjustRightInd w:val="0"/>
              <w:spacing w:before="0" w:after="0"/>
              <w:jc w:val="center"/>
              <w:rPr>
                <w:rFonts w:eastAsia="Times New Roman"/>
                <w:b/>
                <w:kern w:val="0"/>
                <w:sz w:val="21"/>
                <w:szCs w:val="21"/>
                <w:lang w:val="zh-CN"/>
              </w:rPr>
            </w:pPr>
          </w:p>
        </w:tc>
        <w:tc>
          <w:tcPr>
            <w:tcW w:w="1245" w:type="dxa"/>
            <w:tcBorders>
              <w:bottom w:val="single" w:color="auto" w:sz="8" w:space="0"/>
              <w:right w:val="nil"/>
            </w:tcBorders>
          </w:tcPr>
          <w:p>
            <w:pPr>
              <w:autoSpaceDE w:val="0"/>
              <w:autoSpaceDN w:val="0"/>
              <w:adjustRightInd w:val="0"/>
              <w:spacing w:before="0" w:after="0"/>
              <w:jc w:val="center"/>
              <w:rPr>
                <w:rFonts w:eastAsia="Times New Roman"/>
                <w:b/>
                <w:kern w:val="0"/>
                <w:sz w:val="21"/>
                <w:szCs w:val="21"/>
                <w:lang w:val="zh-CN"/>
              </w:rPr>
            </w:pPr>
            <w:r>
              <w:rPr>
                <w:rFonts w:eastAsia="Times New Roman"/>
                <w:b/>
                <w:kern w:val="0"/>
                <w:sz w:val="21"/>
                <w:szCs w:val="21"/>
                <w:lang w:val="en-GB"/>
              </w:rPr>
              <w:t>23.78</w:t>
            </w:r>
          </w:p>
        </w:tc>
        <w:tc>
          <w:tcPr>
            <w:tcW w:w="1363" w:type="dxa"/>
            <w:tcBorders>
              <w:bottom w:val="single" w:color="auto" w:sz="8" w:space="0"/>
              <w:right w:val="nil"/>
            </w:tcBorders>
          </w:tcPr>
          <w:p>
            <w:pPr>
              <w:autoSpaceDE w:val="0"/>
              <w:autoSpaceDN w:val="0"/>
              <w:adjustRightInd w:val="0"/>
              <w:spacing w:before="0" w:after="0"/>
              <w:jc w:val="right"/>
              <w:rPr>
                <w:rFonts w:eastAsia="Times New Roman"/>
                <w:b/>
                <w:kern w:val="0"/>
                <w:sz w:val="21"/>
                <w:szCs w:val="21"/>
                <w:lang w:val="zh-CN"/>
              </w:rPr>
            </w:pPr>
            <w:r>
              <w:rPr>
                <w:rFonts w:eastAsia="Times New Roman"/>
                <w:b/>
                <w:kern w:val="0"/>
                <w:sz w:val="21"/>
                <w:szCs w:val="21"/>
                <w:lang w:val="en-GB"/>
              </w:rPr>
              <w:t>6,210,965.47</w:t>
            </w:r>
          </w:p>
        </w:tc>
      </w:tr>
    </w:tbl>
    <w:p>
      <w:pPr>
        <w:pStyle w:val="11"/>
        <w:outlineLvl w:val="2"/>
        <w:rPr>
          <w:bCs w:val="0"/>
          <w:szCs w:val="24"/>
        </w:rPr>
      </w:pPr>
      <w:r>
        <w:rPr>
          <w:bCs w:val="0"/>
          <w:szCs w:val="24"/>
        </w:rPr>
        <w:t>4</w:t>
      </w:r>
      <w:r>
        <w:rPr>
          <w:rFonts w:hint="eastAsia"/>
          <w:bCs w:val="0"/>
          <w:szCs w:val="24"/>
        </w:rPr>
        <w:t>、预付款项</w:t>
      </w:r>
    </w:p>
    <w:p>
      <w:pPr>
        <w:pStyle w:val="11"/>
        <w:outlineLvl w:val="3"/>
        <w:rPr>
          <w:bCs w:val="0"/>
          <w:szCs w:val="24"/>
        </w:rPr>
      </w:pPr>
      <w:r>
        <w:rPr>
          <w:rFonts w:hint="eastAsia"/>
          <w:bCs w:val="0"/>
          <w:szCs w:val="24"/>
        </w:rPr>
        <w:t>（</w:t>
      </w:r>
      <w:r>
        <w:rPr>
          <w:bCs w:val="0"/>
          <w:szCs w:val="24"/>
        </w:rPr>
        <w:t>1</w:t>
      </w:r>
      <w:r>
        <w:rPr>
          <w:rFonts w:hint="eastAsia"/>
          <w:bCs w:val="0"/>
          <w:szCs w:val="24"/>
        </w:rPr>
        <w:t>）预付款项按账龄列示</w:t>
      </w:r>
    </w:p>
    <w:p>
      <w:pPr>
        <w:jc w:val="right"/>
        <w:rPr>
          <w:szCs w:val="24"/>
        </w:rPr>
      </w:pPr>
      <w:r>
        <w:rPr>
          <w:rFonts w:hint="eastAsia"/>
          <w:szCs w:val="24"/>
        </w:rPr>
        <w:t>单位：</w:t>
      </w:r>
      <w:r>
        <w:rPr>
          <w:szCs w:val="24"/>
        </w:rPr>
        <w:t xml:space="preserve"> </w:t>
      </w:r>
      <w:r>
        <w:rPr>
          <w:rFonts w:hint="eastAsia"/>
          <w:szCs w:val="24"/>
        </w:rPr>
        <w:t>元</w:t>
      </w:r>
    </w:p>
    <w:tbl>
      <w:tblPr>
        <w:tblStyle w:val="8"/>
        <w:tblW w:w="9570" w:type="dxa"/>
        <w:tblInd w:w="28" w:type="dxa"/>
        <w:tblLayout w:type="fixed"/>
        <w:tblCellMar>
          <w:top w:w="0" w:type="dxa"/>
          <w:left w:w="28" w:type="dxa"/>
          <w:bottom w:w="0" w:type="dxa"/>
          <w:right w:w="28" w:type="dxa"/>
        </w:tblCellMar>
      </w:tblPr>
      <w:tblGrid>
        <w:gridCol w:w="1912"/>
        <w:gridCol w:w="1915"/>
        <w:gridCol w:w="1914"/>
        <w:gridCol w:w="1914"/>
        <w:gridCol w:w="1915"/>
      </w:tblGrid>
      <w:tr>
        <w:tblPrEx>
          <w:tblLayout w:type="fixed"/>
          <w:tblCellMar>
            <w:top w:w="0" w:type="dxa"/>
            <w:left w:w="28" w:type="dxa"/>
            <w:bottom w:w="0" w:type="dxa"/>
            <w:right w:w="28" w:type="dxa"/>
          </w:tblCellMar>
        </w:tblPrEx>
        <w:tc>
          <w:tcPr>
            <w:tcW w:w="1912"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账龄</w:t>
            </w:r>
          </w:p>
        </w:tc>
        <w:tc>
          <w:tcPr>
            <w:tcW w:w="3829"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c>
          <w:tcPr>
            <w:tcW w:w="3829"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期初余额</w:t>
            </w:r>
          </w:p>
        </w:tc>
      </w:tr>
      <w:tr>
        <w:tblPrEx>
          <w:tblLayout w:type="fixed"/>
          <w:tblCellMar>
            <w:top w:w="0" w:type="dxa"/>
            <w:left w:w="28" w:type="dxa"/>
            <w:bottom w:w="0" w:type="dxa"/>
            <w:right w:w="28" w:type="dxa"/>
          </w:tblCellMar>
        </w:tblPrEx>
        <w:tc>
          <w:tcPr>
            <w:tcW w:w="1912"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91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金额</w:t>
            </w:r>
          </w:p>
        </w:tc>
        <w:tc>
          <w:tcPr>
            <w:tcW w:w="191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比例</w:t>
            </w:r>
          </w:p>
        </w:tc>
        <w:tc>
          <w:tcPr>
            <w:tcW w:w="191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金额</w:t>
            </w:r>
          </w:p>
        </w:tc>
        <w:tc>
          <w:tcPr>
            <w:tcW w:w="191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比例</w:t>
            </w:r>
          </w:p>
        </w:tc>
      </w:tr>
      <w:tr>
        <w:tblPrEx>
          <w:tblLayout w:type="fixed"/>
          <w:tblCellMar>
            <w:top w:w="0" w:type="dxa"/>
            <w:left w:w="28" w:type="dxa"/>
            <w:bottom w:w="0" w:type="dxa"/>
            <w:right w:w="28" w:type="dxa"/>
          </w:tblCellMar>
        </w:tblPrEx>
        <w:tc>
          <w:tcPr>
            <w:tcW w:w="191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1</w:t>
            </w:r>
            <w:r>
              <w:rPr>
                <w:rFonts w:hint="eastAsia"/>
                <w:sz w:val="21"/>
                <w:szCs w:val="21"/>
              </w:rPr>
              <w:t>年以内</w:t>
            </w:r>
          </w:p>
        </w:tc>
        <w:tc>
          <w:tcPr>
            <w:tcW w:w="191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36,170,083.56</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81.24%</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35,999,790.17</w:t>
            </w:r>
          </w:p>
        </w:tc>
        <w:tc>
          <w:tcPr>
            <w:tcW w:w="191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64.47%</w:t>
            </w:r>
          </w:p>
        </w:tc>
      </w:tr>
      <w:tr>
        <w:tblPrEx>
          <w:tblLayout w:type="fixed"/>
          <w:tblCellMar>
            <w:top w:w="0" w:type="dxa"/>
            <w:left w:w="28" w:type="dxa"/>
            <w:bottom w:w="0" w:type="dxa"/>
            <w:right w:w="28" w:type="dxa"/>
          </w:tblCellMar>
        </w:tblPrEx>
        <w:tc>
          <w:tcPr>
            <w:tcW w:w="191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1</w:t>
            </w:r>
            <w:r>
              <w:rPr>
                <w:rFonts w:hint="eastAsia"/>
                <w:sz w:val="21"/>
                <w:szCs w:val="21"/>
              </w:rPr>
              <w:t>至</w:t>
            </w:r>
            <w:r>
              <w:rPr>
                <w:sz w:val="21"/>
                <w:szCs w:val="21"/>
              </w:rPr>
              <w:t>2</w:t>
            </w:r>
            <w:r>
              <w:rPr>
                <w:rFonts w:hint="eastAsia"/>
                <w:sz w:val="21"/>
                <w:szCs w:val="21"/>
              </w:rPr>
              <w:t>年</w:t>
            </w:r>
          </w:p>
        </w:tc>
        <w:tc>
          <w:tcPr>
            <w:tcW w:w="191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7,633,187.75</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17.14%</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11,514,919.61</w:t>
            </w:r>
          </w:p>
        </w:tc>
        <w:tc>
          <w:tcPr>
            <w:tcW w:w="191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20.62%</w:t>
            </w:r>
          </w:p>
        </w:tc>
      </w:tr>
      <w:tr>
        <w:tblPrEx>
          <w:tblLayout w:type="fixed"/>
          <w:tblCellMar>
            <w:top w:w="0" w:type="dxa"/>
            <w:left w:w="28" w:type="dxa"/>
            <w:bottom w:w="0" w:type="dxa"/>
            <w:right w:w="28" w:type="dxa"/>
          </w:tblCellMar>
        </w:tblPrEx>
        <w:tc>
          <w:tcPr>
            <w:tcW w:w="191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2</w:t>
            </w:r>
            <w:r>
              <w:rPr>
                <w:rFonts w:hint="eastAsia"/>
                <w:sz w:val="21"/>
                <w:szCs w:val="21"/>
              </w:rPr>
              <w:t>至</w:t>
            </w:r>
            <w:r>
              <w:rPr>
                <w:sz w:val="21"/>
                <w:szCs w:val="21"/>
              </w:rPr>
              <w:t>3</w:t>
            </w:r>
            <w:r>
              <w:rPr>
                <w:rFonts w:hint="eastAsia"/>
                <w:sz w:val="21"/>
                <w:szCs w:val="21"/>
              </w:rPr>
              <w:t>年</w:t>
            </w:r>
          </w:p>
        </w:tc>
        <w:tc>
          <w:tcPr>
            <w:tcW w:w="191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396,133.07</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0.89%</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7,125,103.26</w:t>
            </w:r>
          </w:p>
        </w:tc>
        <w:tc>
          <w:tcPr>
            <w:tcW w:w="191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12.76%</w:t>
            </w:r>
          </w:p>
        </w:tc>
      </w:tr>
      <w:tr>
        <w:tblPrEx>
          <w:tblLayout w:type="fixed"/>
          <w:tblCellMar>
            <w:top w:w="0" w:type="dxa"/>
            <w:left w:w="28" w:type="dxa"/>
            <w:bottom w:w="0" w:type="dxa"/>
            <w:right w:w="28" w:type="dxa"/>
          </w:tblCellMar>
        </w:tblPrEx>
        <w:tc>
          <w:tcPr>
            <w:tcW w:w="191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3</w:t>
            </w:r>
            <w:r>
              <w:rPr>
                <w:rFonts w:hint="eastAsia"/>
                <w:sz w:val="21"/>
                <w:szCs w:val="21"/>
              </w:rPr>
              <w:t>年以上</w:t>
            </w:r>
          </w:p>
        </w:tc>
        <w:tc>
          <w:tcPr>
            <w:tcW w:w="191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324,760.55</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0.73%</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1,202,082.75</w:t>
            </w:r>
          </w:p>
        </w:tc>
        <w:tc>
          <w:tcPr>
            <w:tcW w:w="191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2.15%</w:t>
            </w:r>
          </w:p>
        </w:tc>
      </w:tr>
      <w:tr>
        <w:tblPrEx>
          <w:tblLayout w:type="fixed"/>
          <w:tblCellMar>
            <w:top w:w="0" w:type="dxa"/>
            <w:left w:w="28" w:type="dxa"/>
            <w:bottom w:w="0" w:type="dxa"/>
            <w:right w:w="28" w:type="dxa"/>
          </w:tblCellMar>
        </w:tblPrEx>
        <w:tc>
          <w:tcPr>
            <w:tcW w:w="191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1915"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44,524,164.93</w:t>
            </w:r>
          </w:p>
        </w:tc>
        <w:tc>
          <w:tcPr>
            <w:tcW w:w="191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sz w:val="21"/>
                <w:szCs w:val="21"/>
              </w:rPr>
              <w:t>--</w:t>
            </w:r>
          </w:p>
        </w:tc>
        <w:tc>
          <w:tcPr>
            <w:tcW w:w="1914"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55,841,895.79</w:t>
            </w:r>
          </w:p>
        </w:tc>
        <w:tc>
          <w:tcPr>
            <w:tcW w:w="191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sz w:val="21"/>
                <w:szCs w:val="21"/>
              </w:rPr>
              <w:t>--</w:t>
            </w:r>
          </w:p>
        </w:tc>
      </w:tr>
    </w:tbl>
    <w:p>
      <w:pPr>
        <w:jc w:val="left"/>
        <w:rPr>
          <w:sz w:val="21"/>
          <w:szCs w:val="21"/>
        </w:rPr>
      </w:pPr>
      <w:r>
        <w:rPr>
          <w:rFonts w:hint="eastAsia"/>
          <w:sz w:val="21"/>
          <w:szCs w:val="21"/>
        </w:rPr>
        <w:t>账龄超过</w:t>
      </w:r>
      <w:r>
        <w:rPr>
          <w:sz w:val="21"/>
          <w:szCs w:val="21"/>
        </w:rPr>
        <w:t>1</w:t>
      </w:r>
      <w:r>
        <w:rPr>
          <w:rFonts w:hint="eastAsia"/>
          <w:sz w:val="21"/>
          <w:szCs w:val="21"/>
        </w:rPr>
        <w:t>年且金额重要的预付款项未及时结算原因的说明：</w:t>
      </w:r>
    </w:p>
    <w:p>
      <w:pPr>
        <w:autoSpaceDE w:val="0"/>
        <w:autoSpaceDN w:val="0"/>
        <w:adjustRightInd w:val="0"/>
        <w:spacing w:before="240" w:after="120"/>
        <w:rPr>
          <w:rFonts w:eastAsia="Times New Roman"/>
          <w:kern w:val="0"/>
          <w:sz w:val="21"/>
          <w:szCs w:val="21"/>
          <w:lang w:val="zh-CN"/>
        </w:rPr>
      </w:pPr>
      <w:r>
        <w:rPr>
          <w:rFonts w:hint="eastAsia" w:ascii="宋体" w:hAnsi="宋体" w:cs="宋体"/>
          <w:kern w:val="0"/>
          <w:sz w:val="21"/>
          <w:szCs w:val="21"/>
          <w:lang w:val="zh-CN"/>
        </w:rPr>
        <w:t>一年以上的预付账款主要为因造船周期影响，未结算的预付款。</w:t>
      </w:r>
    </w:p>
    <w:p>
      <w:pPr>
        <w:autoSpaceDE w:val="0"/>
        <w:autoSpaceDN w:val="0"/>
        <w:adjustRightInd w:val="0"/>
        <w:spacing w:before="0" w:after="0"/>
        <w:jc w:val="left"/>
        <w:rPr>
          <w:rFonts w:eastAsia="Times New Roman"/>
          <w:kern w:val="0"/>
          <w:szCs w:val="24"/>
          <w:lang w:val="zh-CN"/>
        </w:rPr>
      </w:pPr>
    </w:p>
    <w:p>
      <w:pPr>
        <w:pStyle w:val="11"/>
        <w:outlineLvl w:val="3"/>
        <w:rPr>
          <w:bCs w:val="0"/>
          <w:szCs w:val="24"/>
        </w:rPr>
      </w:pPr>
      <w:r>
        <w:rPr>
          <w:rFonts w:hint="eastAsia"/>
          <w:bCs w:val="0"/>
          <w:szCs w:val="24"/>
        </w:rPr>
        <w:t>（</w:t>
      </w:r>
      <w:r>
        <w:rPr>
          <w:bCs w:val="0"/>
          <w:szCs w:val="24"/>
        </w:rPr>
        <w:t>2</w:t>
      </w:r>
      <w:r>
        <w:rPr>
          <w:rFonts w:hint="eastAsia"/>
          <w:bCs w:val="0"/>
          <w:szCs w:val="24"/>
        </w:rPr>
        <w:t>）按预付对象归集的期末余额前五名的预付款情况</w:t>
      </w:r>
    </w:p>
    <w:tbl>
      <w:tblPr>
        <w:tblStyle w:val="8"/>
        <w:tblW w:w="9658" w:type="dxa"/>
        <w:tblInd w:w="0" w:type="dxa"/>
        <w:tblBorders>
          <w:top w:val="single" w:color="auto" w:sz="6" w:space="0"/>
          <w:left w:val="single" w:color="auto" w:sz="6" w:space="0"/>
          <w:bottom w:val="single" w:color="auto" w:sz="8" w:space="0"/>
          <w:right w:val="single" w:color="auto" w:sz="6" w:space="0"/>
          <w:insideH w:val="single" w:color="auto" w:sz="8" w:space="0"/>
          <w:insideV w:val="single" w:color="auto" w:sz="6" w:space="0"/>
        </w:tblBorders>
        <w:tblLayout w:type="fixed"/>
        <w:tblCellMar>
          <w:top w:w="10" w:type="dxa"/>
          <w:left w:w="10" w:type="dxa"/>
          <w:bottom w:w="10" w:type="dxa"/>
          <w:right w:w="10" w:type="dxa"/>
        </w:tblCellMar>
      </w:tblPr>
      <w:tblGrid>
        <w:gridCol w:w="2921"/>
        <w:gridCol w:w="1879"/>
        <w:gridCol w:w="2861"/>
        <w:gridCol w:w="1997"/>
      </w:tblGrid>
      <w:tr>
        <w:tblPrEx>
          <w:tblBorders>
            <w:top w:val="single" w:color="auto" w:sz="6" w:space="0"/>
            <w:left w:val="single" w:color="auto" w:sz="6" w:space="0"/>
            <w:bottom w:val="single" w:color="auto" w:sz="8" w:space="0"/>
            <w:right w:val="single" w:color="auto" w:sz="6" w:space="0"/>
            <w:insideH w:val="single" w:color="auto" w:sz="8" w:space="0"/>
            <w:insideV w:val="single" w:color="auto" w:sz="6" w:space="0"/>
          </w:tblBorders>
          <w:tblLayout w:type="fixed"/>
          <w:tblCellMar>
            <w:top w:w="10" w:type="dxa"/>
            <w:left w:w="10" w:type="dxa"/>
            <w:bottom w:w="10" w:type="dxa"/>
            <w:right w:w="10" w:type="dxa"/>
          </w:tblCellMar>
        </w:tblPrEx>
        <w:tc>
          <w:tcPr>
            <w:tcW w:w="2921" w:type="dxa"/>
            <w:tcBorders>
              <w:top w:val="single" w:color="auto" w:sz="6" w:space="0"/>
            </w:tcBorders>
          </w:tcPr>
          <w:p>
            <w:pPr>
              <w:autoSpaceDE w:val="0"/>
              <w:autoSpaceDN w:val="0"/>
              <w:adjustRightInd w:val="0"/>
              <w:spacing w:before="0" w:after="0"/>
              <w:rPr>
                <w:rFonts w:eastAsia="Times New Roman"/>
                <w:b/>
                <w:kern w:val="0"/>
                <w:sz w:val="21"/>
                <w:szCs w:val="21"/>
                <w:lang w:val="zh-CN"/>
              </w:rPr>
            </w:pPr>
            <w:r>
              <w:rPr>
                <w:rFonts w:hint="eastAsia" w:ascii="宋体" w:hAnsi="宋体" w:cs="宋体"/>
                <w:b/>
                <w:kern w:val="0"/>
                <w:sz w:val="21"/>
                <w:szCs w:val="21"/>
                <w:lang w:val="zh-CN"/>
              </w:rPr>
              <w:t>单位名称</w:t>
            </w:r>
          </w:p>
        </w:tc>
        <w:tc>
          <w:tcPr>
            <w:tcW w:w="1879" w:type="dxa"/>
            <w:tcBorders>
              <w:top w:val="single" w:color="auto" w:sz="6" w:space="0"/>
            </w:tcBorders>
          </w:tcPr>
          <w:p>
            <w:pPr>
              <w:autoSpaceDE w:val="0"/>
              <w:autoSpaceDN w:val="0"/>
              <w:adjustRightInd w:val="0"/>
              <w:spacing w:before="0" w:after="0"/>
              <w:jc w:val="center"/>
              <w:rPr>
                <w:rFonts w:eastAsia="Times New Roman"/>
                <w:b/>
                <w:kern w:val="0"/>
                <w:sz w:val="21"/>
                <w:szCs w:val="21"/>
                <w:lang w:val="zh-CN"/>
              </w:rPr>
            </w:pPr>
            <w:r>
              <w:rPr>
                <w:rFonts w:hint="eastAsia" w:ascii="宋体" w:hAnsi="宋体" w:cs="宋体"/>
                <w:b/>
                <w:kern w:val="0"/>
                <w:sz w:val="21"/>
                <w:szCs w:val="21"/>
                <w:lang w:val="zh-CN"/>
              </w:rPr>
              <w:t>年末余额</w:t>
            </w:r>
          </w:p>
        </w:tc>
        <w:tc>
          <w:tcPr>
            <w:tcW w:w="2861" w:type="dxa"/>
            <w:tcBorders>
              <w:top w:val="single" w:color="auto" w:sz="6" w:space="0"/>
            </w:tcBorders>
          </w:tcPr>
          <w:p>
            <w:pPr>
              <w:autoSpaceDE w:val="0"/>
              <w:autoSpaceDN w:val="0"/>
              <w:adjustRightInd w:val="0"/>
              <w:spacing w:before="0" w:after="0"/>
              <w:jc w:val="center"/>
              <w:rPr>
                <w:rFonts w:eastAsia="Times New Roman"/>
                <w:b/>
                <w:kern w:val="0"/>
                <w:sz w:val="21"/>
                <w:szCs w:val="21"/>
                <w:lang w:val="zh-CN"/>
              </w:rPr>
            </w:pPr>
            <w:r>
              <w:rPr>
                <w:rFonts w:hint="eastAsia" w:ascii="宋体" w:hAnsi="宋体" w:cs="宋体"/>
                <w:b/>
                <w:kern w:val="0"/>
                <w:sz w:val="21"/>
                <w:szCs w:val="21"/>
                <w:lang w:val="zh-CN"/>
              </w:rPr>
              <w:t>账龄</w:t>
            </w:r>
          </w:p>
        </w:tc>
        <w:tc>
          <w:tcPr>
            <w:tcW w:w="1997" w:type="dxa"/>
            <w:tcBorders>
              <w:top w:val="single" w:color="auto" w:sz="6" w:space="0"/>
            </w:tcBorders>
          </w:tcPr>
          <w:p>
            <w:pPr>
              <w:autoSpaceDE w:val="0"/>
              <w:autoSpaceDN w:val="0"/>
              <w:adjustRightInd w:val="0"/>
              <w:spacing w:before="0" w:after="0"/>
              <w:jc w:val="center"/>
              <w:rPr>
                <w:rFonts w:eastAsia="Times New Roman"/>
                <w:b/>
                <w:kern w:val="0"/>
                <w:sz w:val="21"/>
                <w:szCs w:val="21"/>
                <w:lang w:val="zh-CN"/>
              </w:rPr>
            </w:pPr>
            <w:r>
              <w:rPr>
                <w:rFonts w:hint="eastAsia" w:ascii="宋体" w:hAnsi="宋体" w:cs="宋体"/>
                <w:b/>
                <w:kern w:val="0"/>
                <w:sz w:val="21"/>
                <w:szCs w:val="21"/>
                <w:lang w:val="zh-CN"/>
              </w:rPr>
              <w:t>占预付款项年末余额合计数的比例</w:t>
            </w:r>
            <w:r>
              <w:rPr>
                <w:rFonts w:eastAsia="Times New Roman"/>
                <w:b/>
                <w:kern w:val="0"/>
                <w:sz w:val="21"/>
                <w:szCs w:val="21"/>
                <w:lang w:val="zh-CN"/>
              </w:rPr>
              <w:t>(%)</w:t>
            </w:r>
          </w:p>
        </w:tc>
      </w:tr>
      <w:tr>
        <w:tblPrEx>
          <w:tblBorders>
            <w:top w:val="single" w:color="auto" w:sz="6" w:space="0"/>
            <w:left w:val="single" w:color="auto" w:sz="6" w:space="0"/>
            <w:bottom w:val="single" w:color="auto" w:sz="8" w:space="0"/>
            <w:right w:val="single" w:color="auto" w:sz="6" w:space="0"/>
            <w:insideH w:val="single" w:color="auto" w:sz="8" w:space="0"/>
            <w:insideV w:val="single" w:color="auto" w:sz="6" w:space="0"/>
          </w:tblBorders>
          <w:tblLayout w:type="fixed"/>
          <w:tblCellMar>
            <w:top w:w="10" w:type="dxa"/>
            <w:left w:w="10" w:type="dxa"/>
            <w:bottom w:w="10" w:type="dxa"/>
            <w:right w:w="10" w:type="dxa"/>
          </w:tblCellMar>
        </w:tblPrEx>
        <w:tc>
          <w:tcPr>
            <w:tcW w:w="2921" w:type="dxa"/>
          </w:tcPr>
          <w:p>
            <w:pPr>
              <w:autoSpaceDE w:val="0"/>
              <w:autoSpaceDN w:val="0"/>
              <w:adjustRightInd w:val="0"/>
              <w:spacing w:before="0" w:after="0"/>
              <w:rPr>
                <w:rFonts w:eastAsia="Times New Roman"/>
                <w:kern w:val="0"/>
                <w:sz w:val="21"/>
                <w:szCs w:val="21"/>
                <w:lang w:val="zh-CN"/>
              </w:rPr>
            </w:pPr>
            <w:r>
              <w:rPr>
                <w:rFonts w:hint="eastAsia" w:ascii="宋体" w:hAnsi="宋体" w:cs="宋体"/>
                <w:kern w:val="0"/>
                <w:sz w:val="21"/>
                <w:szCs w:val="21"/>
                <w:lang w:val="zh-CN"/>
              </w:rPr>
              <w:t>供应商一</w:t>
            </w:r>
          </w:p>
        </w:tc>
        <w:tc>
          <w:tcPr>
            <w:tcW w:w="1879" w:type="dxa"/>
          </w:tcPr>
          <w:p>
            <w:pPr>
              <w:autoSpaceDE w:val="0"/>
              <w:autoSpaceDN w:val="0"/>
              <w:adjustRightInd w:val="0"/>
              <w:spacing w:before="0" w:after="0"/>
              <w:jc w:val="right"/>
              <w:rPr>
                <w:rFonts w:eastAsia="Times New Roman"/>
                <w:kern w:val="0"/>
                <w:sz w:val="21"/>
                <w:szCs w:val="21"/>
                <w:lang w:val="zh-CN"/>
              </w:rPr>
            </w:pPr>
            <w:r>
              <w:rPr>
                <w:rFonts w:eastAsia="Times New Roman"/>
                <w:kern w:val="0"/>
                <w:sz w:val="21"/>
                <w:szCs w:val="21"/>
                <w:lang w:val="en-GB"/>
              </w:rPr>
              <w:t>7,752,526.97</w:t>
            </w:r>
          </w:p>
        </w:tc>
        <w:tc>
          <w:tcPr>
            <w:tcW w:w="2861" w:type="dxa"/>
          </w:tcPr>
          <w:p>
            <w:pPr>
              <w:autoSpaceDE w:val="0"/>
              <w:autoSpaceDN w:val="0"/>
              <w:adjustRightInd w:val="0"/>
              <w:spacing w:before="0" w:after="0"/>
              <w:jc w:val="center"/>
              <w:rPr>
                <w:rFonts w:eastAsia="Times New Roman"/>
                <w:kern w:val="0"/>
                <w:sz w:val="21"/>
                <w:szCs w:val="21"/>
                <w:lang w:val="zh-CN"/>
              </w:rPr>
            </w:pPr>
            <w:r>
              <w:rPr>
                <w:rFonts w:eastAsia="Times New Roman"/>
                <w:kern w:val="0"/>
                <w:sz w:val="21"/>
                <w:szCs w:val="21"/>
                <w:lang w:val="en-GB"/>
              </w:rPr>
              <w:t>1</w:t>
            </w:r>
            <w:r>
              <w:rPr>
                <w:rFonts w:hint="eastAsia" w:ascii="宋体" w:hAnsi="宋体" w:cs="宋体"/>
                <w:kern w:val="0"/>
                <w:sz w:val="21"/>
                <w:szCs w:val="21"/>
                <w:lang w:val="zh-CN"/>
              </w:rPr>
              <w:t>年以内</w:t>
            </w:r>
          </w:p>
        </w:tc>
        <w:tc>
          <w:tcPr>
            <w:tcW w:w="1997" w:type="dxa"/>
          </w:tcPr>
          <w:p>
            <w:pPr>
              <w:autoSpaceDE w:val="0"/>
              <w:autoSpaceDN w:val="0"/>
              <w:adjustRightInd w:val="0"/>
              <w:spacing w:before="0" w:after="0"/>
              <w:jc w:val="center"/>
              <w:rPr>
                <w:rFonts w:eastAsia="Times New Roman"/>
                <w:kern w:val="0"/>
                <w:sz w:val="21"/>
                <w:szCs w:val="21"/>
                <w:lang w:val="zh-CN"/>
              </w:rPr>
            </w:pPr>
            <w:r>
              <w:rPr>
                <w:rFonts w:eastAsia="Times New Roman"/>
                <w:kern w:val="0"/>
                <w:sz w:val="21"/>
                <w:szCs w:val="21"/>
                <w:lang w:val="en-GB"/>
              </w:rPr>
              <w:t>17.41</w:t>
            </w:r>
          </w:p>
        </w:tc>
      </w:tr>
      <w:tr>
        <w:tblPrEx>
          <w:tblBorders>
            <w:top w:val="single" w:color="auto" w:sz="6" w:space="0"/>
            <w:left w:val="single" w:color="auto" w:sz="6" w:space="0"/>
            <w:bottom w:val="single" w:color="auto" w:sz="8" w:space="0"/>
            <w:right w:val="single" w:color="auto" w:sz="6" w:space="0"/>
            <w:insideH w:val="single" w:color="auto" w:sz="8" w:space="0"/>
            <w:insideV w:val="single" w:color="auto" w:sz="6" w:space="0"/>
          </w:tblBorders>
          <w:tblLayout w:type="fixed"/>
          <w:tblCellMar>
            <w:top w:w="10" w:type="dxa"/>
            <w:left w:w="10" w:type="dxa"/>
            <w:bottom w:w="10" w:type="dxa"/>
            <w:right w:w="10" w:type="dxa"/>
          </w:tblCellMar>
        </w:tblPrEx>
        <w:tc>
          <w:tcPr>
            <w:tcW w:w="2921" w:type="dxa"/>
          </w:tcPr>
          <w:p>
            <w:pPr>
              <w:autoSpaceDE w:val="0"/>
              <w:autoSpaceDN w:val="0"/>
              <w:adjustRightInd w:val="0"/>
              <w:spacing w:before="0" w:after="0"/>
              <w:rPr>
                <w:rFonts w:eastAsia="Times New Roman"/>
                <w:kern w:val="0"/>
                <w:sz w:val="21"/>
                <w:szCs w:val="21"/>
                <w:lang w:val="zh-CN"/>
              </w:rPr>
            </w:pPr>
            <w:r>
              <w:rPr>
                <w:rFonts w:hint="eastAsia" w:ascii="宋体" w:hAnsi="宋体" w:cs="宋体"/>
                <w:kern w:val="0"/>
                <w:sz w:val="21"/>
                <w:szCs w:val="21"/>
                <w:lang w:val="zh-CN"/>
              </w:rPr>
              <w:t>供应商二</w:t>
            </w:r>
          </w:p>
        </w:tc>
        <w:tc>
          <w:tcPr>
            <w:tcW w:w="1879" w:type="dxa"/>
          </w:tcPr>
          <w:p>
            <w:pPr>
              <w:autoSpaceDE w:val="0"/>
              <w:autoSpaceDN w:val="0"/>
              <w:adjustRightInd w:val="0"/>
              <w:spacing w:before="0" w:after="0"/>
              <w:jc w:val="right"/>
              <w:rPr>
                <w:rFonts w:eastAsia="Times New Roman"/>
                <w:kern w:val="0"/>
                <w:sz w:val="21"/>
                <w:szCs w:val="21"/>
                <w:lang w:val="zh-CN"/>
              </w:rPr>
            </w:pPr>
            <w:r>
              <w:rPr>
                <w:rFonts w:eastAsia="Times New Roman"/>
                <w:kern w:val="0"/>
                <w:sz w:val="21"/>
                <w:szCs w:val="21"/>
                <w:lang w:val="en-GB"/>
              </w:rPr>
              <w:t>6,825,898.91</w:t>
            </w:r>
          </w:p>
        </w:tc>
        <w:tc>
          <w:tcPr>
            <w:tcW w:w="2861" w:type="dxa"/>
          </w:tcPr>
          <w:p>
            <w:pPr>
              <w:autoSpaceDE w:val="0"/>
              <w:autoSpaceDN w:val="0"/>
              <w:adjustRightInd w:val="0"/>
              <w:spacing w:before="0" w:after="0"/>
              <w:jc w:val="center"/>
              <w:rPr>
                <w:rFonts w:eastAsia="Times New Roman"/>
                <w:kern w:val="0"/>
                <w:sz w:val="21"/>
                <w:szCs w:val="21"/>
                <w:lang w:val="zh-CN"/>
              </w:rPr>
            </w:pPr>
            <w:r>
              <w:rPr>
                <w:rFonts w:eastAsia="Times New Roman"/>
                <w:kern w:val="0"/>
                <w:sz w:val="21"/>
                <w:szCs w:val="21"/>
                <w:lang w:val="en-GB"/>
              </w:rPr>
              <w:t>1-2</w:t>
            </w:r>
            <w:r>
              <w:rPr>
                <w:rFonts w:hint="eastAsia" w:ascii="宋体" w:hAnsi="宋体" w:cs="宋体"/>
                <w:kern w:val="0"/>
                <w:sz w:val="21"/>
                <w:szCs w:val="21"/>
                <w:lang w:val="zh-CN"/>
              </w:rPr>
              <w:t>年</w:t>
            </w:r>
          </w:p>
        </w:tc>
        <w:tc>
          <w:tcPr>
            <w:tcW w:w="1997" w:type="dxa"/>
          </w:tcPr>
          <w:p>
            <w:pPr>
              <w:autoSpaceDE w:val="0"/>
              <w:autoSpaceDN w:val="0"/>
              <w:adjustRightInd w:val="0"/>
              <w:spacing w:before="0" w:after="0"/>
              <w:jc w:val="center"/>
              <w:rPr>
                <w:rFonts w:eastAsia="Times New Roman"/>
                <w:kern w:val="0"/>
                <w:sz w:val="21"/>
                <w:szCs w:val="21"/>
                <w:lang w:val="zh-CN"/>
              </w:rPr>
            </w:pPr>
            <w:r>
              <w:rPr>
                <w:rFonts w:eastAsia="Times New Roman"/>
                <w:kern w:val="0"/>
                <w:sz w:val="21"/>
                <w:szCs w:val="21"/>
                <w:lang w:val="en-GB"/>
              </w:rPr>
              <w:t>15.33</w:t>
            </w:r>
          </w:p>
        </w:tc>
      </w:tr>
      <w:tr>
        <w:tblPrEx>
          <w:tblBorders>
            <w:top w:val="single" w:color="auto" w:sz="6" w:space="0"/>
            <w:left w:val="single" w:color="auto" w:sz="6" w:space="0"/>
            <w:bottom w:val="single" w:color="auto" w:sz="8" w:space="0"/>
            <w:right w:val="single" w:color="auto" w:sz="6" w:space="0"/>
            <w:insideH w:val="single" w:color="auto" w:sz="8" w:space="0"/>
            <w:insideV w:val="single" w:color="auto" w:sz="6" w:space="0"/>
          </w:tblBorders>
          <w:tblLayout w:type="fixed"/>
          <w:tblCellMar>
            <w:top w:w="10" w:type="dxa"/>
            <w:left w:w="10" w:type="dxa"/>
            <w:bottom w:w="10" w:type="dxa"/>
            <w:right w:w="10" w:type="dxa"/>
          </w:tblCellMar>
        </w:tblPrEx>
        <w:tc>
          <w:tcPr>
            <w:tcW w:w="2921" w:type="dxa"/>
          </w:tcPr>
          <w:p>
            <w:pPr>
              <w:autoSpaceDE w:val="0"/>
              <w:autoSpaceDN w:val="0"/>
              <w:adjustRightInd w:val="0"/>
              <w:spacing w:before="0" w:after="0"/>
              <w:rPr>
                <w:rFonts w:eastAsia="Times New Roman"/>
                <w:kern w:val="0"/>
                <w:sz w:val="21"/>
                <w:szCs w:val="21"/>
                <w:lang w:val="zh-CN"/>
              </w:rPr>
            </w:pPr>
            <w:r>
              <w:rPr>
                <w:rFonts w:hint="eastAsia" w:ascii="宋体" w:hAnsi="宋体" w:cs="宋体"/>
                <w:kern w:val="0"/>
                <w:sz w:val="21"/>
                <w:szCs w:val="21"/>
                <w:lang w:val="zh-CN"/>
              </w:rPr>
              <w:t>供应商三</w:t>
            </w:r>
          </w:p>
        </w:tc>
        <w:tc>
          <w:tcPr>
            <w:tcW w:w="1879" w:type="dxa"/>
          </w:tcPr>
          <w:p>
            <w:pPr>
              <w:autoSpaceDE w:val="0"/>
              <w:autoSpaceDN w:val="0"/>
              <w:adjustRightInd w:val="0"/>
              <w:spacing w:before="0" w:after="0"/>
              <w:jc w:val="right"/>
              <w:rPr>
                <w:rFonts w:eastAsia="Times New Roman"/>
                <w:kern w:val="0"/>
                <w:sz w:val="21"/>
                <w:szCs w:val="21"/>
                <w:lang w:val="zh-CN"/>
              </w:rPr>
            </w:pPr>
            <w:r>
              <w:rPr>
                <w:rFonts w:eastAsia="Times New Roman"/>
                <w:kern w:val="0"/>
                <w:sz w:val="21"/>
                <w:szCs w:val="21"/>
                <w:lang w:val="en-GB"/>
              </w:rPr>
              <w:t>5,739,334.55</w:t>
            </w:r>
          </w:p>
        </w:tc>
        <w:tc>
          <w:tcPr>
            <w:tcW w:w="2861" w:type="dxa"/>
          </w:tcPr>
          <w:p>
            <w:pPr>
              <w:autoSpaceDE w:val="0"/>
              <w:autoSpaceDN w:val="0"/>
              <w:adjustRightInd w:val="0"/>
              <w:spacing w:before="0" w:after="0"/>
              <w:jc w:val="center"/>
              <w:rPr>
                <w:rFonts w:eastAsia="Times New Roman"/>
                <w:kern w:val="0"/>
                <w:sz w:val="21"/>
                <w:szCs w:val="21"/>
                <w:lang w:val="zh-CN"/>
              </w:rPr>
            </w:pPr>
            <w:r>
              <w:rPr>
                <w:rFonts w:eastAsia="Times New Roman"/>
                <w:kern w:val="0"/>
                <w:sz w:val="21"/>
                <w:szCs w:val="21"/>
                <w:lang w:val="en-GB"/>
              </w:rPr>
              <w:t>1</w:t>
            </w:r>
            <w:r>
              <w:rPr>
                <w:rFonts w:hint="eastAsia" w:ascii="宋体" w:hAnsi="宋体" w:cs="宋体"/>
                <w:kern w:val="0"/>
                <w:sz w:val="21"/>
                <w:szCs w:val="21"/>
                <w:lang w:val="zh-CN"/>
              </w:rPr>
              <w:t>年以内</w:t>
            </w:r>
          </w:p>
        </w:tc>
        <w:tc>
          <w:tcPr>
            <w:tcW w:w="1997" w:type="dxa"/>
          </w:tcPr>
          <w:p>
            <w:pPr>
              <w:autoSpaceDE w:val="0"/>
              <w:autoSpaceDN w:val="0"/>
              <w:adjustRightInd w:val="0"/>
              <w:spacing w:before="0" w:after="0"/>
              <w:jc w:val="center"/>
              <w:rPr>
                <w:rFonts w:eastAsia="Times New Roman"/>
                <w:kern w:val="0"/>
                <w:sz w:val="21"/>
                <w:szCs w:val="21"/>
                <w:lang w:val="zh-CN"/>
              </w:rPr>
            </w:pPr>
            <w:r>
              <w:rPr>
                <w:rFonts w:eastAsia="Times New Roman"/>
                <w:kern w:val="0"/>
                <w:sz w:val="21"/>
                <w:szCs w:val="21"/>
                <w:lang w:val="en-GB"/>
              </w:rPr>
              <w:t>12.89</w:t>
            </w:r>
          </w:p>
        </w:tc>
      </w:tr>
      <w:tr>
        <w:tblPrEx>
          <w:tblBorders>
            <w:top w:val="single" w:color="auto" w:sz="6" w:space="0"/>
            <w:left w:val="single" w:color="auto" w:sz="6" w:space="0"/>
            <w:bottom w:val="single" w:color="auto" w:sz="8" w:space="0"/>
            <w:right w:val="single" w:color="auto" w:sz="6" w:space="0"/>
            <w:insideH w:val="single" w:color="auto" w:sz="8" w:space="0"/>
            <w:insideV w:val="single" w:color="auto" w:sz="6" w:space="0"/>
          </w:tblBorders>
          <w:tblLayout w:type="fixed"/>
          <w:tblCellMar>
            <w:top w:w="10" w:type="dxa"/>
            <w:left w:w="10" w:type="dxa"/>
            <w:bottom w:w="10" w:type="dxa"/>
            <w:right w:w="10" w:type="dxa"/>
          </w:tblCellMar>
        </w:tblPrEx>
        <w:tc>
          <w:tcPr>
            <w:tcW w:w="2921" w:type="dxa"/>
          </w:tcPr>
          <w:p>
            <w:pPr>
              <w:autoSpaceDE w:val="0"/>
              <w:autoSpaceDN w:val="0"/>
              <w:adjustRightInd w:val="0"/>
              <w:spacing w:before="0" w:after="0"/>
              <w:rPr>
                <w:rFonts w:eastAsia="Times New Roman"/>
                <w:kern w:val="0"/>
                <w:sz w:val="21"/>
                <w:szCs w:val="21"/>
                <w:lang w:val="zh-CN"/>
              </w:rPr>
            </w:pPr>
            <w:r>
              <w:rPr>
                <w:rFonts w:hint="eastAsia" w:ascii="宋体" w:hAnsi="宋体" w:cs="宋体"/>
                <w:kern w:val="0"/>
                <w:sz w:val="21"/>
                <w:szCs w:val="21"/>
                <w:lang w:val="zh-CN"/>
              </w:rPr>
              <w:t>供应商四</w:t>
            </w:r>
          </w:p>
        </w:tc>
        <w:tc>
          <w:tcPr>
            <w:tcW w:w="1879" w:type="dxa"/>
          </w:tcPr>
          <w:p>
            <w:pPr>
              <w:autoSpaceDE w:val="0"/>
              <w:autoSpaceDN w:val="0"/>
              <w:adjustRightInd w:val="0"/>
              <w:spacing w:before="0" w:after="0"/>
              <w:jc w:val="right"/>
              <w:rPr>
                <w:rFonts w:eastAsia="Times New Roman"/>
                <w:kern w:val="0"/>
                <w:sz w:val="21"/>
                <w:szCs w:val="21"/>
                <w:lang w:val="zh-CN"/>
              </w:rPr>
            </w:pPr>
            <w:r>
              <w:rPr>
                <w:rFonts w:eastAsia="Times New Roman"/>
                <w:kern w:val="0"/>
                <w:sz w:val="21"/>
                <w:szCs w:val="21"/>
                <w:lang w:val="en-GB"/>
              </w:rPr>
              <w:t>5,701,133.23</w:t>
            </w:r>
          </w:p>
        </w:tc>
        <w:tc>
          <w:tcPr>
            <w:tcW w:w="2861" w:type="dxa"/>
          </w:tcPr>
          <w:p>
            <w:pPr>
              <w:autoSpaceDE w:val="0"/>
              <w:autoSpaceDN w:val="0"/>
              <w:adjustRightInd w:val="0"/>
              <w:spacing w:before="0" w:after="0"/>
              <w:jc w:val="center"/>
              <w:rPr>
                <w:rFonts w:eastAsia="Times New Roman"/>
                <w:kern w:val="0"/>
                <w:sz w:val="21"/>
                <w:szCs w:val="21"/>
                <w:lang w:val="zh-CN"/>
              </w:rPr>
            </w:pPr>
            <w:r>
              <w:rPr>
                <w:rFonts w:eastAsia="Times New Roman"/>
                <w:kern w:val="0"/>
                <w:sz w:val="21"/>
                <w:szCs w:val="21"/>
                <w:lang w:val="en-GB"/>
              </w:rPr>
              <w:t>1</w:t>
            </w:r>
            <w:r>
              <w:rPr>
                <w:rFonts w:hint="eastAsia" w:ascii="宋体" w:hAnsi="宋体" w:cs="宋体"/>
                <w:kern w:val="0"/>
                <w:sz w:val="21"/>
                <w:szCs w:val="21"/>
                <w:lang w:val="zh-CN"/>
              </w:rPr>
              <w:t>年以内</w:t>
            </w:r>
          </w:p>
        </w:tc>
        <w:tc>
          <w:tcPr>
            <w:tcW w:w="1997" w:type="dxa"/>
          </w:tcPr>
          <w:p>
            <w:pPr>
              <w:autoSpaceDE w:val="0"/>
              <w:autoSpaceDN w:val="0"/>
              <w:adjustRightInd w:val="0"/>
              <w:spacing w:before="0" w:after="0"/>
              <w:jc w:val="center"/>
              <w:rPr>
                <w:rFonts w:eastAsia="Times New Roman"/>
                <w:kern w:val="0"/>
                <w:sz w:val="21"/>
                <w:szCs w:val="21"/>
                <w:lang w:val="zh-CN"/>
              </w:rPr>
            </w:pPr>
            <w:r>
              <w:rPr>
                <w:rFonts w:eastAsia="Times New Roman"/>
                <w:kern w:val="0"/>
                <w:sz w:val="21"/>
                <w:szCs w:val="21"/>
                <w:lang w:val="en-GB"/>
              </w:rPr>
              <w:t>12.8</w:t>
            </w:r>
          </w:p>
        </w:tc>
      </w:tr>
      <w:tr>
        <w:tblPrEx>
          <w:tblBorders>
            <w:top w:val="single" w:color="auto" w:sz="6" w:space="0"/>
            <w:left w:val="single" w:color="auto" w:sz="6" w:space="0"/>
            <w:bottom w:val="single" w:color="auto" w:sz="8" w:space="0"/>
            <w:right w:val="single" w:color="auto" w:sz="6" w:space="0"/>
            <w:insideH w:val="single" w:color="auto" w:sz="8" w:space="0"/>
            <w:insideV w:val="single" w:color="auto" w:sz="6" w:space="0"/>
          </w:tblBorders>
          <w:tblLayout w:type="fixed"/>
          <w:tblCellMar>
            <w:top w:w="10" w:type="dxa"/>
            <w:left w:w="10" w:type="dxa"/>
            <w:bottom w:w="10" w:type="dxa"/>
            <w:right w:w="10" w:type="dxa"/>
          </w:tblCellMar>
        </w:tblPrEx>
        <w:tc>
          <w:tcPr>
            <w:tcW w:w="2921" w:type="dxa"/>
          </w:tcPr>
          <w:p>
            <w:pPr>
              <w:autoSpaceDE w:val="0"/>
              <w:autoSpaceDN w:val="0"/>
              <w:adjustRightInd w:val="0"/>
              <w:spacing w:before="0" w:after="0"/>
              <w:rPr>
                <w:rFonts w:eastAsia="Times New Roman"/>
                <w:kern w:val="0"/>
                <w:sz w:val="21"/>
                <w:szCs w:val="21"/>
                <w:lang w:val="zh-CN"/>
              </w:rPr>
            </w:pPr>
            <w:r>
              <w:rPr>
                <w:rFonts w:hint="eastAsia" w:ascii="宋体" w:hAnsi="宋体" w:cs="宋体"/>
                <w:kern w:val="0"/>
                <w:sz w:val="21"/>
                <w:szCs w:val="21"/>
                <w:lang w:val="zh-CN"/>
              </w:rPr>
              <w:t>供应商五</w:t>
            </w:r>
          </w:p>
        </w:tc>
        <w:tc>
          <w:tcPr>
            <w:tcW w:w="1879" w:type="dxa"/>
          </w:tcPr>
          <w:p>
            <w:pPr>
              <w:autoSpaceDE w:val="0"/>
              <w:autoSpaceDN w:val="0"/>
              <w:adjustRightInd w:val="0"/>
              <w:spacing w:before="0" w:after="0"/>
              <w:jc w:val="right"/>
              <w:rPr>
                <w:rFonts w:eastAsia="Times New Roman"/>
                <w:kern w:val="0"/>
                <w:sz w:val="21"/>
                <w:szCs w:val="21"/>
                <w:lang w:val="zh-CN"/>
              </w:rPr>
            </w:pPr>
            <w:r>
              <w:rPr>
                <w:rFonts w:eastAsia="Times New Roman"/>
                <w:kern w:val="0"/>
                <w:sz w:val="21"/>
                <w:szCs w:val="21"/>
                <w:lang w:val="en-GB"/>
              </w:rPr>
              <w:t>3,037,296.91</w:t>
            </w:r>
          </w:p>
        </w:tc>
        <w:tc>
          <w:tcPr>
            <w:tcW w:w="2861" w:type="dxa"/>
          </w:tcPr>
          <w:p>
            <w:pPr>
              <w:autoSpaceDE w:val="0"/>
              <w:autoSpaceDN w:val="0"/>
              <w:adjustRightInd w:val="0"/>
              <w:spacing w:before="0" w:after="0"/>
              <w:jc w:val="center"/>
              <w:rPr>
                <w:rFonts w:eastAsia="Times New Roman"/>
                <w:kern w:val="0"/>
                <w:sz w:val="21"/>
                <w:szCs w:val="21"/>
                <w:lang w:val="zh-CN"/>
              </w:rPr>
            </w:pPr>
            <w:r>
              <w:rPr>
                <w:rFonts w:eastAsia="Times New Roman"/>
                <w:kern w:val="0"/>
                <w:sz w:val="21"/>
                <w:szCs w:val="21"/>
                <w:lang w:val="en-GB"/>
              </w:rPr>
              <w:t>1</w:t>
            </w:r>
            <w:r>
              <w:rPr>
                <w:rFonts w:hint="eastAsia" w:ascii="宋体" w:hAnsi="宋体" w:cs="宋体"/>
                <w:kern w:val="0"/>
                <w:sz w:val="21"/>
                <w:szCs w:val="21"/>
                <w:lang w:val="zh-CN"/>
              </w:rPr>
              <w:t>年以内</w:t>
            </w:r>
          </w:p>
        </w:tc>
        <w:tc>
          <w:tcPr>
            <w:tcW w:w="1997" w:type="dxa"/>
          </w:tcPr>
          <w:p>
            <w:pPr>
              <w:autoSpaceDE w:val="0"/>
              <w:autoSpaceDN w:val="0"/>
              <w:adjustRightInd w:val="0"/>
              <w:spacing w:before="0" w:after="0"/>
              <w:jc w:val="center"/>
              <w:rPr>
                <w:rFonts w:eastAsia="Times New Roman"/>
                <w:kern w:val="0"/>
                <w:sz w:val="21"/>
                <w:szCs w:val="21"/>
                <w:lang w:val="zh-CN"/>
              </w:rPr>
            </w:pPr>
            <w:r>
              <w:rPr>
                <w:rFonts w:eastAsia="Times New Roman"/>
                <w:kern w:val="0"/>
                <w:sz w:val="21"/>
                <w:szCs w:val="21"/>
                <w:lang w:val="en-GB"/>
              </w:rPr>
              <w:t>6.82</w:t>
            </w:r>
          </w:p>
        </w:tc>
      </w:tr>
      <w:tr>
        <w:tblPrEx>
          <w:tblBorders>
            <w:top w:val="single" w:color="auto" w:sz="6" w:space="0"/>
            <w:left w:val="single" w:color="auto" w:sz="6" w:space="0"/>
            <w:bottom w:val="single" w:color="auto" w:sz="8" w:space="0"/>
            <w:right w:val="single" w:color="auto" w:sz="6" w:space="0"/>
            <w:insideH w:val="single" w:color="auto" w:sz="8" w:space="0"/>
            <w:insideV w:val="single" w:color="auto" w:sz="6" w:space="0"/>
          </w:tblBorders>
          <w:tblLayout w:type="fixed"/>
          <w:tblCellMar>
            <w:top w:w="10" w:type="dxa"/>
            <w:left w:w="10" w:type="dxa"/>
            <w:bottom w:w="10" w:type="dxa"/>
            <w:right w:w="10" w:type="dxa"/>
          </w:tblCellMar>
        </w:tblPrEx>
        <w:tc>
          <w:tcPr>
            <w:tcW w:w="2921" w:type="dxa"/>
          </w:tcPr>
          <w:p>
            <w:pPr>
              <w:autoSpaceDE w:val="0"/>
              <w:autoSpaceDN w:val="0"/>
              <w:adjustRightInd w:val="0"/>
              <w:spacing w:before="0" w:after="0"/>
              <w:jc w:val="left"/>
              <w:rPr>
                <w:rFonts w:eastAsia="Times New Roman"/>
                <w:b/>
                <w:kern w:val="0"/>
                <w:sz w:val="21"/>
                <w:szCs w:val="21"/>
                <w:lang w:val="zh-CN"/>
              </w:rPr>
            </w:pPr>
            <w:r>
              <w:rPr>
                <w:rFonts w:hint="eastAsia" w:ascii="宋体" w:hAnsi="宋体" w:cs="宋体"/>
                <w:b/>
                <w:kern w:val="0"/>
                <w:sz w:val="21"/>
                <w:szCs w:val="21"/>
                <w:lang w:val="zh-CN"/>
              </w:rPr>
              <w:t>合计</w:t>
            </w:r>
          </w:p>
        </w:tc>
        <w:tc>
          <w:tcPr>
            <w:tcW w:w="1879" w:type="dxa"/>
          </w:tcPr>
          <w:p>
            <w:pPr>
              <w:autoSpaceDE w:val="0"/>
              <w:autoSpaceDN w:val="0"/>
              <w:adjustRightInd w:val="0"/>
              <w:spacing w:before="0" w:after="0"/>
              <w:jc w:val="right"/>
              <w:rPr>
                <w:rFonts w:eastAsia="Times New Roman"/>
                <w:b/>
                <w:kern w:val="0"/>
                <w:sz w:val="21"/>
                <w:szCs w:val="21"/>
                <w:lang w:val="zh-CN"/>
              </w:rPr>
            </w:pPr>
            <w:r>
              <w:rPr>
                <w:rFonts w:eastAsia="Times New Roman"/>
                <w:b/>
                <w:kern w:val="0"/>
                <w:sz w:val="21"/>
                <w:szCs w:val="21"/>
                <w:lang w:val="en-GB"/>
              </w:rPr>
              <w:t>29,056,190.57</w:t>
            </w:r>
          </w:p>
        </w:tc>
        <w:tc>
          <w:tcPr>
            <w:tcW w:w="2861" w:type="dxa"/>
          </w:tcPr>
          <w:p>
            <w:pPr>
              <w:autoSpaceDE w:val="0"/>
              <w:autoSpaceDN w:val="0"/>
              <w:adjustRightInd w:val="0"/>
              <w:spacing w:before="0" w:after="0"/>
              <w:jc w:val="center"/>
              <w:rPr>
                <w:rFonts w:eastAsia="Times New Roman"/>
                <w:b/>
                <w:kern w:val="0"/>
                <w:sz w:val="21"/>
                <w:szCs w:val="21"/>
                <w:lang w:val="zh-CN"/>
              </w:rPr>
            </w:pPr>
          </w:p>
        </w:tc>
        <w:tc>
          <w:tcPr>
            <w:tcW w:w="1997" w:type="dxa"/>
          </w:tcPr>
          <w:p>
            <w:pPr>
              <w:autoSpaceDE w:val="0"/>
              <w:autoSpaceDN w:val="0"/>
              <w:adjustRightInd w:val="0"/>
              <w:spacing w:before="0" w:after="0"/>
              <w:jc w:val="center"/>
              <w:rPr>
                <w:rFonts w:eastAsia="Times New Roman"/>
                <w:b/>
                <w:kern w:val="0"/>
                <w:sz w:val="21"/>
                <w:szCs w:val="21"/>
                <w:lang w:val="zh-CN"/>
              </w:rPr>
            </w:pPr>
            <w:r>
              <w:rPr>
                <w:rFonts w:eastAsia="Times New Roman"/>
                <w:b/>
                <w:kern w:val="0"/>
                <w:sz w:val="21"/>
                <w:szCs w:val="21"/>
                <w:lang w:val="en-GB"/>
              </w:rPr>
              <w:t>65.25</w:t>
            </w:r>
          </w:p>
        </w:tc>
      </w:tr>
    </w:tbl>
    <w:p>
      <w:pPr>
        <w:autoSpaceDE w:val="0"/>
        <w:autoSpaceDN w:val="0"/>
        <w:adjustRightInd w:val="0"/>
        <w:spacing w:before="0" w:after="0"/>
        <w:jc w:val="left"/>
        <w:rPr>
          <w:rFonts w:eastAsia="Times New Roman"/>
          <w:kern w:val="0"/>
          <w:szCs w:val="24"/>
          <w:lang w:val="zh-CN"/>
        </w:rPr>
      </w:pPr>
    </w:p>
    <w:p>
      <w:pPr>
        <w:pStyle w:val="11"/>
        <w:outlineLvl w:val="2"/>
        <w:rPr>
          <w:bCs w:val="0"/>
          <w:szCs w:val="24"/>
        </w:rPr>
      </w:pPr>
      <w:r>
        <w:rPr>
          <w:bCs w:val="0"/>
          <w:szCs w:val="24"/>
        </w:rPr>
        <w:t>5</w:t>
      </w:r>
      <w:r>
        <w:rPr>
          <w:rFonts w:hint="eastAsia"/>
          <w:bCs w:val="0"/>
          <w:szCs w:val="24"/>
        </w:rPr>
        <w:t>、应收利息</w:t>
      </w:r>
    </w:p>
    <w:p>
      <w:pPr>
        <w:pStyle w:val="11"/>
        <w:outlineLvl w:val="3"/>
        <w:rPr>
          <w:bCs w:val="0"/>
          <w:szCs w:val="24"/>
        </w:rPr>
      </w:pPr>
      <w:r>
        <w:rPr>
          <w:rFonts w:hint="eastAsia"/>
          <w:bCs w:val="0"/>
          <w:szCs w:val="24"/>
        </w:rPr>
        <w:t>（</w:t>
      </w:r>
      <w:r>
        <w:rPr>
          <w:bCs w:val="0"/>
          <w:szCs w:val="24"/>
        </w:rPr>
        <w:t>1</w:t>
      </w:r>
      <w:r>
        <w:rPr>
          <w:rFonts w:hint="eastAsia"/>
          <w:bCs w:val="0"/>
          <w:szCs w:val="24"/>
        </w:rPr>
        <w:t>）应收利息分类</w:t>
      </w:r>
    </w:p>
    <w:p>
      <w:pPr>
        <w:jc w:val="right"/>
        <w:rPr>
          <w:szCs w:val="24"/>
        </w:rPr>
      </w:pPr>
      <w:r>
        <w:rPr>
          <w:rFonts w:hint="eastAsia"/>
          <w:szCs w:val="24"/>
        </w:rPr>
        <w:t>单位：</w:t>
      </w:r>
      <w:r>
        <w:rPr>
          <w:szCs w:val="24"/>
        </w:rPr>
        <w:t xml:space="preserve"> </w:t>
      </w:r>
      <w:r>
        <w:rPr>
          <w:rFonts w:hint="eastAsia"/>
          <w:szCs w:val="24"/>
        </w:rPr>
        <w:t>元</w:t>
      </w:r>
    </w:p>
    <w:tbl>
      <w:tblPr>
        <w:tblStyle w:val="8"/>
        <w:tblW w:w="9569" w:type="dxa"/>
        <w:tblInd w:w="28" w:type="dxa"/>
        <w:tblLayout w:type="fixed"/>
        <w:tblCellMar>
          <w:top w:w="0" w:type="dxa"/>
          <w:left w:w="28" w:type="dxa"/>
          <w:bottom w:w="0" w:type="dxa"/>
          <w:right w:w="28" w:type="dxa"/>
        </w:tblCellMar>
      </w:tblPr>
      <w:tblGrid>
        <w:gridCol w:w="3190"/>
        <w:gridCol w:w="3190"/>
        <w:gridCol w:w="3189"/>
      </w:tblGrid>
      <w:tr>
        <w:tblPrEx>
          <w:tblLayout w:type="fixed"/>
          <w:tblCellMar>
            <w:top w:w="0" w:type="dxa"/>
            <w:left w:w="28" w:type="dxa"/>
            <w:bottom w:w="0" w:type="dxa"/>
            <w:right w:w="28" w:type="dxa"/>
          </w:tblCellMar>
        </w:tblPrEx>
        <w:tc>
          <w:tcPr>
            <w:tcW w:w="319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319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期初余额</w:t>
            </w:r>
          </w:p>
        </w:tc>
      </w:tr>
      <w:tr>
        <w:tblPrEx>
          <w:tblLayout w:type="fixed"/>
          <w:tblCellMar>
            <w:top w:w="0" w:type="dxa"/>
            <w:left w:w="28" w:type="dxa"/>
            <w:bottom w:w="0" w:type="dxa"/>
            <w:right w:w="28" w:type="dxa"/>
          </w:tblCellMar>
        </w:tblPrEx>
        <w:tc>
          <w:tcPr>
            <w:tcW w:w="319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定期存款</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159,896.55</w:t>
            </w: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172,141.39</w:t>
            </w:r>
          </w:p>
        </w:tc>
      </w:tr>
      <w:tr>
        <w:tblPrEx>
          <w:tblLayout w:type="fixed"/>
          <w:tblCellMar>
            <w:top w:w="0" w:type="dxa"/>
            <w:left w:w="28" w:type="dxa"/>
            <w:bottom w:w="0" w:type="dxa"/>
            <w:right w:w="28" w:type="dxa"/>
          </w:tblCellMar>
        </w:tblPrEx>
        <w:tc>
          <w:tcPr>
            <w:tcW w:w="319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3190"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159,896.55</w:t>
            </w:r>
          </w:p>
        </w:tc>
        <w:tc>
          <w:tcPr>
            <w:tcW w:w="3189"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172,141.39</w:t>
            </w:r>
          </w:p>
        </w:tc>
      </w:tr>
    </w:tbl>
    <w:p>
      <w:pPr>
        <w:pStyle w:val="11"/>
        <w:outlineLvl w:val="2"/>
        <w:rPr>
          <w:bCs w:val="0"/>
          <w:szCs w:val="24"/>
        </w:rPr>
      </w:pPr>
      <w:r>
        <w:rPr>
          <w:bCs w:val="0"/>
          <w:szCs w:val="24"/>
        </w:rPr>
        <w:t>6</w:t>
      </w:r>
      <w:r>
        <w:rPr>
          <w:rFonts w:hint="eastAsia"/>
          <w:bCs w:val="0"/>
          <w:szCs w:val="24"/>
        </w:rPr>
        <w:t>、其他应收款</w:t>
      </w:r>
    </w:p>
    <w:p>
      <w:pPr>
        <w:pStyle w:val="11"/>
        <w:outlineLvl w:val="3"/>
        <w:rPr>
          <w:bCs w:val="0"/>
          <w:szCs w:val="24"/>
        </w:rPr>
      </w:pPr>
      <w:r>
        <w:rPr>
          <w:rFonts w:hint="eastAsia"/>
          <w:bCs w:val="0"/>
          <w:szCs w:val="24"/>
        </w:rPr>
        <w:t>（</w:t>
      </w:r>
      <w:r>
        <w:rPr>
          <w:bCs w:val="0"/>
          <w:szCs w:val="24"/>
        </w:rPr>
        <w:t>1</w:t>
      </w:r>
      <w:r>
        <w:rPr>
          <w:rFonts w:hint="eastAsia"/>
          <w:bCs w:val="0"/>
          <w:szCs w:val="24"/>
        </w:rPr>
        <w:t>）其他应收款分类披露</w:t>
      </w:r>
    </w:p>
    <w:p>
      <w:pPr>
        <w:jc w:val="right"/>
        <w:rPr>
          <w:szCs w:val="24"/>
        </w:rPr>
      </w:pPr>
      <w:r>
        <w:rPr>
          <w:rFonts w:hint="eastAsia"/>
          <w:szCs w:val="24"/>
        </w:rPr>
        <w:t>单位：</w:t>
      </w:r>
      <w:r>
        <w:rPr>
          <w:szCs w:val="24"/>
        </w:rPr>
        <w:t xml:space="preserve"> </w:t>
      </w:r>
      <w:r>
        <w:rPr>
          <w:rFonts w:hint="eastAsia"/>
          <w:szCs w:val="24"/>
        </w:rPr>
        <w:t>元</w:t>
      </w:r>
    </w:p>
    <w:tbl>
      <w:tblPr>
        <w:tblStyle w:val="8"/>
        <w:tblW w:w="9694" w:type="dxa"/>
        <w:tblInd w:w="0" w:type="dxa"/>
        <w:tblLayout w:type="fixed"/>
        <w:tblCellMar>
          <w:top w:w="0" w:type="dxa"/>
          <w:left w:w="28" w:type="dxa"/>
          <w:bottom w:w="0" w:type="dxa"/>
          <w:right w:w="28" w:type="dxa"/>
        </w:tblCellMar>
      </w:tblPr>
      <w:tblGrid>
        <w:gridCol w:w="1473"/>
        <w:gridCol w:w="976"/>
        <w:gridCol w:w="630"/>
        <w:gridCol w:w="896"/>
        <w:gridCol w:w="550"/>
        <w:gridCol w:w="976"/>
        <w:gridCol w:w="971"/>
        <w:gridCol w:w="630"/>
        <w:gridCol w:w="896"/>
        <w:gridCol w:w="720"/>
        <w:gridCol w:w="976"/>
      </w:tblGrid>
      <w:tr>
        <w:tblPrEx>
          <w:tblLayout w:type="fixed"/>
          <w:tblCellMar>
            <w:top w:w="0" w:type="dxa"/>
            <w:left w:w="28" w:type="dxa"/>
            <w:bottom w:w="0" w:type="dxa"/>
            <w:right w:w="28" w:type="dxa"/>
          </w:tblCellMar>
        </w:tblPrEx>
        <w:tc>
          <w:tcPr>
            <w:tcW w:w="1473"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类别</w:t>
            </w:r>
          </w:p>
        </w:tc>
        <w:tc>
          <w:tcPr>
            <w:tcW w:w="4028" w:type="dxa"/>
            <w:gridSpan w:val="5"/>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c>
          <w:tcPr>
            <w:tcW w:w="4193" w:type="dxa"/>
            <w:gridSpan w:val="5"/>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期初余额</w:t>
            </w:r>
          </w:p>
        </w:tc>
      </w:tr>
      <w:tr>
        <w:tblPrEx>
          <w:tblLayout w:type="fixed"/>
          <w:tblCellMar>
            <w:top w:w="0" w:type="dxa"/>
            <w:left w:w="28" w:type="dxa"/>
            <w:bottom w:w="0" w:type="dxa"/>
            <w:right w:w="28" w:type="dxa"/>
          </w:tblCellMar>
        </w:tblPrEx>
        <w:tc>
          <w:tcPr>
            <w:tcW w:w="1473"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606"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账面余额</w:t>
            </w:r>
          </w:p>
        </w:tc>
        <w:tc>
          <w:tcPr>
            <w:tcW w:w="1446"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坏账准备</w:t>
            </w:r>
          </w:p>
        </w:tc>
        <w:tc>
          <w:tcPr>
            <w:tcW w:w="976"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账面价值</w:t>
            </w:r>
          </w:p>
        </w:tc>
        <w:tc>
          <w:tcPr>
            <w:tcW w:w="1601"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账面余额</w:t>
            </w:r>
          </w:p>
        </w:tc>
        <w:tc>
          <w:tcPr>
            <w:tcW w:w="1616"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坏账准备</w:t>
            </w:r>
          </w:p>
        </w:tc>
        <w:tc>
          <w:tcPr>
            <w:tcW w:w="976"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账面价值</w:t>
            </w:r>
          </w:p>
        </w:tc>
      </w:tr>
      <w:tr>
        <w:tblPrEx>
          <w:tblLayout w:type="fixed"/>
          <w:tblCellMar>
            <w:top w:w="0" w:type="dxa"/>
            <w:left w:w="28" w:type="dxa"/>
            <w:bottom w:w="0" w:type="dxa"/>
            <w:right w:w="28" w:type="dxa"/>
          </w:tblCellMar>
        </w:tblPrEx>
        <w:tc>
          <w:tcPr>
            <w:tcW w:w="1473"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97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金额</w:t>
            </w:r>
          </w:p>
        </w:tc>
        <w:tc>
          <w:tcPr>
            <w:tcW w:w="63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比例</w:t>
            </w:r>
          </w:p>
        </w:tc>
        <w:tc>
          <w:tcPr>
            <w:tcW w:w="89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金额</w:t>
            </w:r>
          </w:p>
        </w:tc>
        <w:tc>
          <w:tcPr>
            <w:tcW w:w="55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计提比例</w:t>
            </w:r>
          </w:p>
        </w:tc>
        <w:tc>
          <w:tcPr>
            <w:tcW w:w="976"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97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金额</w:t>
            </w:r>
          </w:p>
        </w:tc>
        <w:tc>
          <w:tcPr>
            <w:tcW w:w="63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比例</w:t>
            </w:r>
          </w:p>
        </w:tc>
        <w:tc>
          <w:tcPr>
            <w:tcW w:w="89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金额</w:t>
            </w:r>
          </w:p>
        </w:tc>
        <w:tc>
          <w:tcPr>
            <w:tcW w:w="72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计提比例</w:t>
            </w:r>
          </w:p>
        </w:tc>
        <w:tc>
          <w:tcPr>
            <w:tcW w:w="976"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r>
      <w:tr>
        <w:tblPrEx>
          <w:tblLayout w:type="fixed"/>
          <w:tblCellMar>
            <w:top w:w="0" w:type="dxa"/>
            <w:left w:w="28" w:type="dxa"/>
            <w:bottom w:w="0" w:type="dxa"/>
            <w:right w:w="28" w:type="dxa"/>
          </w:tblCellMar>
        </w:tblPrEx>
        <w:tc>
          <w:tcPr>
            <w:tcW w:w="147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16"/>
                <w:szCs w:val="16"/>
              </w:rPr>
            </w:pPr>
            <w:r>
              <w:rPr>
                <w:rFonts w:hint="eastAsia"/>
                <w:sz w:val="16"/>
                <w:szCs w:val="16"/>
              </w:rPr>
              <w:t>单项金额重大并单独计提坏账准备的其他应收款</w:t>
            </w:r>
          </w:p>
        </w:tc>
        <w:tc>
          <w:tcPr>
            <w:tcW w:w="9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p>
        </w:tc>
        <w:tc>
          <w:tcPr>
            <w:tcW w:w="63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p>
        </w:tc>
        <w:tc>
          <w:tcPr>
            <w:tcW w:w="89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p>
        </w:tc>
        <w:tc>
          <w:tcPr>
            <w:tcW w:w="55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p>
        </w:tc>
        <w:tc>
          <w:tcPr>
            <w:tcW w:w="9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p>
        </w:tc>
        <w:tc>
          <w:tcPr>
            <w:tcW w:w="9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p>
        </w:tc>
        <w:tc>
          <w:tcPr>
            <w:tcW w:w="63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p>
        </w:tc>
        <w:tc>
          <w:tcPr>
            <w:tcW w:w="89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p>
        </w:tc>
        <w:tc>
          <w:tcPr>
            <w:tcW w:w="72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p>
        </w:tc>
        <w:tc>
          <w:tcPr>
            <w:tcW w:w="9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p>
        </w:tc>
      </w:tr>
      <w:tr>
        <w:tblPrEx>
          <w:tblLayout w:type="fixed"/>
          <w:tblCellMar>
            <w:top w:w="0" w:type="dxa"/>
            <w:left w:w="28" w:type="dxa"/>
            <w:bottom w:w="0" w:type="dxa"/>
            <w:right w:w="28" w:type="dxa"/>
          </w:tblCellMar>
        </w:tblPrEx>
        <w:tc>
          <w:tcPr>
            <w:tcW w:w="147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16"/>
                <w:szCs w:val="16"/>
              </w:rPr>
            </w:pPr>
            <w:r>
              <w:rPr>
                <w:rFonts w:hint="eastAsia"/>
                <w:sz w:val="16"/>
                <w:szCs w:val="16"/>
              </w:rPr>
              <w:t>按信用风险特征组合计提坏账准备的其他应收款</w:t>
            </w:r>
          </w:p>
        </w:tc>
        <w:tc>
          <w:tcPr>
            <w:tcW w:w="9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49,745,044.13</w:t>
            </w:r>
          </w:p>
        </w:tc>
        <w:tc>
          <w:tcPr>
            <w:tcW w:w="63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100.00%</w:t>
            </w:r>
          </w:p>
        </w:tc>
        <w:tc>
          <w:tcPr>
            <w:tcW w:w="89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3,092,882.29</w:t>
            </w:r>
          </w:p>
        </w:tc>
        <w:tc>
          <w:tcPr>
            <w:tcW w:w="55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6.22%</w:t>
            </w:r>
          </w:p>
        </w:tc>
        <w:tc>
          <w:tcPr>
            <w:tcW w:w="9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46,652,161.84</w:t>
            </w:r>
          </w:p>
        </w:tc>
        <w:tc>
          <w:tcPr>
            <w:tcW w:w="9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33,308,469.11</w:t>
            </w:r>
          </w:p>
        </w:tc>
        <w:tc>
          <w:tcPr>
            <w:tcW w:w="63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100.00%</w:t>
            </w:r>
          </w:p>
        </w:tc>
        <w:tc>
          <w:tcPr>
            <w:tcW w:w="89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1,598,362.03</w:t>
            </w:r>
          </w:p>
        </w:tc>
        <w:tc>
          <w:tcPr>
            <w:tcW w:w="72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4.80%</w:t>
            </w:r>
          </w:p>
        </w:tc>
        <w:tc>
          <w:tcPr>
            <w:tcW w:w="9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31,710,107.08</w:t>
            </w:r>
          </w:p>
        </w:tc>
      </w:tr>
      <w:tr>
        <w:tblPrEx>
          <w:tblLayout w:type="fixed"/>
          <w:tblCellMar>
            <w:top w:w="0" w:type="dxa"/>
            <w:left w:w="28" w:type="dxa"/>
            <w:bottom w:w="0" w:type="dxa"/>
            <w:right w:w="28" w:type="dxa"/>
          </w:tblCellMar>
        </w:tblPrEx>
        <w:tc>
          <w:tcPr>
            <w:tcW w:w="147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16"/>
                <w:szCs w:val="16"/>
              </w:rPr>
            </w:pPr>
            <w:r>
              <w:rPr>
                <w:rFonts w:hint="eastAsia"/>
                <w:sz w:val="16"/>
                <w:szCs w:val="16"/>
              </w:rPr>
              <w:t>单项金额不重大但单独计提坏账准备的其他应收款</w:t>
            </w:r>
          </w:p>
        </w:tc>
        <w:tc>
          <w:tcPr>
            <w:tcW w:w="9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p>
        </w:tc>
        <w:tc>
          <w:tcPr>
            <w:tcW w:w="63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p>
        </w:tc>
        <w:tc>
          <w:tcPr>
            <w:tcW w:w="89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p>
        </w:tc>
        <w:tc>
          <w:tcPr>
            <w:tcW w:w="55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p>
        </w:tc>
        <w:tc>
          <w:tcPr>
            <w:tcW w:w="9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p>
        </w:tc>
        <w:tc>
          <w:tcPr>
            <w:tcW w:w="9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p>
        </w:tc>
        <w:tc>
          <w:tcPr>
            <w:tcW w:w="63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p>
        </w:tc>
        <w:tc>
          <w:tcPr>
            <w:tcW w:w="89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p>
        </w:tc>
        <w:tc>
          <w:tcPr>
            <w:tcW w:w="72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p>
        </w:tc>
        <w:tc>
          <w:tcPr>
            <w:tcW w:w="9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p>
        </w:tc>
      </w:tr>
      <w:tr>
        <w:tblPrEx>
          <w:tblLayout w:type="fixed"/>
          <w:tblCellMar>
            <w:top w:w="0" w:type="dxa"/>
            <w:left w:w="28" w:type="dxa"/>
            <w:bottom w:w="0" w:type="dxa"/>
            <w:right w:w="28" w:type="dxa"/>
          </w:tblCellMar>
        </w:tblPrEx>
        <w:tc>
          <w:tcPr>
            <w:tcW w:w="147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16"/>
                <w:szCs w:val="16"/>
              </w:rPr>
            </w:pPr>
            <w:r>
              <w:rPr>
                <w:rFonts w:hint="eastAsia"/>
                <w:sz w:val="16"/>
                <w:szCs w:val="16"/>
              </w:rPr>
              <w:t>合计</w:t>
            </w:r>
          </w:p>
        </w:tc>
        <w:tc>
          <w:tcPr>
            <w:tcW w:w="9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49,745,044.13</w:t>
            </w:r>
          </w:p>
        </w:tc>
        <w:tc>
          <w:tcPr>
            <w:tcW w:w="63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100.00%</w:t>
            </w:r>
          </w:p>
        </w:tc>
        <w:tc>
          <w:tcPr>
            <w:tcW w:w="89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3,092,882.29</w:t>
            </w:r>
          </w:p>
        </w:tc>
        <w:tc>
          <w:tcPr>
            <w:tcW w:w="55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6.22%</w:t>
            </w:r>
          </w:p>
        </w:tc>
        <w:tc>
          <w:tcPr>
            <w:tcW w:w="976" w:type="dxa"/>
            <w:tcBorders>
              <w:top w:val="single" w:color="auto" w:sz="4" w:space="0"/>
              <w:left w:val="single" w:color="auto" w:sz="4" w:space="0"/>
              <w:bottom w:val="single" w:color="auto" w:sz="4" w:space="0"/>
              <w:right w:val="single" w:color="auto" w:sz="4" w:space="0"/>
            </w:tcBorders>
            <w:vAlign w:val="center"/>
          </w:tcPr>
          <w:p>
            <w:pPr>
              <w:jc w:val="right"/>
              <w:rPr>
                <w:sz w:val="16"/>
                <w:szCs w:val="16"/>
              </w:rPr>
            </w:pPr>
            <w:r>
              <w:rPr>
                <w:sz w:val="16"/>
                <w:szCs w:val="16"/>
              </w:rPr>
              <w:t>46,652,161.84</w:t>
            </w:r>
          </w:p>
        </w:tc>
        <w:tc>
          <w:tcPr>
            <w:tcW w:w="9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33,308,469.11</w:t>
            </w:r>
          </w:p>
        </w:tc>
        <w:tc>
          <w:tcPr>
            <w:tcW w:w="63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100.00%</w:t>
            </w:r>
          </w:p>
        </w:tc>
        <w:tc>
          <w:tcPr>
            <w:tcW w:w="89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1,598,362.03</w:t>
            </w:r>
          </w:p>
        </w:tc>
        <w:tc>
          <w:tcPr>
            <w:tcW w:w="72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4.80%</w:t>
            </w:r>
          </w:p>
        </w:tc>
        <w:tc>
          <w:tcPr>
            <w:tcW w:w="976" w:type="dxa"/>
            <w:tcBorders>
              <w:top w:val="single" w:color="auto" w:sz="4" w:space="0"/>
              <w:left w:val="single" w:color="auto" w:sz="4" w:space="0"/>
              <w:bottom w:val="single" w:color="auto" w:sz="4" w:space="0"/>
              <w:right w:val="single" w:color="auto" w:sz="4" w:space="0"/>
            </w:tcBorders>
            <w:vAlign w:val="center"/>
          </w:tcPr>
          <w:p>
            <w:pPr>
              <w:jc w:val="right"/>
              <w:rPr>
                <w:sz w:val="16"/>
                <w:szCs w:val="16"/>
              </w:rPr>
            </w:pPr>
            <w:r>
              <w:rPr>
                <w:sz w:val="16"/>
                <w:szCs w:val="16"/>
              </w:rPr>
              <w:t>31,710,107.08</w:t>
            </w:r>
          </w:p>
        </w:tc>
      </w:tr>
    </w:tbl>
    <w:p>
      <w:pPr>
        <w:jc w:val="left"/>
        <w:rPr>
          <w:sz w:val="21"/>
          <w:szCs w:val="21"/>
        </w:rPr>
      </w:pPr>
      <w:r>
        <w:rPr>
          <w:rFonts w:hint="eastAsia"/>
          <w:sz w:val="21"/>
          <w:szCs w:val="21"/>
        </w:rPr>
        <w:t>期末单项金额重大并单项计提坏账准备的其他应收款：</w:t>
      </w:r>
    </w:p>
    <w:p>
      <w:pPr>
        <w:jc w:val="left"/>
        <w:rPr>
          <w:sz w:val="21"/>
          <w:szCs w:val="21"/>
        </w:rPr>
      </w:pPr>
      <w:r>
        <w:rPr>
          <w:sz w:val="21"/>
          <w:szCs w:val="21"/>
        </w:rPr>
        <w:t xml:space="preserve">□ </w:t>
      </w:r>
      <w:r>
        <w:rPr>
          <w:rFonts w:hint="eastAsia"/>
          <w:sz w:val="21"/>
          <w:szCs w:val="21"/>
        </w:rPr>
        <w:t>适用</w:t>
      </w:r>
      <w:r>
        <w:rPr>
          <w:sz w:val="21"/>
          <w:szCs w:val="21"/>
        </w:rPr>
        <w:t xml:space="preserve"> √ </w:t>
      </w:r>
      <w:r>
        <w:rPr>
          <w:rFonts w:hint="eastAsia"/>
          <w:sz w:val="21"/>
          <w:szCs w:val="21"/>
        </w:rPr>
        <w:t>不适用</w:t>
      </w:r>
      <w:r>
        <w:rPr>
          <w:sz w:val="21"/>
          <w:szCs w:val="21"/>
        </w:rPr>
        <w:t xml:space="preserve"> </w:t>
      </w:r>
    </w:p>
    <w:p>
      <w:pPr>
        <w:jc w:val="left"/>
        <w:rPr>
          <w:sz w:val="21"/>
          <w:szCs w:val="21"/>
        </w:rPr>
      </w:pPr>
      <w:r>
        <w:rPr>
          <w:rFonts w:hint="eastAsia"/>
          <w:sz w:val="21"/>
          <w:szCs w:val="21"/>
        </w:rPr>
        <w:t>组合中，按账龄分析法计提坏账准备的其他应收款：</w:t>
      </w:r>
    </w:p>
    <w:p>
      <w:pPr>
        <w:jc w:val="left"/>
        <w:rPr>
          <w:sz w:val="21"/>
          <w:szCs w:val="21"/>
        </w:rPr>
      </w:pPr>
      <w:r>
        <w:rPr>
          <w:sz w:val="21"/>
          <w:szCs w:val="21"/>
        </w:rPr>
        <w:t xml:space="preserve">√ </w:t>
      </w:r>
      <w:r>
        <w:rPr>
          <w:rFonts w:hint="eastAsia"/>
          <w:sz w:val="21"/>
          <w:szCs w:val="21"/>
        </w:rPr>
        <w:t>适用</w:t>
      </w:r>
      <w:r>
        <w:rPr>
          <w:sz w:val="21"/>
          <w:szCs w:val="21"/>
        </w:rPr>
        <w:t xml:space="preserve"> □ </w:t>
      </w:r>
      <w:r>
        <w:rPr>
          <w:rFonts w:hint="eastAsia"/>
          <w:sz w:val="21"/>
          <w:szCs w:val="21"/>
        </w:rPr>
        <w:t>不适用</w:t>
      </w:r>
      <w:r>
        <w:rPr>
          <w:sz w:val="21"/>
          <w:szCs w:val="21"/>
        </w:rPr>
        <w:t xml:space="preserve"> </w:t>
      </w:r>
    </w:p>
    <w:tbl>
      <w:tblPr>
        <w:tblStyle w:val="8"/>
        <w:tblW w:w="9568" w:type="dxa"/>
        <w:tblInd w:w="28" w:type="dxa"/>
        <w:tblLayout w:type="fixed"/>
        <w:tblCellMar>
          <w:top w:w="0" w:type="dxa"/>
          <w:left w:w="28" w:type="dxa"/>
          <w:bottom w:w="0" w:type="dxa"/>
          <w:right w:w="28" w:type="dxa"/>
        </w:tblCellMar>
      </w:tblPr>
      <w:tblGrid>
        <w:gridCol w:w="2391"/>
        <w:gridCol w:w="2393"/>
        <w:gridCol w:w="2392"/>
        <w:gridCol w:w="2392"/>
      </w:tblGrid>
      <w:tr>
        <w:tblPrEx>
          <w:tblLayout w:type="fixed"/>
          <w:tblCellMar>
            <w:top w:w="0" w:type="dxa"/>
            <w:left w:w="28" w:type="dxa"/>
            <w:bottom w:w="0" w:type="dxa"/>
            <w:right w:w="28" w:type="dxa"/>
          </w:tblCellMar>
        </w:tblPrEx>
        <w:tc>
          <w:tcPr>
            <w:tcW w:w="2391"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账龄</w:t>
            </w:r>
          </w:p>
        </w:tc>
        <w:tc>
          <w:tcPr>
            <w:tcW w:w="7177" w:type="dxa"/>
            <w:gridSpan w:val="3"/>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r>
      <w:tr>
        <w:tblPrEx>
          <w:tblLayout w:type="fixed"/>
          <w:tblCellMar>
            <w:top w:w="0" w:type="dxa"/>
            <w:left w:w="28" w:type="dxa"/>
            <w:bottom w:w="0" w:type="dxa"/>
            <w:right w:w="28" w:type="dxa"/>
          </w:tblCellMar>
        </w:tblPrEx>
        <w:tc>
          <w:tcPr>
            <w:tcW w:w="2391"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239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其他应收款</w:t>
            </w:r>
          </w:p>
        </w:tc>
        <w:tc>
          <w:tcPr>
            <w:tcW w:w="239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坏账准备</w:t>
            </w:r>
          </w:p>
        </w:tc>
        <w:tc>
          <w:tcPr>
            <w:tcW w:w="239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计提比例</w:t>
            </w:r>
          </w:p>
        </w:tc>
      </w:tr>
      <w:tr>
        <w:tblPrEx>
          <w:tblLayout w:type="fixed"/>
          <w:tblCellMar>
            <w:top w:w="0" w:type="dxa"/>
            <w:left w:w="28" w:type="dxa"/>
            <w:bottom w:w="0" w:type="dxa"/>
            <w:right w:w="28" w:type="dxa"/>
          </w:tblCellMar>
        </w:tblPrEx>
        <w:tc>
          <w:tcPr>
            <w:tcW w:w="9568" w:type="dxa"/>
            <w:gridSpan w:val="4"/>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1</w:t>
            </w:r>
            <w:r>
              <w:rPr>
                <w:rFonts w:hint="eastAsia"/>
                <w:sz w:val="21"/>
                <w:szCs w:val="21"/>
              </w:rPr>
              <w:t>年以内分项</w:t>
            </w:r>
          </w:p>
        </w:tc>
      </w:tr>
      <w:tr>
        <w:tblPrEx>
          <w:tblLayout w:type="fixed"/>
          <w:tblCellMar>
            <w:top w:w="0" w:type="dxa"/>
            <w:left w:w="28" w:type="dxa"/>
            <w:bottom w:w="0" w:type="dxa"/>
            <w:right w:w="28" w:type="dxa"/>
          </w:tblCellMar>
        </w:tblPrEx>
        <w:tc>
          <w:tcPr>
            <w:tcW w:w="239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p>
        </w:tc>
        <w:tc>
          <w:tcPr>
            <w:tcW w:w="23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391"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1</w:t>
            </w:r>
            <w:r>
              <w:rPr>
                <w:rFonts w:hint="eastAsia"/>
                <w:sz w:val="21"/>
                <w:szCs w:val="21"/>
              </w:rPr>
              <w:t>年以内小计</w:t>
            </w:r>
          </w:p>
        </w:tc>
        <w:tc>
          <w:tcPr>
            <w:tcW w:w="23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18,070,347.47</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903,496.01</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5.00%</w:t>
            </w:r>
          </w:p>
        </w:tc>
      </w:tr>
      <w:tr>
        <w:tblPrEx>
          <w:tblLayout w:type="fixed"/>
          <w:tblCellMar>
            <w:top w:w="0" w:type="dxa"/>
            <w:left w:w="28" w:type="dxa"/>
            <w:bottom w:w="0" w:type="dxa"/>
            <w:right w:w="28" w:type="dxa"/>
          </w:tblCellMar>
        </w:tblPrEx>
        <w:tc>
          <w:tcPr>
            <w:tcW w:w="2391"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1</w:t>
            </w:r>
            <w:r>
              <w:rPr>
                <w:rFonts w:hint="eastAsia"/>
                <w:sz w:val="21"/>
                <w:szCs w:val="21"/>
              </w:rPr>
              <w:t>至</w:t>
            </w:r>
            <w:r>
              <w:rPr>
                <w:sz w:val="21"/>
                <w:szCs w:val="21"/>
              </w:rPr>
              <w:t>2</w:t>
            </w:r>
            <w:r>
              <w:rPr>
                <w:rFonts w:hint="eastAsia"/>
                <w:sz w:val="21"/>
                <w:szCs w:val="21"/>
              </w:rPr>
              <w:t>年</w:t>
            </w:r>
          </w:p>
        </w:tc>
        <w:tc>
          <w:tcPr>
            <w:tcW w:w="23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12,902,291.52</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1,290,229.15</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10.00%</w:t>
            </w:r>
          </w:p>
        </w:tc>
      </w:tr>
      <w:tr>
        <w:tblPrEx>
          <w:tblLayout w:type="fixed"/>
          <w:tblCellMar>
            <w:top w:w="0" w:type="dxa"/>
            <w:left w:w="28" w:type="dxa"/>
            <w:bottom w:w="0" w:type="dxa"/>
            <w:right w:w="28" w:type="dxa"/>
          </w:tblCellMar>
        </w:tblPrEx>
        <w:tc>
          <w:tcPr>
            <w:tcW w:w="2391"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2</w:t>
            </w:r>
            <w:r>
              <w:rPr>
                <w:rFonts w:hint="eastAsia"/>
                <w:sz w:val="21"/>
                <w:szCs w:val="21"/>
              </w:rPr>
              <w:t>至</w:t>
            </w:r>
            <w:r>
              <w:rPr>
                <w:sz w:val="21"/>
                <w:szCs w:val="21"/>
              </w:rPr>
              <w:t>3</w:t>
            </w:r>
            <w:r>
              <w:rPr>
                <w:rFonts w:hint="eastAsia"/>
                <w:sz w:val="21"/>
                <w:szCs w:val="21"/>
              </w:rPr>
              <w:t>年</w:t>
            </w:r>
          </w:p>
        </w:tc>
        <w:tc>
          <w:tcPr>
            <w:tcW w:w="23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1,025,994.09</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307,798.22</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30.00%</w:t>
            </w:r>
          </w:p>
        </w:tc>
      </w:tr>
      <w:tr>
        <w:tblPrEx>
          <w:tblLayout w:type="fixed"/>
          <w:tblCellMar>
            <w:top w:w="0" w:type="dxa"/>
            <w:left w:w="28" w:type="dxa"/>
            <w:bottom w:w="0" w:type="dxa"/>
            <w:right w:w="28" w:type="dxa"/>
          </w:tblCellMar>
        </w:tblPrEx>
        <w:tc>
          <w:tcPr>
            <w:tcW w:w="2391"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3</w:t>
            </w:r>
            <w:r>
              <w:rPr>
                <w:rFonts w:hint="eastAsia"/>
                <w:sz w:val="21"/>
                <w:szCs w:val="21"/>
              </w:rPr>
              <w:t>年以上</w:t>
            </w:r>
          </w:p>
        </w:tc>
        <w:tc>
          <w:tcPr>
            <w:tcW w:w="23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391"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3</w:t>
            </w:r>
            <w:r>
              <w:rPr>
                <w:rFonts w:hint="eastAsia"/>
                <w:sz w:val="21"/>
                <w:szCs w:val="21"/>
              </w:rPr>
              <w:t>至</w:t>
            </w:r>
            <w:r>
              <w:rPr>
                <w:sz w:val="21"/>
                <w:szCs w:val="21"/>
              </w:rPr>
              <w:t>4</w:t>
            </w:r>
            <w:r>
              <w:rPr>
                <w:rFonts w:hint="eastAsia"/>
                <w:sz w:val="21"/>
                <w:szCs w:val="21"/>
              </w:rPr>
              <w:t>年</w:t>
            </w:r>
          </w:p>
        </w:tc>
        <w:tc>
          <w:tcPr>
            <w:tcW w:w="23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535,538.00</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267,769.00</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50.00%</w:t>
            </w:r>
          </w:p>
        </w:tc>
      </w:tr>
      <w:tr>
        <w:tblPrEx>
          <w:tblLayout w:type="fixed"/>
          <w:tblCellMar>
            <w:top w:w="0" w:type="dxa"/>
            <w:left w:w="28" w:type="dxa"/>
            <w:bottom w:w="0" w:type="dxa"/>
            <w:right w:w="28" w:type="dxa"/>
          </w:tblCellMar>
        </w:tblPrEx>
        <w:tc>
          <w:tcPr>
            <w:tcW w:w="2391"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4</w:t>
            </w:r>
            <w:r>
              <w:rPr>
                <w:rFonts w:hint="eastAsia"/>
                <w:sz w:val="21"/>
                <w:szCs w:val="21"/>
              </w:rPr>
              <w:t>至</w:t>
            </w:r>
            <w:r>
              <w:rPr>
                <w:sz w:val="21"/>
                <w:szCs w:val="21"/>
              </w:rPr>
              <w:t>5</w:t>
            </w:r>
            <w:r>
              <w:rPr>
                <w:rFonts w:hint="eastAsia"/>
                <w:sz w:val="21"/>
                <w:szCs w:val="21"/>
              </w:rPr>
              <w:t>年</w:t>
            </w:r>
          </w:p>
        </w:tc>
        <w:tc>
          <w:tcPr>
            <w:tcW w:w="23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80.00%</w:t>
            </w:r>
          </w:p>
        </w:tc>
      </w:tr>
      <w:tr>
        <w:tblPrEx>
          <w:tblLayout w:type="fixed"/>
          <w:tblCellMar>
            <w:top w:w="0" w:type="dxa"/>
            <w:left w:w="28" w:type="dxa"/>
            <w:bottom w:w="0" w:type="dxa"/>
            <w:right w:w="28" w:type="dxa"/>
          </w:tblCellMar>
        </w:tblPrEx>
        <w:tc>
          <w:tcPr>
            <w:tcW w:w="2391"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5</w:t>
            </w:r>
            <w:r>
              <w:rPr>
                <w:rFonts w:hint="eastAsia"/>
                <w:sz w:val="21"/>
                <w:szCs w:val="21"/>
              </w:rPr>
              <w:t>年以上</w:t>
            </w:r>
          </w:p>
        </w:tc>
        <w:tc>
          <w:tcPr>
            <w:tcW w:w="23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323,589.91</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323,589.91</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100.00%</w:t>
            </w:r>
          </w:p>
        </w:tc>
      </w:tr>
      <w:tr>
        <w:tblPrEx>
          <w:tblLayout w:type="fixed"/>
          <w:tblCellMar>
            <w:top w:w="0" w:type="dxa"/>
            <w:left w:w="28" w:type="dxa"/>
            <w:bottom w:w="0" w:type="dxa"/>
            <w:right w:w="28" w:type="dxa"/>
          </w:tblCellMar>
        </w:tblPrEx>
        <w:tc>
          <w:tcPr>
            <w:tcW w:w="2391"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23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32,857,760.99</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3,092,882.29</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bl>
    <w:p>
      <w:pPr>
        <w:jc w:val="left"/>
        <w:rPr>
          <w:sz w:val="21"/>
          <w:szCs w:val="21"/>
        </w:rPr>
      </w:pPr>
      <w:r>
        <w:rPr>
          <w:rFonts w:hint="eastAsia"/>
          <w:sz w:val="21"/>
          <w:szCs w:val="21"/>
        </w:rPr>
        <w:t>组合中，采用余额百分比法计提坏账准备的其他应收款：</w:t>
      </w:r>
    </w:p>
    <w:p>
      <w:pPr>
        <w:jc w:val="left"/>
        <w:rPr>
          <w:sz w:val="21"/>
          <w:szCs w:val="21"/>
        </w:rPr>
      </w:pPr>
      <w:r>
        <w:rPr>
          <w:sz w:val="21"/>
          <w:szCs w:val="21"/>
        </w:rPr>
        <w:t xml:space="preserve">□ </w:t>
      </w:r>
      <w:r>
        <w:rPr>
          <w:rFonts w:hint="eastAsia"/>
          <w:sz w:val="21"/>
          <w:szCs w:val="21"/>
        </w:rPr>
        <w:t>适用</w:t>
      </w:r>
      <w:r>
        <w:rPr>
          <w:sz w:val="21"/>
          <w:szCs w:val="21"/>
        </w:rPr>
        <w:t xml:space="preserve"> √ </w:t>
      </w:r>
      <w:r>
        <w:rPr>
          <w:rFonts w:hint="eastAsia"/>
          <w:sz w:val="21"/>
          <w:szCs w:val="21"/>
        </w:rPr>
        <w:t>不适用</w:t>
      </w:r>
      <w:r>
        <w:rPr>
          <w:sz w:val="21"/>
          <w:szCs w:val="21"/>
        </w:rPr>
        <w:t xml:space="preserve"> </w:t>
      </w:r>
    </w:p>
    <w:p>
      <w:pPr>
        <w:jc w:val="left"/>
        <w:rPr>
          <w:sz w:val="21"/>
          <w:szCs w:val="21"/>
        </w:rPr>
      </w:pPr>
      <w:r>
        <w:rPr>
          <w:rFonts w:hint="eastAsia"/>
          <w:sz w:val="21"/>
          <w:szCs w:val="21"/>
        </w:rPr>
        <w:t>组合中，采用其他方法计提坏账准备的其他应收款：</w:t>
      </w:r>
    </w:p>
    <w:p>
      <w:pPr>
        <w:jc w:val="left"/>
        <w:rPr>
          <w:sz w:val="21"/>
          <w:szCs w:val="21"/>
        </w:rPr>
      </w:pPr>
      <w:r>
        <w:rPr>
          <w:sz w:val="21"/>
          <w:szCs w:val="21"/>
        </w:rPr>
        <w:t xml:space="preserve">√ </w:t>
      </w:r>
      <w:r>
        <w:rPr>
          <w:rFonts w:hint="eastAsia"/>
          <w:sz w:val="21"/>
          <w:szCs w:val="21"/>
        </w:rPr>
        <w:t>适用</w:t>
      </w:r>
      <w:r>
        <w:rPr>
          <w:sz w:val="21"/>
          <w:szCs w:val="21"/>
        </w:rPr>
        <w:t xml:space="preserve"> □ </w:t>
      </w:r>
      <w:r>
        <w:rPr>
          <w:rFonts w:hint="eastAsia"/>
          <w:sz w:val="21"/>
          <w:szCs w:val="21"/>
        </w:rPr>
        <w:t>不适用</w:t>
      </w:r>
      <w:r>
        <w:rPr>
          <w:sz w:val="21"/>
          <w:szCs w:val="21"/>
        </w:rPr>
        <w:t xml:space="preserve"> </w:t>
      </w:r>
    </w:p>
    <w:tbl>
      <w:tblPr>
        <w:tblStyle w:val="8"/>
        <w:tblW w:w="8523" w:type="dxa"/>
        <w:tblInd w:w="10" w:type="dxa"/>
        <w:tblBorders>
          <w:top w:val="single" w:color="auto" w:sz="6" w:space="0"/>
          <w:left w:val="single" w:color="auto" w:sz="6" w:space="0"/>
          <w:bottom w:val="single" w:color="auto" w:sz="8" w:space="0"/>
          <w:right w:val="none" w:color="auto" w:sz="0" w:space="0"/>
          <w:insideH w:val="single" w:color="auto" w:sz="6" w:space="0"/>
          <w:insideV w:val="single" w:color="auto" w:sz="6" w:space="0"/>
        </w:tblBorders>
        <w:tblLayout w:type="fixed"/>
        <w:tblCellMar>
          <w:top w:w="10" w:type="dxa"/>
          <w:left w:w="10" w:type="dxa"/>
          <w:bottom w:w="10" w:type="dxa"/>
          <w:right w:w="10" w:type="dxa"/>
        </w:tblCellMar>
      </w:tblPr>
      <w:tblGrid>
        <w:gridCol w:w="2876"/>
        <w:gridCol w:w="2814"/>
        <w:gridCol w:w="2833"/>
      </w:tblGrid>
      <w:tr>
        <w:tblPrEx>
          <w:tblBorders>
            <w:top w:val="single" w:color="auto" w:sz="6" w:space="0"/>
            <w:left w:val="single" w:color="auto" w:sz="6" w:space="0"/>
            <w:bottom w:val="single" w:color="auto" w:sz="8" w:space="0"/>
            <w:right w:val="none" w:color="auto" w:sz="0" w:space="0"/>
            <w:insideH w:val="single" w:color="auto" w:sz="6" w:space="0"/>
            <w:insideV w:val="single" w:color="auto" w:sz="6" w:space="0"/>
          </w:tblBorders>
          <w:tblLayout w:type="fixed"/>
          <w:tblCellMar>
            <w:top w:w="10" w:type="dxa"/>
            <w:left w:w="10" w:type="dxa"/>
            <w:bottom w:w="10" w:type="dxa"/>
            <w:right w:w="10" w:type="dxa"/>
          </w:tblCellMar>
        </w:tblPrEx>
        <w:tc>
          <w:tcPr>
            <w:tcW w:w="2876" w:type="dxa"/>
            <w:tcBorders>
              <w:bottom w:val="single" w:color="auto" w:sz="8" w:space="0"/>
              <w:right w:val="nil"/>
            </w:tcBorders>
          </w:tcPr>
          <w:p>
            <w:pPr>
              <w:autoSpaceDE w:val="0"/>
              <w:autoSpaceDN w:val="0"/>
              <w:adjustRightInd w:val="0"/>
              <w:spacing w:before="0" w:after="0"/>
              <w:rPr>
                <w:rFonts w:eastAsia="Times New Roman"/>
                <w:b/>
                <w:kern w:val="0"/>
                <w:sz w:val="21"/>
                <w:szCs w:val="21"/>
                <w:lang w:val="zh-CN"/>
              </w:rPr>
            </w:pPr>
            <w:r>
              <w:rPr>
                <w:rFonts w:hint="eastAsia" w:ascii="宋体" w:hAnsi="宋体" w:cs="宋体"/>
                <w:b/>
                <w:kern w:val="0"/>
                <w:sz w:val="21"/>
                <w:szCs w:val="21"/>
                <w:lang w:val="zh-CN"/>
              </w:rPr>
              <w:t>组合名称</w:t>
            </w:r>
          </w:p>
        </w:tc>
        <w:tc>
          <w:tcPr>
            <w:tcW w:w="2814" w:type="dxa"/>
            <w:tcBorders>
              <w:bottom w:val="single" w:color="auto" w:sz="8" w:space="0"/>
              <w:right w:val="nil"/>
            </w:tcBorders>
          </w:tcPr>
          <w:p>
            <w:pPr>
              <w:autoSpaceDE w:val="0"/>
              <w:autoSpaceDN w:val="0"/>
              <w:adjustRightInd w:val="0"/>
              <w:spacing w:before="0" w:after="0"/>
              <w:jc w:val="center"/>
              <w:rPr>
                <w:rFonts w:eastAsia="Times New Roman"/>
                <w:b/>
                <w:kern w:val="0"/>
                <w:sz w:val="21"/>
                <w:szCs w:val="21"/>
                <w:lang w:val="zh-CN"/>
              </w:rPr>
            </w:pPr>
            <w:r>
              <w:rPr>
                <w:rFonts w:hint="eastAsia" w:ascii="宋体" w:hAnsi="宋体" w:cs="宋体"/>
                <w:b/>
                <w:kern w:val="0"/>
                <w:sz w:val="21"/>
                <w:szCs w:val="21"/>
                <w:lang w:val="zh-CN"/>
              </w:rPr>
              <w:t>账面余额</w:t>
            </w:r>
          </w:p>
        </w:tc>
        <w:tc>
          <w:tcPr>
            <w:tcW w:w="2833" w:type="dxa"/>
            <w:tcBorders>
              <w:bottom w:val="single" w:color="auto" w:sz="8" w:space="0"/>
              <w:right w:val="nil"/>
            </w:tcBorders>
          </w:tcPr>
          <w:p>
            <w:pPr>
              <w:autoSpaceDE w:val="0"/>
              <w:autoSpaceDN w:val="0"/>
              <w:adjustRightInd w:val="0"/>
              <w:spacing w:before="0" w:after="0"/>
              <w:jc w:val="center"/>
              <w:rPr>
                <w:rFonts w:eastAsia="Times New Roman"/>
                <w:b/>
                <w:kern w:val="0"/>
                <w:sz w:val="21"/>
                <w:szCs w:val="21"/>
                <w:lang w:val="zh-CN"/>
              </w:rPr>
            </w:pPr>
            <w:r>
              <w:rPr>
                <w:rFonts w:hint="eastAsia" w:ascii="宋体" w:hAnsi="宋体" w:cs="宋体"/>
                <w:b/>
                <w:kern w:val="0"/>
                <w:sz w:val="21"/>
                <w:szCs w:val="21"/>
                <w:lang w:val="zh-CN"/>
              </w:rPr>
              <w:t>坏账金额</w:t>
            </w:r>
          </w:p>
        </w:tc>
      </w:tr>
      <w:tr>
        <w:tblPrEx>
          <w:tblBorders>
            <w:top w:val="single" w:color="auto" w:sz="6" w:space="0"/>
            <w:left w:val="single" w:color="auto" w:sz="6" w:space="0"/>
            <w:bottom w:val="single" w:color="auto" w:sz="8" w:space="0"/>
            <w:right w:val="none" w:color="auto" w:sz="0" w:space="0"/>
            <w:insideH w:val="single" w:color="auto" w:sz="6" w:space="0"/>
            <w:insideV w:val="single" w:color="auto" w:sz="6" w:space="0"/>
          </w:tblBorders>
          <w:tblLayout w:type="fixed"/>
          <w:tblCellMar>
            <w:top w:w="10" w:type="dxa"/>
            <w:left w:w="10" w:type="dxa"/>
            <w:bottom w:w="10" w:type="dxa"/>
            <w:right w:w="10" w:type="dxa"/>
          </w:tblCellMar>
        </w:tblPrEx>
        <w:tc>
          <w:tcPr>
            <w:tcW w:w="2876" w:type="dxa"/>
            <w:tcBorders>
              <w:bottom w:val="single" w:color="auto" w:sz="8" w:space="0"/>
              <w:right w:val="nil"/>
            </w:tcBorders>
          </w:tcPr>
          <w:p>
            <w:pPr>
              <w:autoSpaceDE w:val="0"/>
              <w:autoSpaceDN w:val="0"/>
              <w:adjustRightInd w:val="0"/>
              <w:spacing w:before="0" w:after="0"/>
              <w:jc w:val="left"/>
              <w:rPr>
                <w:rFonts w:eastAsia="Times New Roman"/>
                <w:kern w:val="0"/>
                <w:sz w:val="21"/>
                <w:szCs w:val="21"/>
                <w:lang w:val="zh-CN"/>
              </w:rPr>
            </w:pPr>
            <w:r>
              <w:rPr>
                <w:rFonts w:hint="eastAsia" w:ascii="宋体" w:hAnsi="宋体" w:cs="宋体"/>
                <w:kern w:val="0"/>
                <w:sz w:val="21"/>
                <w:szCs w:val="21"/>
                <w:lang w:val="zh-CN"/>
              </w:rPr>
              <w:t>与交易对象关系组合</w:t>
            </w:r>
          </w:p>
        </w:tc>
        <w:tc>
          <w:tcPr>
            <w:tcW w:w="2814" w:type="dxa"/>
            <w:tcBorders>
              <w:bottom w:val="single" w:color="auto" w:sz="8" w:space="0"/>
              <w:right w:val="nil"/>
            </w:tcBorders>
          </w:tcPr>
          <w:p>
            <w:pPr>
              <w:autoSpaceDE w:val="0"/>
              <w:autoSpaceDN w:val="0"/>
              <w:adjustRightInd w:val="0"/>
              <w:spacing w:before="0" w:after="0"/>
              <w:jc w:val="right"/>
              <w:rPr>
                <w:rFonts w:eastAsia="Times New Roman"/>
                <w:kern w:val="0"/>
                <w:sz w:val="21"/>
                <w:szCs w:val="21"/>
                <w:lang w:val="zh-CN"/>
              </w:rPr>
            </w:pPr>
            <w:r>
              <w:rPr>
                <w:rFonts w:eastAsia="Times New Roman"/>
                <w:kern w:val="0"/>
                <w:sz w:val="21"/>
                <w:szCs w:val="21"/>
                <w:lang w:val="en-GB"/>
              </w:rPr>
              <w:t>11,503,518.73</w:t>
            </w:r>
          </w:p>
        </w:tc>
        <w:tc>
          <w:tcPr>
            <w:tcW w:w="2833" w:type="dxa"/>
            <w:tcBorders>
              <w:bottom w:val="single" w:color="auto" w:sz="8" w:space="0"/>
              <w:right w:val="nil"/>
            </w:tcBorders>
          </w:tcPr>
          <w:p>
            <w:pPr>
              <w:autoSpaceDE w:val="0"/>
              <w:autoSpaceDN w:val="0"/>
              <w:adjustRightInd w:val="0"/>
              <w:spacing w:before="0" w:after="0"/>
              <w:jc w:val="right"/>
              <w:rPr>
                <w:rFonts w:eastAsia="Times New Roman"/>
                <w:b/>
                <w:kern w:val="0"/>
                <w:sz w:val="21"/>
                <w:szCs w:val="21"/>
                <w:lang w:val="zh-CN"/>
              </w:rPr>
            </w:pPr>
          </w:p>
        </w:tc>
      </w:tr>
      <w:tr>
        <w:tblPrEx>
          <w:tblBorders>
            <w:top w:val="single" w:color="auto" w:sz="6" w:space="0"/>
            <w:left w:val="single" w:color="auto" w:sz="6" w:space="0"/>
            <w:bottom w:val="single" w:color="auto" w:sz="8" w:space="0"/>
            <w:right w:val="none" w:color="auto" w:sz="0" w:space="0"/>
            <w:insideH w:val="single" w:color="auto" w:sz="6" w:space="0"/>
            <w:insideV w:val="single" w:color="auto" w:sz="6" w:space="0"/>
          </w:tblBorders>
          <w:tblLayout w:type="fixed"/>
          <w:tblCellMar>
            <w:top w:w="10" w:type="dxa"/>
            <w:left w:w="10" w:type="dxa"/>
            <w:bottom w:w="10" w:type="dxa"/>
            <w:right w:w="10" w:type="dxa"/>
          </w:tblCellMar>
        </w:tblPrEx>
        <w:tc>
          <w:tcPr>
            <w:tcW w:w="2876" w:type="dxa"/>
            <w:tcBorders>
              <w:bottom w:val="single" w:color="auto" w:sz="8" w:space="0"/>
              <w:right w:val="nil"/>
            </w:tcBorders>
          </w:tcPr>
          <w:p>
            <w:pPr>
              <w:autoSpaceDE w:val="0"/>
              <w:autoSpaceDN w:val="0"/>
              <w:adjustRightInd w:val="0"/>
              <w:spacing w:before="0" w:after="0"/>
              <w:jc w:val="left"/>
              <w:rPr>
                <w:rFonts w:eastAsia="Times New Roman"/>
                <w:kern w:val="0"/>
                <w:sz w:val="21"/>
                <w:szCs w:val="21"/>
                <w:lang w:val="zh-CN"/>
              </w:rPr>
            </w:pPr>
            <w:r>
              <w:rPr>
                <w:rFonts w:hint="eastAsia" w:ascii="宋体" w:hAnsi="宋体" w:cs="宋体"/>
                <w:kern w:val="0"/>
                <w:sz w:val="21"/>
                <w:szCs w:val="21"/>
                <w:lang w:val="zh-CN"/>
              </w:rPr>
              <w:t>款项性质组合</w:t>
            </w:r>
            <w:r>
              <w:rPr>
                <w:rFonts w:eastAsia="Times New Roman"/>
                <w:kern w:val="0"/>
                <w:sz w:val="21"/>
                <w:szCs w:val="21"/>
                <w:lang w:val="en-GB"/>
              </w:rPr>
              <w:t xml:space="preserve">  </w:t>
            </w:r>
          </w:p>
        </w:tc>
        <w:tc>
          <w:tcPr>
            <w:tcW w:w="2814" w:type="dxa"/>
            <w:tcBorders>
              <w:bottom w:val="single" w:color="auto" w:sz="8" w:space="0"/>
              <w:right w:val="nil"/>
            </w:tcBorders>
          </w:tcPr>
          <w:p>
            <w:pPr>
              <w:autoSpaceDE w:val="0"/>
              <w:autoSpaceDN w:val="0"/>
              <w:adjustRightInd w:val="0"/>
              <w:spacing w:before="0" w:after="0"/>
              <w:jc w:val="right"/>
              <w:rPr>
                <w:rFonts w:eastAsia="Times New Roman"/>
                <w:kern w:val="0"/>
                <w:sz w:val="21"/>
                <w:szCs w:val="21"/>
                <w:lang w:val="zh-CN"/>
              </w:rPr>
            </w:pPr>
            <w:r>
              <w:rPr>
                <w:rFonts w:eastAsia="Times New Roman"/>
                <w:kern w:val="0"/>
                <w:sz w:val="21"/>
                <w:szCs w:val="21"/>
                <w:lang w:val="en-GB"/>
              </w:rPr>
              <w:t>5,383,764.41</w:t>
            </w:r>
          </w:p>
        </w:tc>
        <w:tc>
          <w:tcPr>
            <w:tcW w:w="2833" w:type="dxa"/>
            <w:tcBorders>
              <w:bottom w:val="single" w:color="auto" w:sz="8" w:space="0"/>
              <w:right w:val="nil"/>
            </w:tcBorders>
          </w:tcPr>
          <w:p>
            <w:pPr>
              <w:autoSpaceDE w:val="0"/>
              <w:autoSpaceDN w:val="0"/>
              <w:adjustRightInd w:val="0"/>
              <w:spacing w:before="0" w:after="0"/>
              <w:jc w:val="right"/>
              <w:rPr>
                <w:rFonts w:eastAsia="Times New Roman"/>
                <w:b/>
                <w:kern w:val="0"/>
                <w:sz w:val="21"/>
                <w:szCs w:val="21"/>
                <w:lang w:val="zh-CN"/>
              </w:rPr>
            </w:pPr>
          </w:p>
        </w:tc>
      </w:tr>
      <w:tr>
        <w:tblPrEx>
          <w:tblBorders>
            <w:top w:val="single" w:color="auto" w:sz="6" w:space="0"/>
            <w:left w:val="single" w:color="auto" w:sz="6" w:space="0"/>
            <w:bottom w:val="single" w:color="auto" w:sz="8" w:space="0"/>
            <w:right w:val="none" w:color="auto" w:sz="0" w:space="0"/>
            <w:insideH w:val="single" w:color="auto" w:sz="6" w:space="0"/>
            <w:insideV w:val="single" w:color="auto" w:sz="6" w:space="0"/>
          </w:tblBorders>
          <w:tblLayout w:type="fixed"/>
          <w:tblCellMar>
            <w:top w:w="10" w:type="dxa"/>
            <w:left w:w="10" w:type="dxa"/>
            <w:bottom w:w="10" w:type="dxa"/>
            <w:right w:w="10" w:type="dxa"/>
          </w:tblCellMar>
        </w:tblPrEx>
        <w:tc>
          <w:tcPr>
            <w:tcW w:w="2876" w:type="dxa"/>
            <w:tcBorders>
              <w:bottom w:val="single" w:color="auto" w:sz="8" w:space="0"/>
              <w:right w:val="nil"/>
            </w:tcBorders>
          </w:tcPr>
          <w:p>
            <w:pPr>
              <w:autoSpaceDE w:val="0"/>
              <w:autoSpaceDN w:val="0"/>
              <w:adjustRightInd w:val="0"/>
              <w:spacing w:before="0" w:after="0"/>
              <w:jc w:val="left"/>
              <w:rPr>
                <w:rFonts w:eastAsia="Times New Roman"/>
                <w:b/>
                <w:kern w:val="0"/>
                <w:sz w:val="21"/>
                <w:szCs w:val="21"/>
                <w:lang w:val="zh-CN"/>
              </w:rPr>
            </w:pPr>
          </w:p>
        </w:tc>
        <w:tc>
          <w:tcPr>
            <w:tcW w:w="2814" w:type="dxa"/>
            <w:tcBorders>
              <w:bottom w:val="single" w:color="auto" w:sz="8" w:space="0"/>
              <w:right w:val="nil"/>
            </w:tcBorders>
          </w:tcPr>
          <w:p>
            <w:pPr>
              <w:autoSpaceDE w:val="0"/>
              <w:autoSpaceDN w:val="0"/>
              <w:adjustRightInd w:val="0"/>
              <w:spacing w:before="0" w:after="0"/>
              <w:jc w:val="right"/>
              <w:rPr>
                <w:rFonts w:eastAsia="Times New Roman"/>
                <w:b/>
                <w:kern w:val="0"/>
                <w:sz w:val="21"/>
                <w:szCs w:val="21"/>
                <w:lang w:val="zh-CN"/>
              </w:rPr>
            </w:pPr>
            <w:r>
              <w:rPr>
                <w:rFonts w:eastAsia="Times New Roman"/>
                <w:b/>
                <w:kern w:val="0"/>
                <w:sz w:val="21"/>
                <w:szCs w:val="21"/>
                <w:lang w:val="en-GB"/>
              </w:rPr>
              <w:t>16,887,283.14</w:t>
            </w:r>
          </w:p>
        </w:tc>
        <w:tc>
          <w:tcPr>
            <w:tcW w:w="2833" w:type="dxa"/>
            <w:tcBorders>
              <w:bottom w:val="single" w:color="auto" w:sz="8" w:space="0"/>
              <w:right w:val="nil"/>
            </w:tcBorders>
          </w:tcPr>
          <w:p>
            <w:pPr>
              <w:autoSpaceDE w:val="0"/>
              <w:autoSpaceDN w:val="0"/>
              <w:adjustRightInd w:val="0"/>
              <w:spacing w:before="0" w:after="0"/>
              <w:jc w:val="right"/>
              <w:rPr>
                <w:rFonts w:eastAsia="Times New Roman"/>
                <w:b/>
                <w:kern w:val="0"/>
                <w:sz w:val="21"/>
                <w:szCs w:val="21"/>
                <w:lang w:val="zh-CN"/>
              </w:rPr>
            </w:pPr>
          </w:p>
        </w:tc>
      </w:tr>
    </w:tbl>
    <w:p>
      <w:pPr>
        <w:autoSpaceDE w:val="0"/>
        <w:autoSpaceDN w:val="0"/>
        <w:adjustRightInd w:val="0"/>
        <w:spacing w:before="0" w:after="0"/>
        <w:jc w:val="left"/>
        <w:rPr>
          <w:rFonts w:eastAsia="Times New Roman"/>
          <w:kern w:val="0"/>
          <w:szCs w:val="24"/>
          <w:lang w:val="zh-CN"/>
        </w:rPr>
      </w:pPr>
    </w:p>
    <w:p>
      <w:pPr>
        <w:pStyle w:val="11"/>
        <w:outlineLvl w:val="3"/>
        <w:rPr>
          <w:bCs w:val="0"/>
          <w:szCs w:val="24"/>
        </w:rPr>
      </w:pPr>
      <w:r>
        <w:rPr>
          <w:rFonts w:hint="eastAsia"/>
          <w:bCs w:val="0"/>
          <w:szCs w:val="24"/>
        </w:rPr>
        <w:t>（</w:t>
      </w:r>
      <w:r>
        <w:rPr>
          <w:bCs w:val="0"/>
          <w:szCs w:val="24"/>
        </w:rPr>
        <w:t>2</w:t>
      </w:r>
      <w:r>
        <w:rPr>
          <w:rFonts w:hint="eastAsia"/>
          <w:bCs w:val="0"/>
          <w:szCs w:val="24"/>
        </w:rPr>
        <w:t>）本期计提、收回或转回的坏账准备情况</w:t>
      </w:r>
    </w:p>
    <w:p>
      <w:pPr>
        <w:autoSpaceDE w:val="0"/>
        <w:autoSpaceDN w:val="0"/>
        <w:adjustRightInd w:val="0"/>
        <w:spacing w:before="240" w:after="0"/>
        <w:ind w:firstLine="440"/>
        <w:rPr>
          <w:rFonts w:ascii="宋体" w:cs="宋体"/>
          <w:kern w:val="0"/>
          <w:sz w:val="21"/>
          <w:szCs w:val="21"/>
          <w:lang w:val="zh-CN"/>
        </w:rPr>
      </w:pPr>
      <w:r>
        <w:rPr>
          <w:rFonts w:hint="eastAsia" w:ascii="宋体" w:hAnsi="宋体" w:cs="宋体"/>
          <w:kern w:val="0"/>
          <w:sz w:val="21"/>
          <w:szCs w:val="21"/>
          <w:lang w:val="zh-CN"/>
        </w:rPr>
        <w:t>本期计提坏账准备金额</w:t>
      </w:r>
      <w:r>
        <w:rPr>
          <w:rFonts w:ascii="宋体" w:hAnsi="宋体" w:cs="宋体"/>
          <w:kern w:val="0"/>
          <w:sz w:val="21"/>
          <w:szCs w:val="21"/>
          <w:lang w:val="zh-CN"/>
        </w:rPr>
        <w:t>1,475,168.84</w:t>
      </w:r>
      <w:r>
        <w:rPr>
          <w:rFonts w:hint="eastAsia" w:ascii="宋体" w:hAnsi="宋体" w:cs="宋体"/>
          <w:kern w:val="0"/>
          <w:sz w:val="21"/>
          <w:szCs w:val="21"/>
          <w:lang w:val="zh-CN"/>
        </w:rPr>
        <w:t>元；本期收回或转回坏账准备金额</w:t>
      </w:r>
      <w:r>
        <w:rPr>
          <w:rFonts w:ascii="宋体" w:cs="宋体"/>
          <w:kern w:val="0"/>
          <w:sz w:val="21"/>
          <w:szCs w:val="21"/>
          <w:lang w:val="zh-CN"/>
        </w:rPr>
        <w:t>0.00</w:t>
      </w:r>
      <w:r>
        <w:rPr>
          <w:rFonts w:hint="eastAsia" w:ascii="宋体" w:hAnsi="宋体" w:cs="宋体"/>
          <w:kern w:val="0"/>
          <w:sz w:val="21"/>
          <w:szCs w:val="21"/>
          <w:lang w:val="zh-CN"/>
        </w:rPr>
        <w:t>元。</w:t>
      </w:r>
    </w:p>
    <w:p>
      <w:pPr>
        <w:autoSpaceDE w:val="0"/>
        <w:autoSpaceDN w:val="0"/>
        <w:adjustRightInd w:val="0"/>
        <w:spacing w:before="240" w:after="0"/>
        <w:ind w:firstLine="440"/>
        <w:rPr>
          <w:rFonts w:ascii="宋体" w:cs="宋体"/>
          <w:kern w:val="0"/>
          <w:sz w:val="21"/>
          <w:szCs w:val="21"/>
          <w:lang w:val="zh-CN"/>
        </w:rPr>
      </w:pPr>
      <w:r>
        <w:rPr>
          <w:rFonts w:hint="eastAsia" w:ascii="宋体" w:hAnsi="宋体" w:cs="宋体"/>
          <w:kern w:val="0"/>
          <w:sz w:val="21"/>
          <w:szCs w:val="21"/>
          <w:lang w:val="zh-CN"/>
        </w:rPr>
        <w:t>其中本期坏账准备转回或收回金额重要的：</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569" w:type="dxa"/>
        <w:tblInd w:w="28" w:type="dxa"/>
        <w:tblLayout w:type="fixed"/>
        <w:tblCellMar>
          <w:top w:w="0" w:type="dxa"/>
          <w:left w:w="28" w:type="dxa"/>
          <w:bottom w:w="0" w:type="dxa"/>
          <w:right w:w="28" w:type="dxa"/>
        </w:tblCellMar>
      </w:tblPr>
      <w:tblGrid>
        <w:gridCol w:w="3187"/>
        <w:gridCol w:w="3191"/>
        <w:gridCol w:w="3191"/>
      </w:tblGrid>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单位名称</w:t>
            </w:r>
          </w:p>
        </w:tc>
        <w:tc>
          <w:tcPr>
            <w:tcW w:w="319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转回或收回金额</w:t>
            </w:r>
          </w:p>
        </w:tc>
        <w:tc>
          <w:tcPr>
            <w:tcW w:w="319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收回方式</w:t>
            </w:r>
          </w:p>
        </w:tc>
      </w:tr>
    </w:tbl>
    <w:p>
      <w:pPr>
        <w:autoSpaceDE w:val="0"/>
        <w:autoSpaceDN w:val="0"/>
        <w:adjustRightInd w:val="0"/>
        <w:spacing w:before="0" w:after="0" w:line="360" w:lineRule="auto"/>
        <w:ind w:firstLine="420" w:firstLineChars="200"/>
        <w:jc w:val="left"/>
        <w:rPr>
          <w:rFonts w:ascii="宋体" w:cs="宋体"/>
          <w:kern w:val="0"/>
          <w:sz w:val="21"/>
          <w:szCs w:val="21"/>
        </w:rPr>
      </w:pPr>
      <w:r>
        <w:rPr>
          <w:rFonts w:hint="eastAsia" w:ascii="宋体" w:hAnsi="宋体" w:cs="宋体"/>
          <w:kern w:val="0"/>
          <w:sz w:val="21"/>
          <w:szCs w:val="21"/>
          <w:lang w:val="zh-CN"/>
        </w:rPr>
        <w:t>本年计提坏账准备金额</w:t>
      </w:r>
      <w:r>
        <w:rPr>
          <w:rFonts w:ascii="宋体" w:hAnsi="宋体" w:cs="宋体"/>
          <w:kern w:val="0"/>
          <w:sz w:val="21"/>
          <w:szCs w:val="21"/>
        </w:rPr>
        <w:t>1,475,168.84</w:t>
      </w:r>
      <w:r>
        <w:rPr>
          <w:rFonts w:hint="eastAsia" w:ascii="宋体" w:hAnsi="宋体" w:cs="宋体"/>
          <w:kern w:val="0"/>
          <w:sz w:val="21"/>
          <w:szCs w:val="21"/>
          <w:lang w:val="zh-CN"/>
        </w:rPr>
        <w:t>元</w:t>
      </w:r>
      <w:r>
        <w:rPr>
          <w:rFonts w:hint="eastAsia" w:ascii="宋体" w:hAnsi="宋体" w:cs="宋体"/>
          <w:kern w:val="0"/>
          <w:sz w:val="21"/>
          <w:szCs w:val="21"/>
        </w:rPr>
        <w:t>；</w:t>
      </w:r>
      <w:r>
        <w:rPr>
          <w:rFonts w:hint="eastAsia" w:ascii="宋体" w:hAnsi="宋体" w:cs="宋体"/>
          <w:kern w:val="0"/>
          <w:sz w:val="21"/>
          <w:szCs w:val="21"/>
          <w:lang w:val="zh-CN"/>
        </w:rPr>
        <w:t>因收购</w:t>
      </w:r>
      <w:r>
        <w:rPr>
          <w:rFonts w:ascii="宋体" w:hAnsi="宋体" w:cs="宋体"/>
          <w:kern w:val="0"/>
          <w:sz w:val="21"/>
          <w:szCs w:val="21"/>
        </w:rPr>
        <w:t>Rockson Automation GmbH</w:t>
      </w:r>
      <w:r>
        <w:rPr>
          <w:rFonts w:hint="eastAsia" w:ascii="宋体" w:hAnsi="宋体" w:cs="宋体"/>
          <w:kern w:val="0"/>
          <w:sz w:val="21"/>
          <w:szCs w:val="21"/>
          <w:lang w:val="zh-CN"/>
        </w:rPr>
        <w:t>增加坏账准备</w:t>
      </w:r>
      <w:r>
        <w:rPr>
          <w:rFonts w:ascii="宋体" w:hAnsi="宋体" w:cs="宋体"/>
          <w:kern w:val="0"/>
          <w:sz w:val="21"/>
          <w:szCs w:val="21"/>
        </w:rPr>
        <w:t xml:space="preserve">12,356.94 </w:t>
      </w:r>
      <w:r>
        <w:rPr>
          <w:rFonts w:hint="eastAsia" w:ascii="宋体" w:hAnsi="宋体" w:cs="宋体"/>
          <w:kern w:val="0"/>
          <w:sz w:val="21"/>
          <w:szCs w:val="21"/>
          <w:lang w:val="zh-CN"/>
        </w:rPr>
        <w:t>元</w:t>
      </w:r>
      <w:r>
        <w:rPr>
          <w:rFonts w:ascii="宋体" w:cs="宋体"/>
          <w:kern w:val="0"/>
          <w:sz w:val="21"/>
          <w:szCs w:val="21"/>
        </w:rPr>
        <w:t>,</w:t>
      </w:r>
      <w:r>
        <w:rPr>
          <w:rFonts w:hint="eastAsia" w:ascii="宋体" w:hAnsi="宋体" w:cs="宋体"/>
          <w:kern w:val="0"/>
          <w:sz w:val="21"/>
          <w:szCs w:val="21"/>
        </w:rPr>
        <w:t>；</w:t>
      </w:r>
      <w:r>
        <w:rPr>
          <w:rFonts w:hint="eastAsia" w:ascii="宋体" w:hAnsi="宋体" w:cs="宋体"/>
          <w:kern w:val="0"/>
          <w:sz w:val="21"/>
          <w:szCs w:val="21"/>
          <w:lang w:val="zh-CN"/>
        </w:rPr>
        <w:t>因外币汇率折算增加坏账准备金额</w:t>
      </w:r>
      <w:r>
        <w:rPr>
          <w:rFonts w:ascii="宋体" w:hAnsi="宋体" w:cs="宋体"/>
          <w:kern w:val="0"/>
          <w:sz w:val="21"/>
          <w:szCs w:val="21"/>
        </w:rPr>
        <w:t xml:space="preserve">6,994.48 </w:t>
      </w:r>
      <w:r>
        <w:rPr>
          <w:rFonts w:hint="eastAsia" w:ascii="宋体" w:hAnsi="宋体" w:cs="宋体"/>
          <w:kern w:val="0"/>
          <w:sz w:val="21"/>
          <w:szCs w:val="21"/>
          <w:lang w:val="zh-CN"/>
        </w:rPr>
        <w:t>元。</w:t>
      </w:r>
    </w:p>
    <w:p>
      <w:pPr>
        <w:pStyle w:val="11"/>
        <w:outlineLvl w:val="3"/>
        <w:rPr>
          <w:bCs w:val="0"/>
          <w:szCs w:val="24"/>
        </w:rPr>
      </w:pPr>
      <w:r>
        <w:rPr>
          <w:rFonts w:hint="eastAsia"/>
          <w:bCs w:val="0"/>
          <w:szCs w:val="24"/>
        </w:rPr>
        <w:t>（</w:t>
      </w:r>
      <w:r>
        <w:rPr>
          <w:bCs w:val="0"/>
          <w:szCs w:val="24"/>
        </w:rPr>
        <w:t>4</w:t>
      </w:r>
      <w:r>
        <w:rPr>
          <w:rFonts w:hint="eastAsia"/>
          <w:bCs w:val="0"/>
          <w:szCs w:val="24"/>
        </w:rPr>
        <w:t>）其他应收款按款项性质分类情况</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569" w:type="dxa"/>
        <w:tblInd w:w="28" w:type="dxa"/>
        <w:tblLayout w:type="fixed"/>
        <w:tblCellMar>
          <w:top w:w="0" w:type="dxa"/>
          <w:left w:w="28" w:type="dxa"/>
          <w:bottom w:w="0" w:type="dxa"/>
          <w:right w:w="28" w:type="dxa"/>
        </w:tblCellMar>
      </w:tblPr>
      <w:tblGrid>
        <w:gridCol w:w="3187"/>
        <w:gridCol w:w="3191"/>
        <w:gridCol w:w="3191"/>
      </w:tblGrid>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款项性质</w:t>
            </w:r>
          </w:p>
        </w:tc>
        <w:tc>
          <w:tcPr>
            <w:tcW w:w="319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期末账面余额</w:t>
            </w:r>
          </w:p>
        </w:tc>
        <w:tc>
          <w:tcPr>
            <w:tcW w:w="319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期初账面余额</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关联方往来款</w:t>
            </w:r>
          </w:p>
        </w:tc>
        <w:tc>
          <w:tcPr>
            <w:tcW w:w="319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11,503,518.73</w:t>
            </w:r>
          </w:p>
        </w:tc>
        <w:tc>
          <w:tcPr>
            <w:tcW w:w="319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江苏新扬子造船有限公司合作款</w:t>
            </w:r>
          </w:p>
        </w:tc>
        <w:tc>
          <w:tcPr>
            <w:tcW w:w="319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10,000,000.00</w:t>
            </w:r>
          </w:p>
        </w:tc>
        <w:tc>
          <w:tcPr>
            <w:tcW w:w="319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股权转让款</w:t>
            </w:r>
          </w:p>
        </w:tc>
        <w:tc>
          <w:tcPr>
            <w:tcW w:w="319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8,840,000.00</w:t>
            </w:r>
          </w:p>
        </w:tc>
        <w:tc>
          <w:tcPr>
            <w:tcW w:w="319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19,890,000.00</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投标保证金</w:t>
            </w:r>
          </w:p>
        </w:tc>
        <w:tc>
          <w:tcPr>
            <w:tcW w:w="319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3,285,019.07</w:t>
            </w:r>
          </w:p>
        </w:tc>
        <w:tc>
          <w:tcPr>
            <w:tcW w:w="319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4,357,702.09</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保证金</w:t>
            </w:r>
          </w:p>
        </w:tc>
        <w:tc>
          <w:tcPr>
            <w:tcW w:w="319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7,293,193.73</w:t>
            </w:r>
          </w:p>
        </w:tc>
        <w:tc>
          <w:tcPr>
            <w:tcW w:w="319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3,327,752.40</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个人借款</w:t>
            </w:r>
          </w:p>
        </w:tc>
        <w:tc>
          <w:tcPr>
            <w:tcW w:w="319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3,940,778.55</w:t>
            </w:r>
          </w:p>
        </w:tc>
        <w:tc>
          <w:tcPr>
            <w:tcW w:w="319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2,113,370.56</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押金</w:t>
            </w:r>
          </w:p>
        </w:tc>
        <w:tc>
          <w:tcPr>
            <w:tcW w:w="319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2,088,358.03</w:t>
            </w:r>
          </w:p>
        </w:tc>
        <w:tc>
          <w:tcPr>
            <w:tcW w:w="319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551,158.53</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备用金</w:t>
            </w:r>
          </w:p>
        </w:tc>
        <w:tc>
          <w:tcPr>
            <w:tcW w:w="319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1,161,000.00</w:t>
            </w:r>
          </w:p>
        </w:tc>
        <w:tc>
          <w:tcPr>
            <w:tcW w:w="319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1,769,248.18</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代扣代缴社保</w:t>
            </w:r>
          </w:p>
        </w:tc>
        <w:tc>
          <w:tcPr>
            <w:tcW w:w="319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144,099.56</w:t>
            </w:r>
          </w:p>
        </w:tc>
        <w:tc>
          <w:tcPr>
            <w:tcW w:w="319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59,969.27</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其他</w:t>
            </w:r>
          </w:p>
        </w:tc>
        <w:tc>
          <w:tcPr>
            <w:tcW w:w="319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1,489,076.46</w:t>
            </w:r>
          </w:p>
        </w:tc>
        <w:tc>
          <w:tcPr>
            <w:tcW w:w="319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1,239,268.08</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3191"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49,745,044.13</w:t>
            </w:r>
          </w:p>
        </w:tc>
        <w:tc>
          <w:tcPr>
            <w:tcW w:w="3191"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33,308,469.11</w:t>
            </w:r>
          </w:p>
        </w:tc>
      </w:tr>
    </w:tbl>
    <w:p>
      <w:pPr>
        <w:pStyle w:val="11"/>
        <w:outlineLvl w:val="3"/>
        <w:rPr>
          <w:bCs w:val="0"/>
          <w:szCs w:val="24"/>
        </w:rPr>
      </w:pPr>
      <w:r>
        <w:rPr>
          <w:rFonts w:hint="eastAsia"/>
          <w:bCs w:val="0"/>
          <w:szCs w:val="24"/>
        </w:rPr>
        <w:t>（</w:t>
      </w:r>
      <w:r>
        <w:rPr>
          <w:bCs w:val="0"/>
          <w:szCs w:val="24"/>
        </w:rPr>
        <w:t>5</w:t>
      </w:r>
      <w:r>
        <w:rPr>
          <w:rFonts w:hint="eastAsia"/>
          <w:bCs w:val="0"/>
          <w:szCs w:val="24"/>
        </w:rPr>
        <w:t>）按欠款方归集的期末余额前五名的其他应收款情况</w:t>
      </w:r>
    </w:p>
    <w:p>
      <w:pPr>
        <w:jc w:val="right"/>
        <w:rPr>
          <w:szCs w:val="24"/>
        </w:rPr>
      </w:pPr>
      <w:r>
        <w:rPr>
          <w:rFonts w:hint="eastAsia"/>
          <w:szCs w:val="24"/>
        </w:rPr>
        <w:t>单位：</w:t>
      </w:r>
      <w:r>
        <w:rPr>
          <w:szCs w:val="24"/>
        </w:rPr>
        <w:t xml:space="preserve"> </w:t>
      </w:r>
      <w:r>
        <w:rPr>
          <w:rFonts w:hint="eastAsia"/>
          <w:szCs w:val="24"/>
        </w:rPr>
        <w:t>元</w:t>
      </w:r>
    </w:p>
    <w:tbl>
      <w:tblPr>
        <w:tblStyle w:val="8"/>
        <w:tblW w:w="9566" w:type="dxa"/>
        <w:tblInd w:w="28" w:type="dxa"/>
        <w:tblLayout w:type="fixed"/>
        <w:tblCellMar>
          <w:top w:w="0" w:type="dxa"/>
          <w:left w:w="28" w:type="dxa"/>
          <w:bottom w:w="0" w:type="dxa"/>
          <w:right w:w="28" w:type="dxa"/>
        </w:tblCellMar>
      </w:tblPr>
      <w:tblGrid>
        <w:gridCol w:w="1594"/>
        <w:gridCol w:w="1594"/>
        <w:gridCol w:w="1594"/>
        <w:gridCol w:w="1594"/>
        <w:gridCol w:w="1595"/>
        <w:gridCol w:w="1595"/>
      </w:tblGrid>
      <w:tr>
        <w:tblPrEx>
          <w:tblLayout w:type="fixed"/>
          <w:tblCellMar>
            <w:top w:w="0" w:type="dxa"/>
            <w:left w:w="28" w:type="dxa"/>
            <w:bottom w:w="0" w:type="dxa"/>
            <w:right w:w="28" w:type="dxa"/>
          </w:tblCellMar>
        </w:tblPrEx>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单位名称</w:t>
            </w:r>
          </w:p>
        </w:tc>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款项的性质</w:t>
            </w:r>
          </w:p>
        </w:tc>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账龄</w:t>
            </w:r>
          </w:p>
        </w:tc>
        <w:tc>
          <w:tcPr>
            <w:tcW w:w="159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占其他应收款期末余额合计数的比例</w:t>
            </w:r>
          </w:p>
        </w:tc>
        <w:tc>
          <w:tcPr>
            <w:tcW w:w="159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坏账准备期末余额</w:t>
            </w:r>
          </w:p>
        </w:tc>
      </w:tr>
      <w:tr>
        <w:tblPrEx>
          <w:tblLayout w:type="fixed"/>
          <w:tblCellMar>
            <w:top w:w="0" w:type="dxa"/>
            <w:left w:w="28" w:type="dxa"/>
            <w:bottom w:w="0" w:type="dxa"/>
            <w:right w:w="28" w:type="dxa"/>
          </w:tblCellMar>
        </w:tblPrEx>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新扬子造船有限公司</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新扬子造船有限公司合作款</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10,000,000.00</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1</w:t>
            </w:r>
            <w:r>
              <w:rPr>
                <w:rFonts w:hint="eastAsia"/>
                <w:sz w:val="21"/>
                <w:szCs w:val="21"/>
              </w:rPr>
              <w:t>年以内</w:t>
            </w:r>
          </w:p>
        </w:tc>
        <w:tc>
          <w:tcPr>
            <w:tcW w:w="159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20.10%</w:t>
            </w:r>
          </w:p>
        </w:tc>
        <w:tc>
          <w:tcPr>
            <w:tcW w:w="159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500,000.00</w:t>
            </w:r>
          </w:p>
        </w:tc>
      </w:tr>
      <w:tr>
        <w:tblPrEx>
          <w:tblLayout w:type="fixed"/>
          <w:tblCellMar>
            <w:top w:w="0" w:type="dxa"/>
            <w:left w:w="28" w:type="dxa"/>
            <w:bottom w:w="0" w:type="dxa"/>
            <w:right w:w="28" w:type="dxa"/>
          </w:tblCellMar>
        </w:tblPrEx>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武维汀</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股权转让款</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8,660,800.00</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1-2</w:t>
            </w:r>
            <w:r>
              <w:rPr>
                <w:rFonts w:hint="eastAsia"/>
                <w:sz w:val="21"/>
                <w:szCs w:val="21"/>
              </w:rPr>
              <w:t>年</w:t>
            </w:r>
          </w:p>
        </w:tc>
        <w:tc>
          <w:tcPr>
            <w:tcW w:w="159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17.41%</w:t>
            </w:r>
          </w:p>
        </w:tc>
        <w:tc>
          <w:tcPr>
            <w:tcW w:w="159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866,080.00</w:t>
            </w:r>
          </w:p>
        </w:tc>
      </w:tr>
      <w:tr>
        <w:tblPrEx>
          <w:tblLayout w:type="fixed"/>
          <w:tblCellMar>
            <w:top w:w="0" w:type="dxa"/>
            <w:left w:w="28" w:type="dxa"/>
            <w:bottom w:w="0" w:type="dxa"/>
            <w:right w:w="28" w:type="dxa"/>
          </w:tblCellMar>
        </w:tblPrEx>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北京劳雷物理探测仪器公司</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关联方往来款</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8,104,057.97</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1</w:t>
            </w:r>
            <w:r>
              <w:rPr>
                <w:rFonts w:hint="eastAsia"/>
                <w:sz w:val="21"/>
                <w:szCs w:val="21"/>
              </w:rPr>
              <w:t>年以内</w:t>
            </w:r>
          </w:p>
        </w:tc>
        <w:tc>
          <w:tcPr>
            <w:tcW w:w="159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16.29%</w:t>
            </w:r>
          </w:p>
        </w:tc>
        <w:tc>
          <w:tcPr>
            <w:tcW w:w="159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上海劳雷仪器系统有限公司</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关联方往来款</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2,448,900.00</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1</w:t>
            </w:r>
            <w:r>
              <w:rPr>
                <w:rFonts w:hint="eastAsia"/>
                <w:sz w:val="21"/>
                <w:szCs w:val="21"/>
              </w:rPr>
              <w:t>年以内</w:t>
            </w:r>
          </w:p>
        </w:tc>
        <w:tc>
          <w:tcPr>
            <w:tcW w:w="159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4.92%</w:t>
            </w:r>
          </w:p>
        </w:tc>
        <w:tc>
          <w:tcPr>
            <w:tcW w:w="159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国家海洋局第三海洋研究所</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保证金</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1,311,834.90</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1</w:t>
            </w:r>
            <w:r>
              <w:rPr>
                <w:rFonts w:hint="eastAsia"/>
                <w:sz w:val="21"/>
                <w:szCs w:val="21"/>
              </w:rPr>
              <w:t>年以内</w:t>
            </w:r>
            <w:r>
              <w:rPr>
                <w:sz w:val="21"/>
                <w:szCs w:val="21"/>
              </w:rPr>
              <w:t>193696.50, 1-2</w:t>
            </w:r>
            <w:r>
              <w:rPr>
                <w:rFonts w:hint="eastAsia"/>
                <w:sz w:val="21"/>
                <w:szCs w:val="21"/>
              </w:rPr>
              <w:t>年</w:t>
            </w:r>
            <w:r>
              <w:rPr>
                <w:sz w:val="21"/>
                <w:szCs w:val="21"/>
              </w:rPr>
              <w:t>1053002.60, 2-3</w:t>
            </w:r>
            <w:r>
              <w:rPr>
                <w:rFonts w:hint="eastAsia"/>
                <w:sz w:val="21"/>
                <w:szCs w:val="21"/>
              </w:rPr>
              <w:t>年</w:t>
            </w:r>
            <w:r>
              <w:rPr>
                <w:sz w:val="21"/>
                <w:szCs w:val="21"/>
              </w:rPr>
              <w:t>65135.80</w:t>
            </w:r>
          </w:p>
        </w:tc>
        <w:tc>
          <w:tcPr>
            <w:tcW w:w="159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2.64%</w:t>
            </w:r>
          </w:p>
        </w:tc>
        <w:tc>
          <w:tcPr>
            <w:tcW w:w="159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134,525.83</w:t>
            </w:r>
          </w:p>
        </w:tc>
      </w:tr>
      <w:tr>
        <w:tblPrEx>
          <w:tblLayout w:type="fixed"/>
          <w:tblCellMar>
            <w:top w:w="0" w:type="dxa"/>
            <w:left w:w="28" w:type="dxa"/>
            <w:bottom w:w="0" w:type="dxa"/>
            <w:right w:w="28" w:type="dxa"/>
          </w:tblCellMar>
        </w:tblPrEx>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sz w:val="21"/>
                <w:szCs w:val="21"/>
              </w:rPr>
              <w:t>--</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30,525,592.87</w:t>
            </w:r>
          </w:p>
        </w:tc>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sz w:val="21"/>
                <w:szCs w:val="21"/>
              </w:rPr>
              <w:t>--</w:t>
            </w:r>
          </w:p>
        </w:tc>
        <w:tc>
          <w:tcPr>
            <w:tcW w:w="159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61.36%</w:t>
            </w:r>
          </w:p>
        </w:tc>
        <w:tc>
          <w:tcPr>
            <w:tcW w:w="159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1,500,605.83</w:t>
            </w:r>
          </w:p>
        </w:tc>
      </w:tr>
    </w:tbl>
    <w:p>
      <w:pPr>
        <w:pStyle w:val="11"/>
        <w:outlineLvl w:val="2"/>
        <w:rPr>
          <w:bCs w:val="0"/>
          <w:szCs w:val="24"/>
        </w:rPr>
      </w:pPr>
      <w:r>
        <w:rPr>
          <w:bCs w:val="0"/>
          <w:szCs w:val="24"/>
        </w:rPr>
        <w:t>7</w:t>
      </w:r>
      <w:r>
        <w:rPr>
          <w:rFonts w:hint="eastAsia"/>
          <w:bCs w:val="0"/>
          <w:szCs w:val="24"/>
        </w:rPr>
        <w:t>、存货</w:t>
      </w:r>
    </w:p>
    <w:p>
      <w:pPr>
        <w:pStyle w:val="11"/>
        <w:outlineLvl w:val="3"/>
        <w:rPr>
          <w:bCs w:val="0"/>
        </w:rPr>
      </w:pPr>
      <w:r>
        <w:rPr>
          <w:rFonts w:hint="eastAsia"/>
          <w:bCs w:val="0"/>
        </w:rPr>
        <w:t>（</w:t>
      </w:r>
      <w:r>
        <w:rPr>
          <w:bCs w:val="0"/>
        </w:rPr>
        <w:t>1</w:t>
      </w:r>
      <w:r>
        <w:rPr>
          <w:rFonts w:hint="eastAsia"/>
          <w:bCs w:val="0"/>
        </w:rPr>
        <w:t>）存货分类</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694" w:type="dxa"/>
        <w:tblInd w:w="0" w:type="dxa"/>
        <w:tblLayout w:type="fixed"/>
        <w:tblCellMar>
          <w:top w:w="0" w:type="dxa"/>
          <w:left w:w="28" w:type="dxa"/>
          <w:bottom w:w="0" w:type="dxa"/>
          <w:right w:w="28" w:type="dxa"/>
        </w:tblCellMar>
      </w:tblPr>
      <w:tblGrid>
        <w:gridCol w:w="1387"/>
        <w:gridCol w:w="1387"/>
        <w:gridCol w:w="1384"/>
        <w:gridCol w:w="1384"/>
        <w:gridCol w:w="1384"/>
        <w:gridCol w:w="1384"/>
        <w:gridCol w:w="1384"/>
      </w:tblGrid>
      <w:tr>
        <w:tblPrEx>
          <w:tblLayout w:type="fixed"/>
          <w:tblCellMar>
            <w:top w:w="0" w:type="dxa"/>
            <w:left w:w="28" w:type="dxa"/>
            <w:bottom w:w="0" w:type="dxa"/>
            <w:right w:w="28" w:type="dxa"/>
          </w:tblCellMar>
        </w:tblPrEx>
        <w:tc>
          <w:tcPr>
            <w:tcW w:w="1387"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4155" w:type="dxa"/>
            <w:gridSpan w:val="3"/>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c>
          <w:tcPr>
            <w:tcW w:w="4152" w:type="dxa"/>
            <w:gridSpan w:val="3"/>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期初余额</w:t>
            </w:r>
          </w:p>
        </w:tc>
      </w:tr>
      <w:tr>
        <w:tblPrEx>
          <w:tblLayout w:type="fixed"/>
          <w:tblCellMar>
            <w:top w:w="0" w:type="dxa"/>
            <w:left w:w="28" w:type="dxa"/>
            <w:bottom w:w="0" w:type="dxa"/>
            <w:right w:w="28" w:type="dxa"/>
          </w:tblCellMar>
        </w:tblPrEx>
        <w:tc>
          <w:tcPr>
            <w:tcW w:w="1387"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38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账面余额</w:t>
            </w:r>
          </w:p>
        </w:tc>
        <w:tc>
          <w:tcPr>
            <w:tcW w:w="138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跌价准备</w:t>
            </w:r>
          </w:p>
        </w:tc>
        <w:tc>
          <w:tcPr>
            <w:tcW w:w="138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账面价值</w:t>
            </w:r>
          </w:p>
        </w:tc>
        <w:tc>
          <w:tcPr>
            <w:tcW w:w="138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账面余额</w:t>
            </w:r>
          </w:p>
        </w:tc>
        <w:tc>
          <w:tcPr>
            <w:tcW w:w="138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跌价准备</w:t>
            </w:r>
          </w:p>
        </w:tc>
        <w:tc>
          <w:tcPr>
            <w:tcW w:w="138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账面价值</w:t>
            </w:r>
          </w:p>
        </w:tc>
      </w:tr>
      <w:tr>
        <w:tblPrEx>
          <w:tblLayout w:type="fixed"/>
          <w:tblCellMar>
            <w:top w:w="0" w:type="dxa"/>
            <w:left w:w="28" w:type="dxa"/>
            <w:bottom w:w="0" w:type="dxa"/>
            <w:right w:w="28" w:type="dxa"/>
          </w:tblCellMar>
        </w:tblPrEx>
        <w:tc>
          <w:tcPr>
            <w:tcW w:w="138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原材料</w:t>
            </w:r>
          </w:p>
        </w:tc>
        <w:tc>
          <w:tcPr>
            <w:tcW w:w="13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41,068,075.21</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348,047.36</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40,720,027.85</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33,008,010.24</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348,047.36</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32,659,962.88</w:t>
            </w:r>
          </w:p>
        </w:tc>
      </w:tr>
      <w:tr>
        <w:tblPrEx>
          <w:tblLayout w:type="fixed"/>
          <w:tblCellMar>
            <w:top w:w="0" w:type="dxa"/>
            <w:left w:w="28" w:type="dxa"/>
            <w:bottom w:w="0" w:type="dxa"/>
            <w:right w:w="28" w:type="dxa"/>
          </w:tblCellMar>
        </w:tblPrEx>
        <w:tc>
          <w:tcPr>
            <w:tcW w:w="138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在产品</w:t>
            </w:r>
          </w:p>
        </w:tc>
        <w:tc>
          <w:tcPr>
            <w:tcW w:w="13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13,993,628.18</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13,993,628.18</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18,147,672.08</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18,147,672.08</w:t>
            </w:r>
          </w:p>
        </w:tc>
      </w:tr>
      <w:tr>
        <w:tblPrEx>
          <w:tblLayout w:type="fixed"/>
          <w:tblCellMar>
            <w:top w:w="0" w:type="dxa"/>
            <w:left w:w="28" w:type="dxa"/>
            <w:bottom w:w="0" w:type="dxa"/>
            <w:right w:w="28" w:type="dxa"/>
          </w:tblCellMar>
        </w:tblPrEx>
        <w:tc>
          <w:tcPr>
            <w:tcW w:w="138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库存商品</w:t>
            </w:r>
          </w:p>
        </w:tc>
        <w:tc>
          <w:tcPr>
            <w:tcW w:w="13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81,718,285.63</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242,261.10</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81,476,024.53</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69,878,170.90</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242,261.10</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69,635,909.80</w:t>
            </w:r>
          </w:p>
        </w:tc>
      </w:tr>
      <w:tr>
        <w:tblPrEx>
          <w:tblLayout w:type="fixed"/>
          <w:tblCellMar>
            <w:top w:w="0" w:type="dxa"/>
            <w:left w:w="28" w:type="dxa"/>
            <w:bottom w:w="0" w:type="dxa"/>
            <w:right w:w="28" w:type="dxa"/>
          </w:tblCellMar>
        </w:tblPrEx>
        <w:tc>
          <w:tcPr>
            <w:tcW w:w="138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周转材料</w:t>
            </w:r>
          </w:p>
        </w:tc>
        <w:tc>
          <w:tcPr>
            <w:tcW w:w="13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38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消耗性生物资产</w:t>
            </w:r>
          </w:p>
        </w:tc>
        <w:tc>
          <w:tcPr>
            <w:tcW w:w="13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38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建造合同形成的已完工未结算资产</w:t>
            </w:r>
          </w:p>
        </w:tc>
        <w:tc>
          <w:tcPr>
            <w:tcW w:w="13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3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发出商品</w:t>
            </w:r>
          </w:p>
        </w:tc>
        <w:tc>
          <w:tcPr>
            <w:tcW w:w="13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13,534,596.10</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13,534,596.10</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12,737,136.33</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12,737,136.33</w:t>
            </w:r>
          </w:p>
        </w:tc>
      </w:tr>
      <w:tr>
        <w:tblPrEx>
          <w:tblLayout w:type="fixed"/>
          <w:tblCellMar>
            <w:top w:w="0" w:type="dxa"/>
            <w:left w:w="28" w:type="dxa"/>
            <w:bottom w:w="0" w:type="dxa"/>
            <w:right w:w="28" w:type="dxa"/>
          </w:tblCellMar>
        </w:tblPrEx>
        <w:tc>
          <w:tcPr>
            <w:tcW w:w="138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13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150,314,585.12</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590,308.46</w:t>
            </w:r>
          </w:p>
        </w:tc>
        <w:tc>
          <w:tcPr>
            <w:tcW w:w="1384"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149,724,276.66</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133,770,989.55</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590,308.46</w:t>
            </w:r>
          </w:p>
        </w:tc>
        <w:tc>
          <w:tcPr>
            <w:tcW w:w="1384"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133,180,681.09</w:t>
            </w:r>
          </w:p>
        </w:tc>
      </w:tr>
    </w:tbl>
    <w:p>
      <w:pPr>
        <w:pStyle w:val="11"/>
        <w:outlineLvl w:val="3"/>
        <w:rPr>
          <w:bCs w:val="0"/>
          <w:szCs w:val="24"/>
        </w:rPr>
      </w:pPr>
      <w:r>
        <w:rPr>
          <w:rFonts w:hint="eastAsia"/>
          <w:bCs w:val="0"/>
          <w:szCs w:val="24"/>
        </w:rPr>
        <w:t>（</w:t>
      </w:r>
      <w:r>
        <w:rPr>
          <w:bCs w:val="0"/>
          <w:szCs w:val="24"/>
        </w:rPr>
        <w:t>2</w:t>
      </w:r>
      <w:r>
        <w:rPr>
          <w:rFonts w:hint="eastAsia"/>
          <w:bCs w:val="0"/>
          <w:szCs w:val="24"/>
        </w:rPr>
        <w:t>）存货跌价准备</w:t>
      </w:r>
    </w:p>
    <w:p>
      <w:pPr>
        <w:jc w:val="right"/>
        <w:rPr>
          <w:szCs w:val="24"/>
        </w:rPr>
      </w:pPr>
      <w:r>
        <w:rPr>
          <w:rFonts w:hint="eastAsia"/>
          <w:szCs w:val="24"/>
        </w:rPr>
        <w:t>单位：</w:t>
      </w:r>
      <w:r>
        <w:rPr>
          <w:szCs w:val="24"/>
        </w:rPr>
        <w:t xml:space="preserve"> </w:t>
      </w:r>
      <w:r>
        <w:rPr>
          <w:rFonts w:hint="eastAsia"/>
          <w:szCs w:val="24"/>
        </w:rPr>
        <w:t>元</w:t>
      </w:r>
    </w:p>
    <w:tbl>
      <w:tblPr>
        <w:tblStyle w:val="8"/>
        <w:tblW w:w="9571" w:type="dxa"/>
        <w:tblInd w:w="28" w:type="dxa"/>
        <w:tblLayout w:type="fixed"/>
        <w:tblCellMar>
          <w:top w:w="0" w:type="dxa"/>
          <w:left w:w="28" w:type="dxa"/>
          <w:bottom w:w="0" w:type="dxa"/>
          <w:right w:w="28" w:type="dxa"/>
        </w:tblCellMar>
      </w:tblPr>
      <w:tblGrid>
        <w:gridCol w:w="1368"/>
        <w:gridCol w:w="1368"/>
        <w:gridCol w:w="1367"/>
        <w:gridCol w:w="1367"/>
        <w:gridCol w:w="1367"/>
        <w:gridCol w:w="1367"/>
        <w:gridCol w:w="1367"/>
      </w:tblGrid>
      <w:tr>
        <w:tblPrEx>
          <w:tblLayout w:type="fixed"/>
          <w:tblCellMar>
            <w:top w:w="0" w:type="dxa"/>
            <w:left w:w="28" w:type="dxa"/>
            <w:bottom w:w="0" w:type="dxa"/>
            <w:right w:w="28" w:type="dxa"/>
          </w:tblCellMar>
        </w:tblPrEx>
        <w:tc>
          <w:tcPr>
            <w:tcW w:w="1368"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1368"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期初余额</w:t>
            </w:r>
          </w:p>
        </w:tc>
        <w:tc>
          <w:tcPr>
            <w:tcW w:w="2734"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本期增加金额</w:t>
            </w:r>
          </w:p>
        </w:tc>
        <w:tc>
          <w:tcPr>
            <w:tcW w:w="2734"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本期减少金额</w:t>
            </w:r>
          </w:p>
        </w:tc>
        <w:tc>
          <w:tcPr>
            <w:tcW w:w="1367"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r>
      <w:tr>
        <w:tblPrEx>
          <w:tblLayout w:type="fixed"/>
          <w:tblCellMar>
            <w:top w:w="0" w:type="dxa"/>
            <w:left w:w="28" w:type="dxa"/>
            <w:bottom w:w="0" w:type="dxa"/>
            <w:right w:w="28" w:type="dxa"/>
          </w:tblCellMar>
        </w:tblPrEx>
        <w:tc>
          <w:tcPr>
            <w:tcW w:w="1368"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368"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36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计提</w:t>
            </w:r>
          </w:p>
        </w:tc>
        <w:tc>
          <w:tcPr>
            <w:tcW w:w="136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其他</w:t>
            </w:r>
          </w:p>
        </w:tc>
        <w:tc>
          <w:tcPr>
            <w:tcW w:w="136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转回或转销</w:t>
            </w:r>
          </w:p>
        </w:tc>
        <w:tc>
          <w:tcPr>
            <w:tcW w:w="136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其他</w:t>
            </w:r>
          </w:p>
        </w:tc>
        <w:tc>
          <w:tcPr>
            <w:tcW w:w="1367"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r>
      <w:tr>
        <w:tblPrEx>
          <w:tblLayout w:type="fixed"/>
          <w:tblCellMar>
            <w:top w:w="0" w:type="dxa"/>
            <w:left w:w="28" w:type="dxa"/>
            <w:bottom w:w="0" w:type="dxa"/>
            <w:right w:w="28" w:type="dxa"/>
          </w:tblCellMar>
        </w:tblPrEx>
        <w:tc>
          <w:tcPr>
            <w:tcW w:w="1368"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原材料</w:t>
            </w:r>
          </w:p>
        </w:tc>
        <w:tc>
          <w:tcPr>
            <w:tcW w:w="13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348,047.36</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348,047.36</w:t>
            </w:r>
          </w:p>
        </w:tc>
      </w:tr>
      <w:tr>
        <w:tblPrEx>
          <w:tblLayout w:type="fixed"/>
          <w:tblCellMar>
            <w:top w:w="0" w:type="dxa"/>
            <w:left w:w="28" w:type="dxa"/>
            <w:bottom w:w="0" w:type="dxa"/>
            <w:right w:w="28" w:type="dxa"/>
          </w:tblCellMar>
        </w:tblPrEx>
        <w:tc>
          <w:tcPr>
            <w:tcW w:w="1368"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库存商品</w:t>
            </w:r>
          </w:p>
        </w:tc>
        <w:tc>
          <w:tcPr>
            <w:tcW w:w="13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242,261.10</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242,261.10</w:t>
            </w:r>
          </w:p>
        </w:tc>
      </w:tr>
      <w:tr>
        <w:tblPrEx>
          <w:tblLayout w:type="fixed"/>
          <w:tblCellMar>
            <w:top w:w="0" w:type="dxa"/>
            <w:left w:w="28" w:type="dxa"/>
            <w:bottom w:w="0" w:type="dxa"/>
            <w:right w:w="28" w:type="dxa"/>
          </w:tblCellMar>
        </w:tblPrEx>
        <w:tc>
          <w:tcPr>
            <w:tcW w:w="1368"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13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590,308.46</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590,308.46</w:t>
            </w:r>
          </w:p>
        </w:tc>
      </w:tr>
    </w:tbl>
    <w:p>
      <w:pPr>
        <w:pStyle w:val="11"/>
        <w:outlineLvl w:val="2"/>
        <w:rPr>
          <w:bCs w:val="0"/>
          <w:szCs w:val="24"/>
        </w:rPr>
      </w:pPr>
      <w:r>
        <w:rPr>
          <w:bCs w:val="0"/>
          <w:szCs w:val="24"/>
        </w:rPr>
        <w:t>8</w:t>
      </w:r>
      <w:r>
        <w:rPr>
          <w:rFonts w:hint="eastAsia"/>
          <w:bCs w:val="0"/>
          <w:szCs w:val="24"/>
        </w:rPr>
        <w:t>、其他流动资产</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569" w:type="dxa"/>
        <w:tblInd w:w="28" w:type="dxa"/>
        <w:tblLayout w:type="fixed"/>
        <w:tblCellMar>
          <w:top w:w="0" w:type="dxa"/>
          <w:left w:w="28" w:type="dxa"/>
          <w:bottom w:w="0" w:type="dxa"/>
          <w:right w:w="28" w:type="dxa"/>
        </w:tblCellMar>
      </w:tblPr>
      <w:tblGrid>
        <w:gridCol w:w="3187"/>
        <w:gridCol w:w="3191"/>
        <w:gridCol w:w="3191"/>
      </w:tblGrid>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319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c>
          <w:tcPr>
            <w:tcW w:w="319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期初余额</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理财产品（注）</w:t>
            </w:r>
          </w:p>
        </w:tc>
        <w:tc>
          <w:tcPr>
            <w:tcW w:w="319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225,800,000.00</w:t>
            </w:r>
          </w:p>
        </w:tc>
        <w:tc>
          <w:tcPr>
            <w:tcW w:w="319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3,670,000.00</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待抵扣增值税</w:t>
            </w:r>
          </w:p>
        </w:tc>
        <w:tc>
          <w:tcPr>
            <w:tcW w:w="319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549,826.14</w:t>
            </w:r>
          </w:p>
        </w:tc>
        <w:tc>
          <w:tcPr>
            <w:tcW w:w="319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654,293.10</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房租及物业费</w:t>
            </w:r>
          </w:p>
        </w:tc>
        <w:tc>
          <w:tcPr>
            <w:tcW w:w="319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516,306.11</w:t>
            </w:r>
          </w:p>
        </w:tc>
        <w:tc>
          <w:tcPr>
            <w:tcW w:w="319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预缴企业所得税</w:t>
            </w:r>
          </w:p>
        </w:tc>
        <w:tc>
          <w:tcPr>
            <w:tcW w:w="319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10,969.25</w:t>
            </w:r>
          </w:p>
        </w:tc>
        <w:tc>
          <w:tcPr>
            <w:tcW w:w="319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3191"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226,877,101.50</w:t>
            </w:r>
          </w:p>
        </w:tc>
        <w:tc>
          <w:tcPr>
            <w:tcW w:w="3191"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4,324,293.10</w:t>
            </w:r>
          </w:p>
        </w:tc>
      </w:tr>
    </w:tbl>
    <w:p>
      <w:pPr>
        <w:autoSpaceDE w:val="0"/>
        <w:autoSpaceDN w:val="0"/>
        <w:adjustRightInd w:val="0"/>
        <w:spacing w:before="120" w:after="0"/>
        <w:ind w:firstLine="440"/>
        <w:jc w:val="left"/>
        <w:rPr>
          <w:rFonts w:eastAsia="Times New Roman"/>
          <w:kern w:val="0"/>
          <w:sz w:val="21"/>
          <w:szCs w:val="21"/>
          <w:lang w:val="zh-CN"/>
        </w:rPr>
      </w:pPr>
      <w:r>
        <w:rPr>
          <w:rFonts w:hint="eastAsia" w:ascii="宋体" w:hAnsi="宋体" w:cs="宋体"/>
          <w:kern w:val="0"/>
          <w:sz w:val="21"/>
          <w:szCs w:val="21"/>
          <w:lang w:val="zh-CN"/>
        </w:rPr>
        <w:t>注：</w:t>
      </w:r>
      <w:r>
        <w:rPr>
          <w:rFonts w:eastAsia="Times New Roman"/>
          <w:kern w:val="0"/>
          <w:sz w:val="21"/>
          <w:szCs w:val="21"/>
          <w:lang w:val="zh-CN"/>
        </w:rPr>
        <w:t xml:space="preserve"> </w:t>
      </w:r>
      <w:r>
        <w:rPr>
          <w:rFonts w:hint="eastAsia" w:ascii="宋体" w:hAnsi="宋体" w:cs="宋体"/>
          <w:kern w:val="0"/>
          <w:sz w:val="21"/>
          <w:szCs w:val="21"/>
          <w:lang w:val="zh-CN"/>
        </w:rPr>
        <w:t>理财产品系本公司及下属子公司购买的银行日常理财产品，该理财产品主要系低风险或保本型理财。</w:t>
      </w:r>
    </w:p>
    <w:p>
      <w:pPr>
        <w:pStyle w:val="11"/>
        <w:outlineLvl w:val="2"/>
        <w:rPr>
          <w:bCs w:val="0"/>
          <w:szCs w:val="24"/>
        </w:rPr>
      </w:pPr>
      <w:r>
        <w:rPr>
          <w:bCs w:val="0"/>
          <w:szCs w:val="24"/>
        </w:rPr>
        <w:t>9</w:t>
      </w:r>
      <w:r>
        <w:rPr>
          <w:rFonts w:hint="eastAsia"/>
          <w:bCs w:val="0"/>
          <w:szCs w:val="24"/>
        </w:rPr>
        <w:t>、可供出售金融资产</w:t>
      </w:r>
    </w:p>
    <w:p>
      <w:pPr>
        <w:pStyle w:val="11"/>
        <w:outlineLvl w:val="3"/>
        <w:rPr>
          <w:bCs w:val="0"/>
          <w:szCs w:val="24"/>
        </w:rPr>
      </w:pPr>
      <w:r>
        <w:rPr>
          <w:rFonts w:hint="eastAsia"/>
          <w:bCs w:val="0"/>
          <w:szCs w:val="24"/>
        </w:rPr>
        <w:t>（</w:t>
      </w:r>
      <w:r>
        <w:rPr>
          <w:bCs w:val="0"/>
          <w:szCs w:val="24"/>
        </w:rPr>
        <w:t>1</w:t>
      </w:r>
      <w:r>
        <w:rPr>
          <w:rFonts w:hint="eastAsia"/>
          <w:bCs w:val="0"/>
          <w:szCs w:val="24"/>
        </w:rPr>
        <w:t>）可供出售金融资产情况</w:t>
      </w:r>
    </w:p>
    <w:p>
      <w:pPr>
        <w:jc w:val="right"/>
        <w:rPr>
          <w:szCs w:val="24"/>
        </w:rPr>
      </w:pPr>
      <w:r>
        <w:rPr>
          <w:rFonts w:hint="eastAsia"/>
          <w:szCs w:val="24"/>
        </w:rPr>
        <w:t>单位：</w:t>
      </w:r>
      <w:r>
        <w:rPr>
          <w:szCs w:val="24"/>
        </w:rPr>
        <w:t xml:space="preserve"> </w:t>
      </w:r>
      <w:r>
        <w:rPr>
          <w:rFonts w:hint="eastAsia"/>
          <w:szCs w:val="24"/>
        </w:rPr>
        <w:t>元</w:t>
      </w:r>
    </w:p>
    <w:tbl>
      <w:tblPr>
        <w:tblStyle w:val="8"/>
        <w:tblW w:w="9694" w:type="dxa"/>
        <w:tblInd w:w="0" w:type="dxa"/>
        <w:tblLayout w:type="fixed"/>
        <w:tblCellMar>
          <w:top w:w="0" w:type="dxa"/>
          <w:left w:w="28" w:type="dxa"/>
          <w:bottom w:w="0" w:type="dxa"/>
          <w:right w:w="28" w:type="dxa"/>
        </w:tblCellMar>
      </w:tblPr>
      <w:tblGrid>
        <w:gridCol w:w="2004"/>
        <w:gridCol w:w="1264"/>
        <w:gridCol w:w="1191"/>
        <w:gridCol w:w="1264"/>
        <w:gridCol w:w="1243"/>
        <w:gridCol w:w="1363"/>
        <w:gridCol w:w="1365"/>
      </w:tblGrid>
      <w:tr>
        <w:tblPrEx>
          <w:tblLayout w:type="fixed"/>
          <w:tblCellMar>
            <w:top w:w="0" w:type="dxa"/>
            <w:left w:w="28" w:type="dxa"/>
            <w:bottom w:w="0" w:type="dxa"/>
            <w:right w:w="28" w:type="dxa"/>
          </w:tblCellMar>
        </w:tblPrEx>
        <w:tc>
          <w:tcPr>
            <w:tcW w:w="2004"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3719" w:type="dxa"/>
            <w:gridSpan w:val="3"/>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c>
          <w:tcPr>
            <w:tcW w:w="3971" w:type="dxa"/>
            <w:gridSpan w:val="3"/>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期初余额</w:t>
            </w:r>
          </w:p>
        </w:tc>
      </w:tr>
      <w:tr>
        <w:tblPrEx>
          <w:tblLayout w:type="fixed"/>
          <w:tblCellMar>
            <w:top w:w="0" w:type="dxa"/>
            <w:left w:w="28" w:type="dxa"/>
            <w:bottom w:w="0" w:type="dxa"/>
            <w:right w:w="28" w:type="dxa"/>
          </w:tblCellMar>
        </w:tblPrEx>
        <w:tc>
          <w:tcPr>
            <w:tcW w:w="2004"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账面余额</w:t>
            </w:r>
          </w:p>
        </w:tc>
        <w:tc>
          <w:tcPr>
            <w:tcW w:w="119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减值准备</w:t>
            </w:r>
          </w:p>
        </w:tc>
        <w:tc>
          <w:tcPr>
            <w:tcW w:w="126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账面价值</w:t>
            </w:r>
          </w:p>
        </w:tc>
        <w:tc>
          <w:tcPr>
            <w:tcW w:w="124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账面余额</w:t>
            </w:r>
          </w:p>
        </w:tc>
        <w:tc>
          <w:tcPr>
            <w:tcW w:w="136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减值准备</w:t>
            </w:r>
          </w:p>
        </w:tc>
        <w:tc>
          <w:tcPr>
            <w:tcW w:w="136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账面价值</w:t>
            </w:r>
          </w:p>
        </w:tc>
      </w:tr>
      <w:tr>
        <w:tblPrEx>
          <w:tblLayout w:type="fixed"/>
          <w:tblCellMar>
            <w:top w:w="0" w:type="dxa"/>
            <w:left w:w="28" w:type="dxa"/>
            <w:bottom w:w="0" w:type="dxa"/>
            <w:right w:w="28" w:type="dxa"/>
          </w:tblCellMar>
        </w:tblPrEx>
        <w:tc>
          <w:tcPr>
            <w:tcW w:w="200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可供出售权益工具：</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10,000,000.00</w:t>
            </w:r>
          </w:p>
        </w:tc>
        <w:tc>
          <w:tcPr>
            <w:tcW w:w="119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10,000,000.00</w:t>
            </w:r>
          </w:p>
        </w:tc>
        <w:tc>
          <w:tcPr>
            <w:tcW w:w="124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7,000,000.00</w:t>
            </w:r>
          </w:p>
        </w:tc>
        <w:tc>
          <w:tcPr>
            <w:tcW w:w="13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7,000,000.00</w:t>
            </w:r>
          </w:p>
        </w:tc>
      </w:tr>
      <w:tr>
        <w:tblPrEx>
          <w:tblLayout w:type="fixed"/>
          <w:tblCellMar>
            <w:top w:w="0" w:type="dxa"/>
            <w:left w:w="28" w:type="dxa"/>
            <w:bottom w:w="0" w:type="dxa"/>
            <w:right w:w="28" w:type="dxa"/>
          </w:tblCellMar>
        </w:tblPrEx>
        <w:tc>
          <w:tcPr>
            <w:tcW w:w="200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按成本计量的</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10,000,000.00</w:t>
            </w:r>
          </w:p>
        </w:tc>
        <w:tc>
          <w:tcPr>
            <w:tcW w:w="119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10,000,000.00</w:t>
            </w:r>
          </w:p>
        </w:tc>
        <w:tc>
          <w:tcPr>
            <w:tcW w:w="124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7,000,000.00</w:t>
            </w:r>
          </w:p>
        </w:tc>
        <w:tc>
          <w:tcPr>
            <w:tcW w:w="13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7,000,000.00</w:t>
            </w:r>
          </w:p>
        </w:tc>
      </w:tr>
      <w:tr>
        <w:tblPrEx>
          <w:tblLayout w:type="fixed"/>
          <w:tblCellMar>
            <w:top w:w="0" w:type="dxa"/>
            <w:left w:w="28" w:type="dxa"/>
            <w:bottom w:w="0" w:type="dxa"/>
            <w:right w:w="28" w:type="dxa"/>
          </w:tblCellMar>
        </w:tblPrEx>
        <w:tc>
          <w:tcPr>
            <w:tcW w:w="200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10,000,000.00</w:t>
            </w:r>
          </w:p>
        </w:tc>
        <w:tc>
          <w:tcPr>
            <w:tcW w:w="119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10,000,000.00</w:t>
            </w:r>
          </w:p>
        </w:tc>
        <w:tc>
          <w:tcPr>
            <w:tcW w:w="124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7,000,000.00</w:t>
            </w:r>
          </w:p>
        </w:tc>
        <w:tc>
          <w:tcPr>
            <w:tcW w:w="136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7,000,000.00</w:t>
            </w:r>
          </w:p>
        </w:tc>
      </w:tr>
    </w:tbl>
    <w:p>
      <w:pPr>
        <w:pStyle w:val="11"/>
        <w:outlineLvl w:val="3"/>
        <w:rPr>
          <w:bCs w:val="0"/>
          <w:szCs w:val="24"/>
        </w:rPr>
      </w:pPr>
      <w:r>
        <w:rPr>
          <w:rFonts w:hint="eastAsia"/>
          <w:bCs w:val="0"/>
          <w:szCs w:val="24"/>
        </w:rPr>
        <w:t>（</w:t>
      </w:r>
      <w:r>
        <w:rPr>
          <w:bCs w:val="0"/>
          <w:szCs w:val="24"/>
        </w:rPr>
        <w:t>2</w:t>
      </w:r>
      <w:r>
        <w:rPr>
          <w:rFonts w:hint="eastAsia"/>
          <w:bCs w:val="0"/>
          <w:szCs w:val="24"/>
        </w:rPr>
        <w:t>）</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694" w:type="dxa"/>
        <w:tblInd w:w="0" w:type="dxa"/>
        <w:tblLayout w:type="fixed"/>
        <w:tblCellMar>
          <w:top w:w="0" w:type="dxa"/>
          <w:left w:w="28" w:type="dxa"/>
          <w:bottom w:w="0" w:type="dxa"/>
          <w:right w:w="28" w:type="dxa"/>
        </w:tblCellMar>
      </w:tblPr>
      <w:tblGrid>
        <w:gridCol w:w="757"/>
        <w:gridCol w:w="1159"/>
        <w:gridCol w:w="1159"/>
        <w:gridCol w:w="765"/>
        <w:gridCol w:w="1264"/>
        <w:gridCol w:w="765"/>
        <w:gridCol w:w="765"/>
        <w:gridCol w:w="765"/>
        <w:gridCol w:w="765"/>
        <w:gridCol w:w="766"/>
        <w:gridCol w:w="764"/>
      </w:tblGrid>
      <w:tr>
        <w:tblPrEx>
          <w:tblLayout w:type="fixed"/>
        </w:tblPrEx>
        <w:tc>
          <w:tcPr>
            <w:tcW w:w="757"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被投资单位</w:t>
            </w:r>
          </w:p>
        </w:tc>
        <w:tc>
          <w:tcPr>
            <w:tcW w:w="4347" w:type="dxa"/>
            <w:gridSpan w:val="4"/>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账面余额</w:t>
            </w:r>
          </w:p>
        </w:tc>
        <w:tc>
          <w:tcPr>
            <w:tcW w:w="3060" w:type="dxa"/>
            <w:gridSpan w:val="4"/>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减值准备</w:t>
            </w:r>
          </w:p>
        </w:tc>
        <w:tc>
          <w:tcPr>
            <w:tcW w:w="766"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在被投资单位持股比例</w:t>
            </w:r>
          </w:p>
        </w:tc>
        <w:tc>
          <w:tcPr>
            <w:tcW w:w="764"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本期现金红利</w:t>
            </w:r>
          </w:p>
        </w:tc>
      </w:tr>
      <w:tr>
        <w:tblPrEx>
          <w:tblLayout w:type="fixed"/>
          <w:tblCellMar>
            <w:top w:w="0" w:type="dxa"/>
            <w:left w:w="28" w:type="dxa"/>
            <w:bottom w:w="0" w:type="dxa"/>
            <w:right w:w="28" w:type="dxa"/>
          </w:tblCellMar>
        </w:tblPrEx>
        <w:tc>
          <w:tcPr>
            <w:tcW w:w="757"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15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期初</w:t>
            </w:r>
          </w:p>
        </w:tc>
        <w:tc>
          <w:tcPr>
            <w:tcW w:w="115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本期增加</w:t>
            </w:r>
          </w:p>
        </w:tc>
        <w:tc>
          <w:tcPr>
            <w:tcW w:w="76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本期减少</w:t>
            </w:r>
          </w:p>
        </w:tc>
        <w:tc>
          <w:tcPr>
            <w:tcW w:w="126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w:t>
            </w:r>
          </w:p>
        </w:tc>
        <w:tc>
          <w:tcPr>
            <w:tcW w:w="76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期初</w:t>
            </w:r>
          </w:p>
        </w:tc>
        <w:tc>
          <w:tcPr>
            <w:tcW w:w="76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本期增加</w:t>
            </w:r>
          </w:p>
        </w:tc>
        <w:tc>
          <w:tcPr>
            <w:tcW w:w="76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本期减少</w:t>
            </w:r>
          </w:p>
        </w:tc>
        <w:tc>
          <w:tcPr>
            <w:tcW w:w="76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w:t>
            </w:r>
          </w:p>
        </w:tc>
        <w:tc>
          <w:tcPr>
            <w:tcW w:w="766"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764"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r>
      <w:tr>
        <w:tblPrEx>
          <w:tblLayout w:type="fixed"/>
          <w:tblCellMar>
            <w:top w:w="0" w:type="dxa"/>
            <w:left w:w="28" w:type="dxa"/>
            <w:bottom w:w="0" w:type="dxa"/>
            <w:right w:w="28" w:type="dxa"/>
          </w:tblCellMar>
        </w:tblPrEx>
        <w:tc>
          <w:tcPr>
            <w:tcW w:w="75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北京创金兴业投资中心</w:t>
            </w:r>
            <w:r>
              <w:rPr>
                <w:sz w:val="21"/>
                <w:szCs w:val="21"/>
              </w:rPr>
              <w:t>(</w:t>
            </w:r>
            <w:r>
              <w:rPr>
                <w:rFonts w:hint="eastAsia"/>
                <w:sz w:val="21"/>
                <w:szCs w:val="21"/>
              </w:rPr>
              <w:t>有限合伙</w:t>
            </w:r>
            <w:r>
              <w:rPr>
                <w:sz w:val="21"/>
                <w:szCs w:val="21"/>
              </w:rPr>
              <w:t>)</w:t>
            </w: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7,000,000.00</w:t>
            </w: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3,000,000.00</w:t>
            </w:r>
          </w:p>
        </w:tc>
        <w:tc>
          <w:tcPr>
            <w:tcW w:w="76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10,000,000.00</w:t>
            </w:r>
          </w:p>
        </w:tc>
        <w:tc>
          <w:tcPr>
            <w:tcW w:w="76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6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6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6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6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1.92%</w:t>
            </w:r>
          </w:p>
        </w:tc>
        <w:tc>
          <w:tcPr>
            <w:tcW w:w="7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75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7,000,000.00</w:t>
            </w: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3,000,000.00</w:t>
            </w:r>
          </w:p>
        </w:tc>
        <w:tc>
          <w:tcPr>
            <w:tcW w:w="76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10,000,000.00</w:t>
            </w:r>
          </w:p>
        </w:tc>
        <w:tc>
          <w:tcPr>
            <w:tcW w:w="76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6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6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6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76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sz w:val="21"/>
                <w:szCs w:val="21"/>
              </w:rPr>
              <w:t>--</w:t>
            </w:r>
          </w:p>
        </w:tc>
        <w:tc>
          <w:tcPr>
            <w:tcW w:w="7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bl>
    <w:p>
      <w:pPr>
        <w:pStyle w:val="11"/>
        <w:outlineLvl w:val="2"/>
        <w:rPr>
          <w:bCs w:val="0"/>
          <w:szCs w:val="24"/>
        </w:rPr>
      </w:pPr>
      <w:r>
        <w:rPr>
          <w:bCs w:val="0"/>
          <w:szCs w:val="24"/>
        </w:rPr>
        <w:t>10</w:t>
      </w:r>
      <w:r>
        <w:rPr>
          <w:rFonts w:hint="eastAsia"/>
          <w:bCs w:val="0"/>
          <w:szCs w:val="24"/>
        </w:rPr>
        <w:t>、长期股权投资</w:t>
      </w:r>
    </w:p>
    <w:p>
      <w:pPr>
        <w:jc w:val="right"/>
        <w:rPr>
          <w:szCs w:val="24"/>
        </w:rPr>
      </w:pPr>
      <w:r>
        <w:rPr>
          <w:rFonts w:hint="eastAsia"/>
          <w:szCs w:val="24"/>
        </w:rPr>
        <w:t>单位：</w:t>
      </w:r>
      <w:r>
        <w:rPr>
          <w:szCs w:val="24"/>
        </w:rPr>
        <w:t xml:space="preserve"> </w:t>
      </w:r>
      <w:r>
        <w:rPr>
          <w:rFonts w:hint="eastAsia"/>
          <w:szCs w:val="24"/>
        </w:rPr>
        <w:t>元</w:t>
      </w:r>
    </w:p>
    <w:tbl>
      <w:tblPr>
        <w:tblStyle w:val="8"/>
        <w:tblW w:w="9694" w:type="dxa"/>
        <w:tblInd w:w="0" w:type="dxa"/>
        <w:tblLayout w:type="fixed"/>
        <w:tblCellMar>
          <w:top w:w="0" w:type="dxa"/>
          <w:left w:w="28" w:type="dxa"/>
          <w:bottom w:w="0" w:type="dxa"/>
          <w:right w:w="28" w:type="dxa"/>
        </w:tblCellMar>
      </w:tblPr>
      <w:tblGrid>
        <w:gridCol w:w="476"/>
        <w:gridCol w:w="1264"/>
        <w:gridCol w:w="1264"/>
        <w:gridCol w:w="413"/>
        <w:gridCol w:w="1229"/>
        <w:gridCol w:w="1001"/>
        <w:gridCol w:w="1001"/>
        <w:gridCol w:w="445"/>
        <w:gridCol w:w="446"/>
        <w:gridCol w:w="446"/>
        <w:gridCol w:w="1264"/>
        <w:gridCol w:w="445"/>
      </w:tblGrid>
      <w:tr>
        <w:tblPrEx>
          <w:tblLayout w:type="fixed"/>
          <w:tblCellMar>
            <w:top w:w="0" w:type="dxa"/>
            <w:left w:w="28" w:type="dxa"/>
            <w:bottom w:w="0" w:type="dxa"/>
            <w:right w:w="28" w:type="dxa"/>
          </w:tblCellMar>
        </w:tblPrEx>
        <w:tc>
          <w:tcPr>
            <w:tcW w:w="476"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被投资单位</w:t>
            </w:r>
          </w:p>
        </w:tc>
        <w:tc>
          <w:tcPr>
            <w:tcW w:w="1264"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期初余额</w:t>
            </w:r>
          </w:p>
        </w:tc>
        <w:tc>
          <w:tcPr>
            <w:tcW w:w="6245" w:type="dxa"/>
            <w:gridSpan w:val="8"/>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本期增减变动</w:t>
            </w:r>
          </w:p>
        </w:tc>
        <w:tc>
          <w:tcPr>
            <w:tcW w:w="1264"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c>
          <w:tcPr>
            <w:tcW w:w="445"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减值准备期末余额</w:t>
            </w:r>
          </w:p>
        </w:tc>
      </w:tr>
      <w:tr>
        <w:tblPrEx>
          <w:tblLayout w:type="fixed"/>
          <w:tblCellMar>
            <w:top w:w="0" w:type="dxa"/>
            <w:left w:w="28" w:type="dxa"/>
            <w:bottom w:w="0" w:type="dxa"/>
            <w:right w:w="28" w:type="dxa"/>
          </w:tblCellMar>
        </w:tblPrEx>
        <w:tc>
          <w:tcPr>
            <w:tcW w:w="476"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264"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追加投资</w:t>
            </w:r>
          </w:p>
        </w:tc>
        <w:tc>
          <w:tcPr>
            <w:tcW w:w="41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减少投资</w:t>
            </w:r>
          </w:p>
        </w:tc>
        <w:tc>
          <w:tcPr>
            <w:tcW w:w="122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权益法下确认的投资损益</w:t>
            </w:r>
          </w:p>
        </w:tc>
        <w:tc>
          <w:tcPr>
            <w:tcW w:w="100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其他综合收益调整</w:t>
            </w:r>
          </w:p>
        </w:tc>
        <w:tc>
          <w:tcPr>
            <w:tcW w:w="100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其他权益变动</w:t>
            </w:r>
          </w:p>
        </w:tc>
        <w:tc>
          <w:tcPr>
            <w:tcW w:w="44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宣告发放现金股利或利润</w:t>
            </w:r>
          </w:p>
        </w:tc>
        <w:tc>
          <w:tcPr>
            <w:tcW w:w="44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计提减值准备</w:t>
            </w:r>
          </w:p>
        </w:tc>
        <w:tc>
          <w:tcPr>
            <w:tcW w:w="44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其他</w:t>
            </w:r>
          </w:p>
        </w:tc>
        <w:tc>
          <w:tcPr>
            <w:tcW w:w="1264"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445"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r>
      <w:tr>
        <w:tblPrEx>
          <w:tblLayout w:type="fixed"/>
          <w:tblCellMar>
            <w:top w:w="0" w:type="dxa"/>
            <w:left w:w="28" w:type="dxa"/>
            <w:bottom w:w="0" w:type="dxa"/>
            <w:right w:w="28" w:type="dxa"/>
          </w:tblCellMar>
        </w:tblPrEx>
        <w:tc>
          <w:tcPr>
            <w:tcW w:w="9694" w:type="dxa"/>
            <w:gridSpan w:val="12"/>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一、合营企业</w:t>
            </w:r>
          </w:p>
        </w:tc>
      </w:tr>
      <w:tr>
        <w:tblPrEx>
          <w:tblLayout w:type="fixed"/>
          <w:tblCellMar>
            <w:top w:w="0" w:type="dxa"/>
            <w:left w:w="28" w:type="dxa"/>
            <w:bottom w:w="0" w:type="dxa"/>
            <w:right w:w="28" w:type="dxa"/>
          </w:tblCellMar>
        </w:tblPrEx>
        <w:tc>
          <w:tcPr>
            <w:tcW w:w="47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41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2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0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0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44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44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44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44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47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小计</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41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2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0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0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44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44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44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44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9694" w:type="dxa"/>
            <w:gridSpan w:val="12"/>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二、联营企业</w:t>
            </w:r>
          </w:p>
        </w:tc>
      </w:tr>
      <w:tr>
        <w:tblPrEx>
          <w:tblLayout w:type="fixed"/>
          <w:tblCellMar>
            <w:top w:w="0" w:type="dxa"/>
            <w:left w:w="28" w:type="dxa"/>
            <w:bottom w:w="0" w:type="dxa"/>
            <w:right w:w="28" w:type="dxa"/>
          </w:tblCellMar>
        </w:tblPrEx>
        <w:tc>
          <w:tcPr>
            <w:tcW w:w="47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北京蓝鲸众合投资管理有限公司（注</w:t>
            </w:r>
            <w:r>
              <w:rPr>
                <w:sz w:val="21"/>
                <w:szCs w:val="21"/>
              </w:rPr>
              <w:t>1</w:t>
            </w:r>
            <w:r>
              <w:rPr>
                <w:rFonts w:hint="eastAsia"/>
                <w:sz w:val="21"/>
                <w:szCs w:val="21"/>
              </w:rPr>
              <w:t>）</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2,183,576.41</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41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2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-213,279.31</w:t>
            </w:r>
          </w:p>
        </w:tc>
        <w:tc>
          <w:tcPr>
            <w:tcW w:w="10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0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151,234.83</w:t>
            </w:r>
          </w:p>
        </w:tc>
        <w:tc>
          <w:tcPr>
            <w:tcW w:w="44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44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44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2,121,531.93</w:t>
            </w:r>
          </w:p>
        </w:tc>
        <w:tc>
          <w:tcPr>
            <w:tcW w:w="44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47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杭州边界电子技术有限公司</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11,948,421.44</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41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2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-866,380.04</w:t>
            </w:r>
          </w:p>
        </w:tc>
        <w:tc>
          <w:tcPr>
            <w:tcW w:w="10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0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44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44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44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11,082,041.40</w:t>
            </w:r>
          </w:p>
        </w:tc>
        <w:tc>
          <w:tcPr>
            <w:tcW w:w="44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47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江苏海兰信海洋工程技术开发有限公司</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29,573,749.43</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41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2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-244,918.35</w:t>
            </w:r>
          </w:p>
        </w:tc>
        <w:tc>
          <w:tcPr>
            <w:tcW w:w="10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897,283.90</w:t>
            </w:r>
          </w:p>
        </w:tc>
        <w:tc>
          <w:tcPr>
            <w:tcW w:w="10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44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44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44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30,226,114.98</w:t>
            </w:r>
          </w:p>
        </w:tc>
        <w:tc>
          <w:tcPr>
            <w:tcW w:w="44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47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武汉劳雷绿湾船舶科技有限公司</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12,998,301.62</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41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2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-308,961.85</w:t>
            </w:r>
          </w:p>
        </w:tc>
        <w:tc>
          <w:tcPr>
            <w:tcW w:w="10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0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44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44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44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12,689,339.77</w:t>
            </w:r>
          </w:p>
        </w:tc>
        <w:tc>
          <w:tcPr>
            <w:tcW w:w="44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47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浙江海兰信海洋信息科技有限公司（注</w:t>
            </w:r>
            <w:r>
              <w:rPr>
                <w:sz w:val="21"/>
                <w:szCs w:val="21"/>
              </w:rPr>
              <w:t>2</w:t>
            </w:r>
            <w:r>
              <w:rPr>
                <w:rFonts w:hint="eastAsia"/>
                <w:sz w:val="21"/>
                <w:szCs w:val="21"/>
              </w:rPr>
              <w:t>）</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20,000,000.00</w:t>
            </w:r>
          </w:p>
        </w:tc>
        <w:tc>
          <w:tcPr>
            <w:tcW w:w="41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2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-33,181.29</w:t>
            </w:r>
          </w:p>
        </w:tc>
        <w:tc>
          <w:tcPr>
            <w:tcW w:w="10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0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44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44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44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19,966,818.71</w:t>
            </w:r>
          </w:p>
        </w:tc>
        <w:tc>
          <w:tcPr>
            <w:tcW w:w="44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47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小计</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56,704,048.90</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20,000,000.00</w:t>
            </w:r>
          </w:p>
        </w:tc>
        <w:tc>
          <w:tcPr>
            <w:tcW w:w="41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2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-1,666,720.84</w:t>
            </w:r>
          </w:p>
        </w:tc>
        <w:tc>
          <w:tcPr>
            <w:tcW w:w="10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897,283.90</w:t>
            </w:r>
          </w:p>
        </w:tc>
        <w:tc>
          <w:tcPr>
            <w:tcW w:w="10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151,234.83</w:t>
            </w:r>
          </w:p>
        </w:tc>
        <w:tc>
          <w:tcPr>
            <w:tcW w:w="44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44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44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76,085,846.79</w:t>
            </w:r>
          </w:p>
        </w:tc>
        <w:tc>
          <w:tcPr>
            <w:tcW w:w="44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47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56,704,048.90</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20,000,000.00</w:t>
            </w:r>
          </w:p>
        </w:tc>
        <w:tc>
          <w:tcPr>
            <w:tcW w:w="41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2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-1,666,720.84</w:t>
            </w:r>
          </w:p>
        </w:tc>
        <w:tc>
          <w:tcPr>
            <w:tcW w:w="10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897,283.90</w:t>
            </w:r>
          </w:p>
        </w:tc>
        <w:tc>
          <w:tcPr>
            <w:tcW w:w="10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151,234.83</w:t>
            </w:r>
          </w:p>
        </w:tc>
        <w:tc>
          <w:tcPr>
            <w:tcW w:w="44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44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44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76,085,846.79</w:t>
            </w:r>
          </w:p>
        </w:tc>
        <w:tc>
          <w:tcPr>
            <w:tcW w:w="44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bl>
    <w:p>
      <w:pPr>
        <w:autoSpaceDE w:val="0"/>
        <w:autoSpaceDN w:val="0"/>
        <w:adjustRightInd w:val="0"/>
        <w:spacing w:before="240" w:after="0"/>
        <w:ind w:firstLine="425"/>
        <w:rPr>
          <w:rFonts w:eastAsia="Times New Roman"/>
          <w:kern w:val="0"/>
          <w:sz w:val="21"/>
          <w:szCs w:val="21"/>
          <w:lang w:val="zh-CN"/>
        </w:rPr>
      </w:pPr>
      <w:r>
        <w:rPr>
          <w:rFonts w:hint="eastAsia" w:ascii="宋体" w:hAnsi="宋体" w:cs="宋体"/>
          <w:kern w:val="0"/>
          <w:sz w:val="21"/>
          <w:szCs w:val="21"/>
          <w:lang w:val="zh-CN"/>
        </w:rPr>
        <w:t>注</w:t>
      </w:r>
      <w:r>
        <w:rPr>
          <w:rFonts w:eastAsia="Times New Roman"/>
          <w:kern w:val="0"/>
          <w:sz w:val="21"/>
          <w:szCs w:val="21"/>
          <w:lang w:val="zh-CN"/>
        </w:rPr>
        <w:t>1</w:t>
      </w:r>
      <w:r>
        <w:rPr>
          <w:rFonts w:hint="eastAsia" w:ascii="宋体" w:hAnsi="宋体" w:cs="宋体"/>
          <w:kern w:val="0"/>
          <w:sz w:val="21"/>
          <w:szCs w:val="21"/>
          <w:lang w:val="zh-CN"/>
        </w:rPr>
        <w:t>：由于北京蓝鲸众合投资管理有限公司引入新股东，导致本公司对其持股比例由</w:t>
      </w:r>
      <w:r>
        <w:rPr>
          <w:rFonts w:eastAsia="Times New Roman"/>
          <w:kern w:val="0"/>
          <w:sz w:val="21"/>
          <w:szCs w:val="21"/>
          <w:lang w:val="zh-CN"/>
        </w:rPr>
        <w:t>20%</w:t>
      </w:r>
      <w:r>
        <w:rPr>
          <w:rFonts w:hint="eastAsia" w:ascii="宋体" w:hAnsi="宋体" w:cs="宋体"/>
          <w:kern w:val="0"/>
          <w:sz w:val="21"/>
          <w:szCs w:val="21"/>
          <w:lang w:val="zh-CN"/>
        </w:rPr>
        <w:t>变为</w:t>
      </w:r>
      <w:r>
        <w:rPr>
          <w:rFonts w:eastAsia="Times New Roman"/>
          <w:kern w:val="0"/>
          <w:sz w:val="21"/>
          <w:szCs w:val="21"/>
          <w:lang w:val="zh-CN"/>
        </w:rPr>
        <w:t>16.67%</w:t>
      </w:r>
      <w:r>
        <w:rPr>
          <w:rFonts w:hint="eastAsia" w:ascii="宋体" w:hAnsi="宋体" w:cs="宋体"/>
          <w:kern w:val="0"/>
          <w:sz w:val="21"/>
          <w:szCs w:val="21"/>
          <w:lang w:val="zh-CN"/>
        </w:rPr>
        <w:t>。新股东增资导致本公司享有的北京蓝鲸众合投资管理有限公司净资产增加</w:t>
      </w:r>
      <w:r>
        <w:rPr>
          <w:rFonts w:eastAsia="Times New Roman"/>
          <w:kern w:val="0"/>
          <w:sz w:val="21"/>
          <w:szCs w:val="21"/>
          <w:lang w:val="en-GB"/>
        </w:rPr>
        <w:t>151,234.83</w:t>
      </w:r>
      <w:r>
        <w:rPr>
          <w:rFonts w:hint="eastAsia" w:ascii="宋体" w:hAnsi="宋体" w:cs="宋体"/>
          <w:kern w:val="0"/>
          <w:sz w:val="21"/>
          <w:szCs w:val="21"/>
          <w:lang w:val="zh-CN"/>
        </w:rPr>
        <w:t>元。</w:t>
      </w:r>
    </w:p>
    <w:p>
      <w:pPr>
        <w:autoSpaceDE w:val="0"/>
        <w:autoSpaceDN w:val="0"/>
        <w:adjustRightInd w:val="0"/>
        <w:spacing w:before="240" w:after="240"/>
        <w:ind w:firstLine="440"/>
        <w:rPr>
          <w:rFonts w:eastAsia="Times New Roman"/>
          <w:kern w:val="0"/>
          <w:sz w:val="21"/>
          <w:szCs w:val="21"/>
          <w:lang w:val="zh-CN"/>
        </w:rPr>
      </w:pPr>
      <w:r>
        <w:rPr>
          <w:rFonts w:hint="eastAsia" w:ascii="宋体" w:hAnsi="宋体" w:cs="宋体"/>
          <w:kern w:val="0"/>
          <w:sz w:val="21"/>
          <w:szCs w:val="21"/>
          <w:lang w:val="zh-CN"/>
        </w:rPr>
        <w:t>注</w:t>
      </w:r>
      <w:r>
        <w:rPr>
          <w:rFonts w:eastAsia="Times New Roman"/>
          <w:kern w:val="0"/>
          <w:sz w:val="21"/>
          <w:szCs w:val="21"/>
          <w:lang w:val="zh-CN"/>
        </w:rPr>
        <w:t>2</w:t>
      </w:r>
      <w:r>
        <w:rPr>
          <w:rFonts w:hint="eastAsia" w:ascii="宋体" w:hAnsi="宋体" w:cs="宋体"/>
          <w:kern w:val="0"/>
          <w:sz w:val="21"/>
          <w:szCs w:val="21"/>
          <w:lang w:val="zh-CN"/>
        </w:rPr>
        <w:t>：</w:t>
      </w:r>
      <w:r>
        <w:rPr>
          <w:rFonts w:eastAsia="Times New Roman"/>
          <w:kern w:val="0"/>
          <w:sz w:val="21"/>
          <w:szCs w:val="21"/>
          <w:lang w:val="zh-CN"/>
        </w:rPr>
        <w:t xml:space="preserve"> </w:t>
      </w:r>
      <w:r>
        <w:rPr>
          <w:rFonts w:eastAsia="Times New Roman"/>
          <w:kern w:val="0"/>
          <w:sz w:val="21"/>
          <w:szCs w:val="21"/>
          <w:lang w:val="en-GB"/>
        </w:rPr>
        <w:t>2016</w:t>
      </w:r>
      <w:r>
        <w:rPr>
          <w:rFonts w:hint="eastAsia" w:ascii="宋体" w:hAnsi="宋体" w:cs="宋体"/>
          <w:kern w:val="0"/>
          <w:sz w:val="21"/>
          <w:szCs w:val="21"/>
          <w:lang w:val="zh-CN"/>
        </w:rPr>
        <w:t>年</w:t>
      </w:r>
      <w:r>
        <w:rPr>
          <w:rFonts w:eastAsia="Times New Roman"/>
          <w:kern w:val="0"/>
          <w:sz w:val="21"/>
          <w:szCs w:val="21"/>
          <w:lang w:val="en-GB"/>
        </w:rPr>
        <w:t>9</w:t>
      </w:r>
      <w:r>
        <w:rPr>
          <w:rFonts w:hint="eastAsia" w:ascii="宋体" w:hAnsi="宋体" w:cs="宋体"/>
          <w:kern w:val="0"/>
          <w:sz w:val="21"/>
          <w:szCs w:val="21"/>
          <w:lang w:val="zh-CN"/>
        </w:rPr>
        <w:t>月份，本公司对浙江海兰信海洋信息科技有限公司投资</w:t>
      </w:r>
      <w:r>
        <w:rPr>
          <w:rFonts w:eastAsia="Times New Roman"/>
          <w:kern w:val="0"/>
          <w:sz w:val="21"/>
          <w:szCs w:val="21"/>
          <w:lang w:val="en-GB"/>
        </w:rPr>
        <w:t>2000</w:t>
      </w:r>
      <w:r>
        <w:rPr>
          <w:rFonts w:hint="eastAsia" w:ascii="宋体" w:hAnsi="宋体" w:cs="宋体"/>
          <w:kern w:val="0"/>
          <w:sz w:val="21"/>
          <w:szCs w:val="21"/>
          <w:lang w:val="zh-CN"/>
        </w:rPr>
        <w:t>万元，持股比例为</w:t>
      </w:r>
      <w:r>
        <w:rPr>
          <w:rFonts w:eastAsia="Times New Roman"/>
          <w:kern w:val="0"/>
          <w:sz w:val="21"/>
          <w:szCs w:val="21"/>
          <w:lang w:val="en-GB"/>
        </w:rPr>
        <w:t>40%</w:t>
      </w:r>
      <w:r>
        <w:rPr>
          <w:rFonts w:hint="eastAsia" w:ascii="宋体" w:hAnsi="宋体" w:cs="宋体"/>
          <w:kern w:val="0"/>
          <w:sz w:val="21"/>
          <w:szCs w:val="21"/>
          <w:lang w:val="zh-CN"/>
        </w:rPr>
        <w:t>，浙江海兰信海洋信息科技有限公司主要经营电子信息技术开发、转让、咨询、服务、培训等内容。</w:t>
      </w:r>
    </w:p>
    <w:p>
      <w:pPr>
        <w:pStyle w:val="11"/>
        <w:outlineLvl w:val="2"/>
        <w:rPr>
          <w:bCs w:val="0"/>
          <w:szCs w:val="24"/>
        </w:rPr>
      </w:pPr>
      <w:r>
        <w:rPr>
          <w:bCs w:val="0"/>
          <w:szCs w:val="24"/>
        </w:rPr>
        <w:t>11</w:t>
      </w:r>
      <w:r>
        <w:rPr>
          <w:rFonts w:hint="eastAsia"/>
          <w:bCs w:val="0"/>
          <w:szCs w:val="24"/>
        </w:rPr>
        <w:t>、固定资产</w:t>
      </w:r>
    </w:p>
    <w:p>
      <w:pPr>
        <w:pStyle w:val="11"/>
        <w:outlineLvl w:val="3"/>
        <w:rPr>
          <w:bCs w:val="0"/>
          <w:szCs w:val="24"/>
        </w:rPr>
      </w:pPr>
      <w:r>
        <w:rPr>
          <w:rFonts w:hint="eastAsia"/>
          <w:bCs w:val="0"/>
          <w:szCs w:val="24"/>
        </w:rPr>
        <w:t>（</w:t>
      </w:r>
      <w:r>
        <w:rPr>
          <w:bCs w:val="0"/>
          <w:szCs w:val="24"/>
        </w:rPr>
        <w:t>1</w:t>
      </w:r>
      <w:r>
        <w:rPr>
          <w:rFonts w:hint="eastAsia"/>
          <w:bCs w:val="0"/>
          <w:szCs w:val="24"/>
        </w:rPr>
        <w:t>）固定资产情况</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564" w:type="dxa"/>
        <w:tblInd w:w="28" w:type="dxa"/>
        <w:tblLayout w:type="fixed"/>
        <w:tblCellMar>
          <w:top w:w="0" w:type="dxa"/>
          <w:left w:w="28" w:type="dxa"/>
          <w:bottom w:w="0" w:type="dxa"/>
          <w:right w:w="28" w:type="dxa"/>
        </w:tblCellMar>
      </w:tblPr>
      <w:tblGrid>
        <w:gridCol w:w="1594"/>
        <w:gridCol w:w="1594"/>
        <w:gridCol w:w="1594"/>
        <w:gridCol w:w="1594"/>
        <w:gridCol w:w="1594"/>
        <w:gridCol w:w="1594"/>
      </w:tblGrid>
      <w:tr>
        <w:tblPrEx>
          <w:tblLayout w:type="fixed"/>
          <w:tblCellMar>
            <w:top w:w="0" w:type="dxa"/>
            <w:left w:w="28" w:type="dxa"/>
            <w:bottom w:w="0" w:type="dxa"/>
            <w:right w:w="28" w:type="dxa"/>
          </w:tblCellMar>
        </w:tblPrEx>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1594" w:type="dxa"/>
            <w:tcBorders>
              <w:top w:val="single" w:color="auto" w:sz="4" w:space="0"/>
              <w:left w:val="single" w:color="auto" w:sz="4" w:space="0"/>
              <w:bottom w:val="single" w:color="auto" w:sz="4" w:space="0"/>
              <w:right w:val="single" w:color="auto" w:sz="4" w:space="0"/>
            </w:tcBorders>
            <w:shd w:val="clear" w:color="auto" w:fill="E1FFFF"/>
            <w:vAlign w:val="center"/>
          </w:tcPr>
          <w:p>
            <w:pPr>
              <w:jc w:val="center"/>
              <w:rPr>
                <w:sz w:val="21"/>
                <w:szCs w:val="21"/>
              </w:rPr>
            </w:pPr>
            <w:r>
              <w:rPr>
                <w:rFonts w:hint="eastAsia"/>
                <w:sz w:val="21"/>
                <w:szCs w:val="21"/>
              </w:rPr>
              <w:t>房屋建筑物</w:t>
            </w:r>
          </w:p>
        </w:tc>
        <w:tc>
          <w:tcPr>
            <w:tcW w:w="1594" w:type="dxa"/>
            <w:tcBorders>
              <w:top w:val="single" w:color="auto" w:sz="4" w:space="0"/>
              <w:left w:val="single" w:color="auto" w:sz="4" w:space="0"/>
              <w:bottom w:val="single" w:color="auto" w:sz="4" w:space="0"/>
              <w:right w:val="single" w:color="auto" w:sz="4" w:space="0"/>
            </w:tcBorders>
            <w:shd w:val="clear" w:color="auto" w:fill="E1FFFF"/>
            <w:vAlign w:val="center"/>
          </w:tcPr>
          <w:p>
            <w:pPr>
              <w:jc w:val="center"/>
              <w:rPr>
                <w:sz w:val="21"/>
                <w:szCs w:val="21"/>
              </w:rPr>
            </w:pPr>
            <w:r>
              <w:rPr>
                <w:rFonts w:hint="eastAsia"/>
                <w:sz w:val="21"/>
                <w:szCs w:val="21"/>
              </w:rPr>
              <w:t>机器设备</w:t>
            </w:r>
          </w:p>
        </w:tc>
        <w:tc>
          <w:tcPr>
            <w:tcW w:w="1594" w:type="dxa"/>
            <w:tcBorders>
              <w:top w:val="single" w:color="auto" w:sz="4" w:space="0"/>
              <w:left w:val="single" w:color="auto" w:sz="4" w:space="0"/>
              <w:bottom w:val="single" w:color="auto" w:sz="4" w:space="0"/>
              <w:right w:val="single" w:color="auto" w:sz="4" w:space="0"/>
            </w:tcBorders>
            <w:shd w:val="clear" w:color="auto" w:fill="E1FFFF"/>
            <w:vAlign w:val="center"/>
          </w:tcPr>
          <w:p>
            <w:pPr>
              <w:jc w:val="center"/>
              <w:rPr>
                <w:sz w:val="21"/>
                <w:szCs w:val="21"/>
              </w:rPr>
            </w:pPr>
            <w:r>
              <w:rPr>
                <w:rFonts w:hint="eastAsia"/>
                <w:sz w:val="21"/>
                <w:szCs w:val="21"/>
              </w:rPr>
              <w:t>运输设备</w:t>
            </w:r>
          </w:p>
        </w:tc>
        <w:tc>
          <w:tcPr>
            <w:tcW w:w="1594" w:type="dxa"/>
            <w:tcBorders>
              <w:top w:val="single" w:color="auto" w:sz="4" w:space="0"/>
              <w:left w:val="single" w:color="auto" w:sz="4" w:space="0"/>
              <w:bottom w:val="single" w:color="auto" w:sz="4" w:space="0"/>
              <w:right w:val="single" w:color="auto" w:sz="4" w:space="0"/>
            </w:tcBorders>
            <w:shd w:val="clear" w:color="auto" w:fill="E1FFFF"/>
            <w:vAlign w:val="center"/>
          </w:tcPr>
          <w:p>
            <w:pPr>
              <w:jc w:val="center"/>
              <w:rPr>
                <w:sz w:val="21"/>
                <w:szCs w:val="21"/>
              </w:rPr>
            </w:pPr>
            <w:r>
              <w:rPr>
                <w:rFonts w:hint="eastAsia"/>
                <w:sz w:val="21"/>
                <w:szCs w:val="21"/>
              </w:rPr>
              <w:t>办公设备及其他</w:t>
            </w:r>
          </w:p>
        </w:tc>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合计</w:t>
            </w:r>
          </w:p>
        </w:tc>
      </w:tr>
      <w:tr>
        <w:tblPrEx>
          <w:tblLayout w:type="fixed"/>
          <w:tblCellMar>
            <w:top w:w="0" w:type="dxa"/>
            <w:left w:w="28" w:type="dxa"/>
            <w:bottom w:w="0" w:type="dxa"/>
            <w:right w:w="28" w:type="dxa"/>
          </w:tblCellMar>
        </w:tblPrEx>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一、账面原值：</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1.</w:t>
            </w:r>
            <w:r>
              <w:rPr>
                <w:rFonts w:hint="eastAsia"/>
                <w:sz w:val="21"/>
                <w:szCs w:val="21"/>
              </w:rPr>
              <w:t>期初余额</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65,185,659.51</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23,930,635.73</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12,444,815.13</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28,825,317.34</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130,386,427.71</w:t>
            </w:r>
          </w:p>
        </w:tc>
      </w:tr>
      <w:tr>
        <w:tblPrEx>
          <w:tblLayout w:type="fixed"/>
          <w:tblCellMar>
            <w:top w:w="0" w:type="dxa"/>
            <w:left w:w="28" w:type="dxa"/>
            <w:bottom w:w="0" w:type="dxa"/>
            <w:right w:w="28" w:type="dxa"/>
          </w:tblCellMar>
        </w:tblPrEx>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2.</w:t>
            </w:r>
            <w:r>
              <w:rPr>
                <w:rFonts w:hint="eastAsia"/>
                <w:sz w:val="21"/>
                <w:szCs w:val="21"/>
              </w:rPr>
              <w:t>本期增加金额</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237,484.17</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446,322.40</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1,944,325.61</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2,628,132.18</w:t>
            </w:r>
          </w:p>
        </w:tc>
      </w:tr>
      <w:tr>
        <w:tblPrEx>
          <w:tblLayout w:type="fixed"/>
          <w:tblCellMar>
            <w:top w:w="0" w:type="dxa"/>
            <w:left w:w="28" w:type="dxa"/>
            <w:bottom w:w="0" w:type="dxa"/>
            <w:right w:w="28" w:type="dxa"/>
          </w:tblCellMar>
        </w:tblPrEx>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1</w:t>
            </w:r>
            <w:r>
              <w:rPr>
                <w:rFonts w:hint="eastAsia"/>
                <w:sz w:val="21"/>
                <w:szCs w:val="21"/>
              </w:rPr>
              <w:t>）购置</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237,484.17</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227,333.32</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1,314,521.65</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1,779,339.14</w:t>
            </w:r>
          </w:p>
        </w:tc>
      </w:tr>
      <w:tr>
        <w:tblPrEx>
          <w:tblLayout w:type="fixed"/>
          <w:tblCellMar>
            <w:top w:w="0" w:type="dxa"/>
            <w:left w:w="28" w:type="dxa"/>
            <w:bottom w:w="0" w:type="dxa"/>
            <w:right w:w="28" w:type="dxa"/>
          </w:tblCellMar>
        </w:tblPrEx>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2</w:t>
            </w:r>
            <w:r>
              <w:rPr>
                <w:rFonts w:hint="eastAsia"/>
                <w:sz w:val="21"/>
                <w:szCs w:val="21"/>
              </w:rPr>
              <w:t>）在建工程转入</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3</w:t>
            </w:r>
            <w:r>
              <w:rPr>
                <w:rFonts w:hint="eastAsia"/>
                <w:sz w:val="21"/>
                <w:szCs w:val="21"/>
              </w:rPr>
              <w:t>）企业合并增加</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218,989.08</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629,803.96</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848,793.04</w:t>
            </w:r>
          </w:p>
        </w:tc>
      </w:tr>
      <w:tr>
        <w:tblPrEx>
          <w:tblLayout w:type="fixed"/>
          <w:tblCellMar>
            <w:top w:w="0" w:type="dxa"/>
            <w:left w:w="28" w:type="dxa"/>
            <w:bottom w:w="0" w:type="dxa"/>
            <w:right w:w="28" w:type="dxa"/>
          </w:tblCellMar>
        </w:tblPrEx>
        <w:tc>
          <w:tcPr>
            <w:tcW w:w="1594" w:type="dxa"/>
            <w:tcBorders>
              <w:top w:val="single" w:color="auto" w:sz="4" w:space="0"/>
              <w:left w:val="single" w:color="auto" w:sz="4" w:space="0"/>
              <w:bottom w:val="single" w:color="auto" w:sz="4" w:space="0"/>
              <w:right w:val="single" w:color="auto" w:sz="4" w:space="0"/>
            </w:tcBorders>
            <w:shd w:val="clear" w:color="auto" w:fill="E1FFFF"/>
            <w:vAlign w:val="center"/>
          </w:tcPr>
          <w:p>
            <w:pPr>
              <w:jc w:val="lef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3.</w:t>
            </w:r>
            <w:r>
              <w:rPr>
                <w:rFonts w:hint="eastAsia"/>
                <w:sz w:val="21"/>
                <w:szCs w:val="21"/>
              </w:rPr>
              <w:t>本期减少金额</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657,681.76</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1,364,001.70</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2,021,683.46</w:t>
            </w:r>
          </w:p>
        </w:tc>
      </w:tr>
      <w:tr>
        <w:tblPrEx>
          <w:tblLayout w:type="fixed"/>
          <w:tblCellMar>
            <w:top w:w="0" w:type="dxa"/>
            <w:left w:w="28" w:type="dxa"/>
            <w:bottom w:w="0" w:type="dxa"/>
            <w:right w:w="28" w:type="dxa"/>
          </w:tblCellMar>
        </w:tblPrEx>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1</w:t>
            </w:r>
            <w:r>
              <w:rPr>
                <w:rFonts w:hint="eastAsia"/>
                <w:sz w:val="21"/>
                <w:szCs w:val="21"/>
              </w:rPr>
              <w:t>）处置或报废</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657,681.76</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1,364,001.70</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2,021,683.46</w:t>
            </w:r>
          </w:p>
        </w:tc>
      </w:tr>
      <w:tr>
        <w:tblPrEx>
          <w:tblLayout w:type="fixed"/>
          <w:tblCellMar>
            <w:top w:w="0" w:type="dxa"/>
            <w:left w:w="28" w:type="dxa"/>
            <w:bottom w:w="0" w:type="dxa"/>
            <w:right w:w="28" w:type="dxa"/>
          </w:tblCellMar>
        </w:tblPrEx>
        <w:tc>
          <w:tcPr>
            <w:tcW w:w="1594" w:type="dxa"/>
            <w:tcBorders>
              <w:top w:val="single" w:color="auto" w:sz="4" w:space="0"/>
              <w:left w:val="single" w:color="auto" w:sz="4" w:space="0"/>
              <w:bottom w:val="single" w:color="auto" w:sz="4" w:space="0"/>
              <w:right w:val="single" w:color="auto" w:sz="4" w:space="0"/>
            </w:tcBorders>
            <w:shd w:val="clear" w:color="auto" w:fill="E1FFFF"/>
            <w:vAlign w:val="center"/>
          </w:tcPr>
          <w:p>
            <w:pPr>
              <w:jc w:val="lef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4.</w:t>
            </w:r>
            <w:r>
              <w:rPr>
                <w:rFonts w:hint="eastAsia"/>
                <w:sz w:val="21"/>
                <w:szCs w:val="21"/>
              </w:rPr>
              <w:t>期末余额</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65,185,659.51</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24,168,119.90</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12,233,455.77</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29,405,641.25</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130,992,876.43</w:t>
            </w:r>
          </w:p>
        </w:tc>
      </w:tr>
      <w:tr>
        <w:tblPrEx>
          <w:tblLayout w:type="fixed"/>
          <w:tblCellMar>
            <w:top w:w="0" w:type="dxa"/>
            <w:left w:w="28" w:type="dxa"/>
            <w:bottom w:w="0" w:type="dxa"/>
            <w:right w:w="28" w:type="dxa"/>
          </w:tblCellMar>
        </w:tblPrEx>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二、累计折旧</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1.</w:t>
            </w:r>
            <w:r>
              <w:rPr>
                <w:rFonts w:hint="eastAsia"/>
                <w:sz w:val="21"/>
                <w:szCs w:val="21"/>
              </w:rPr>
              <w:t>期初余额</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6,030,945.83</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18,527,894.89</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7,755,847.52</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12,706,629.03</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45,021,317.27</w:t>
            </w:r>
          </w:p>
        </w:tc>
      </w:tr>
      <w:tr>
        <w:tblPrEx>
          <w:tblLayout w:type="fixed"/>
          <w:tblCellMar>
            <w:top w:w="0" w:type="dxa"/>
            <w:left w:w="28" w:type="dxa"/>
            <w:bottom w:w="0" w:type="dxa"/>
            <w:right w:w="28" w:type="dxa"/>
          </w:tblCellMar>
        </w:tblPrEx>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2.</w:t>
            </w:r>
            <w:r>
              <w:rPr>
                <w:rFonts w:hint="eastAsia"/>
                <w:sz w:val="21"/>
                <w:szCs w:val="21"/>
              </w:rPr>
              <w:t>本期增加金额</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1,549,507.56</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3,913,662.41</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2,234,018.42</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4,310,420.59</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12,007,608.98</w:t>
            </w:r>
          </w:p>
        </w:tc>
      </w:tr>
      <w:tr>
        <w:tblPrEx>
          <w:tblLayout w:type="fixed"/>
          <w:tblCellMar>
            <w:top w:w="0" w:type="dxa"/>
            <w:left w:w="28" w:type="dxa"/>
            <w:bottom w:w="0" w:type="dxa"/>
            <w:right w:w="28" w:type="dxa"/>
          </w:tblCellMar>
        </w:tblPrEx>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1</w:t>
            </w:r>
            <w:r>
              <w:rPr>
                <w:rFonts w:hint="eastAsia"/>
                <w:sz w:val="21"/>
                <w:szCs w:val="21"/>
              </w:rPr>
              <w:t>）计提</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1,549,507.56</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3,913,662.41</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2,234,018.42</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4,310,420.59</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12,007,608.98</w:t>
            </w:r>
          </w:p>
        </w:tc>
      </w:tr>
      <w:tr>
        <w:tblPrEx>
          <w:tblLayout w:type="fixed"/>
          <w:tblCellMar>
            <w:top w:w="0" w:type="dxa"/>
            <w:left w:w="28" w:type="dxa"/>
            <w:bottom w:w="0" w:type="dxa"/>
            <w:right w:w="28" w:type="dxa"/>
          </w:tblCellMar>
        </w:tblPrEx>
        <w:tc>
          <w:tcPr>
            <w:tcW w:w="1594" w:type="dxa"/>
            <w:tcBorders>
              <w:top w:val="single" w:color="auto" w:sz="4" w:space="0"/>
              <w:left w:val="single" w:color="auto" w:sz="4" w:space="0"/>
              <w:bottom w:val="single" w:color="auto" w:sz="4" w:space="0"/>
              <w:right w:val="single" w:color="auto" w:sz="4" w:space="0"/>
            </w:tcBorders>
            <w:shd w:val="clear" w:color="auto" w:fill="E1FFFF"/>
            <w:vAlign w:val="center"/>
          </w:tcPr>
          <w:p>
            <w:pPr>
              <w:jc w:val="lef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3.</w:t>
            </w:r>
            <w:r>
              <w:rPr>
                <w:rFonts w:hint="eastAsia"/>
                <w:sz w:val="21"/>
                <w:szCs w:val="21"/>
              </w:rPr>
              <w:t>本期减少金额</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563,868.72</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1,208,664.65</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1,772,533.37</w:t>
            </w:r>
          </w:p>
        </w:tc>
      </w:tr>
      <w:tr>
        <w:tblPrEx>
          <w:tblLayout w:type="fixed"/>
          <w:tblCellMar>
            <w:top w:w="0" w:type="dxa"/>
            <w:left w:w="28" w:type="dxa"/>
            <w:bottom w:w="0" w:type="dxa"/>
            <w:right w:w="28" w:type="dxa"/>
          </w:tblCellMar>
        </w:tblPrEx>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1</w:t>
            </w:r>
            <w:r>
              <w:rPr>
                <w:rFonts w:hint="eastAsia"/>
                <w:sz w:val="21"/>
                <w:szCs w:val="21"/>
              </w:rPr>
              <w:t>）处置或报废</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563,868.72</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1,208,664.65</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1,772,533.37</w:t>
            </w:r>
          </w:p>
        </w:tc>
      </w:tr>
      <w:tr>
        <w:tblPrEx>
          <w:tblLayout w:type="fixed"/>
          <w:tblCellMar>
            <w:top w:w="0" w:type="dxa"/>
            <w:left w:w="28" w:type="dxa"/>
            <w:bottom w:w="0" w:type="dxa"/>
            <w:right w:w="28" w:type="dxa"/>
          </w:tblCellMar>
        </w:tblPrEx>
        <w:tc>
          <w:tcPr>
            <w:tcW w:w="1594" w:type="dxa"/>
            <w:tcBorders>
              <w:top w:val="single" w:color="auto" w:sz="4" w:space="0"/>
              <w:left w:val="single" w:color="auto" w:sz="4" w:space="0"/>
              <w:bottom w:val="single" w:color="auto" w:sz="4" w:space="0"/>
              <w:right w:val="single" w:color="auto" w:sz="4" w:space="0"/>
            </w:tcBorders>
            <w:shd w:val="clear" w:color="auto" w:fill="E1FFFF"/>
            <w:vAlign w:val="center"/>
          </w:tcPr>
          <w:p>
            <w:pPr>
              <w:jc w:val="lef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4.</w:t>
            </w:r>
            <w:r>
              <w:rPr>
                <w:rFonts w:hint="eastAsia"/>
                <w:sz w:val="21"/>
                <w:szCs w:val="21"/>
              </w:rPr>
              <w:t>期末余额</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7,580,453.39</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22,441,557.30</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9,425,997.22</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15,808,384.97</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55,256,392.88</w:t>
            </w:r>
          </w:p>
        </w:tc>
      </w:tr>
      <w:tr>
        <w:tblPrEx>
          <w:tblLayout w:type="fixed"/>
          <w:tblCellMar>
            <w:top w:w="0" w:type="dxa"/>
            <w:left w:w="28" w:type="dxa"/>
            <w:bottom w:w="0" w:type="dxa"/>
            <w:right w:w="28" w:type="dxa"/>
          </w:tblCellMar>
        </w:tblPrEx>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三、减值准备</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1.</w:t>
            </w:r>
            <w:r>
              <w:rPr>
                <w:rFonts w:hint="eastAsia"/>
                <w:sz w:val="21"/>
                <w:szCs w:val="21"/>
              </w:rPr>
              <w:t>期初余额</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2.</w:t>
            </w:r>
            <w:r>
              <w:rPr>
                <w:rFonts w:hint="eastAsia"/>
                <w:sz w:val="21"/>
                <w:szCs w:val="21"/>
              </w:rPr>
              <w:t>本期增加金额</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1</w:t>
            </w:r>
            <w:r>
              <w:rPr>
                <w:rFonts w:hint="eastAsia"/>
                <w:sz w:val="21"/>
                <w:szCs w:val="21"/>
              </w:rPr>
              <w:t>）计提</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594" w:type="dxa"/>
            <w:tcBorders>
              <w:top w:val="single" w:color="auto" w:sz="4" w:space="0"/>
              <w:left w:val="single" w:color="auto" w:sz="4" w:space="0"/>
              <w:bottom w:val="single" w:color="auto" w:sz="4" w:space="0"/>
              <w:right w:val="single" w:color="auto" w:sz="4" w:space="0"/>
            </w:tcBorders>
            <w:shd w:val="clear" w:color="auto" w:fill="E1FFFF"/>
            <w:vAlign w:val="center"/>
          </w:tcPr>
          <w:p>
            <w:pPr>
              <w:jc w:val="lef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3.</w:t>
            </w:r>
            <w:r>
              <w:rPr>
                <w:rFonts w:hint="eastAsia"/>
                <w:sz w:val="21"/>
                <w:szCs w:val="21"/>
              </w:rPr>
              <w:t>本期减少金额</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1</w:t>
            </w:r>
            <w:r>
              <w:rPr>
                <w:rFonts w:hint="eastAsia"/>
                <w:sz w:val="21"/>
                <w:szCs w:val="21"/>
              </w:rPr>
              <w:t>）处置或报废</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594" w:type="dxa"/>
            <w:tcBorders>
              <w:top w:val="single" w:color="auto" w:sz="4" w:space="0"/>
              <w:left w:val="single" w:color="auto" w:sz="4" w:space="0"/>
              <w:bottom w:val="single" w:color="auto" w:sz="4" w:space="0"/>
              <w:right w:val="single" w:color="auto" w:sz="4" w:space="0"/>
            </w:tcBorders>
            <w:shd w:val="clear" w:color="auto" w:fill="E1FFFF"/>
            <w:vAlign w:val="center"/>
          </w:tcPr>
          <w:p>
            <w:pPr>
              <w:jc w:val="lef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4.</w:t>
            </w:r>
            <w:r>
              <w:rPr>
                <w:rFonts w:hint="eastAsia"/>
                <w:sz w:val="21"/>
                <w:szCs w:val="21"/>
              </w:rPr>
              <w:t>期末余额</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四、账面价值</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1.</w:t>
            </w:r>
            <w:r>
              <w:rPr>
                <w:rFonts w:hint="eastAsia"/>
                <w:sz w:val="21"/>
                <w:szCs w:val="21"/>
              </w:rPr>
              <w:t>期末账面价值</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57,605,206.12</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1,726,562.60</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2,807,458.55</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13,597,256.28</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75,736,483.55</w:t>
            </w:r>
          </w:p>
        </w:tc>
      </w:tr>
      <w:tr>
        <w:tblPrEx>
          <w:tblLayout w:type="fixed"/>
          <w:tblCellMar>
            <w:top w:w="0" w:type="dxa"/>
            <w:left w:w="28" w:type="dxa"/>
            <w:bottom w:w="0" w:type="dxa"/>
            <w:right w:w="28" w:type="dxa"/>
          </w:tblCellMar>
        </w:tblPrEx>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2.</w:t>
            </w:r>
            <w:r>
              <w:rPr>
                <w:rFonts w:hint="eastAsia"/>
                <w:sz w:val="21"/>
                <w:szCs w:val="21"/>
              </w:rPr>
              <w:t>期初账面价值</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59,154,713.68</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5,402,740.84</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4,688,967.61</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16,118,688.31</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85,365,110.44</w:t>
            </w:r>
          </w:p>
        </w:tc>
      </w:tr>
    </w:tbl>
    <w:p>
      <w:pPr>
        <w:pStyle w:val="11"/>
        <w:outlineLvl w:val="3"/>
        <w:rPr>
          <w:bCs w:val="0"/>
          <w:szCs w:val="24"/>
        </w:rPr>
      </w:pPr>
      <w:r>
        <w:rPr>
          <w:rFonts w:hint="eastAsia"/>
          <w:bCs w:val="0"/>
          <w:szCs w:val="24"/>
        </w:rPr>
        <w:t>（</w:t>
      </w:r>
      <w:r>
        <w:rPr>
          <w:bCs w:val="0"/>
          <w:szCs w:val="24"/>
        </w:rPr>
        <w:t>2</w:t>
      </w:r>
      <w:r>
        <w:rPr>
          <w:rFonts w:hint="eastAsia"/>
          <w:bCs w:val="0"/>
          <w:szCs w:val="24"/>
        </w:rPr>
        <w:t>）未办妥产权证书的固定资产情况</w:t>
      </w:r>
    </w:p>
    <w:p>
      <w:pPr>
        <w:jc w:val="right"/>
        <w:rPr>
          <w:szCs w:val="24"/>
        </w:rPr>
      </w:pPr>
      <w:r>
        <w:rPr>
          <w:rFonts w:hint="eastAsia"/>
          <w:szCs w:val="24"/>
        </w:rPr>
        <w:t>单位：</w:t>
      </w:r>
      <w:r>
        <w:rPr>
          <w:szCs w:val="24"/>
        </w:rPr>
        <w:t xml:space="preserve"> </w:t>
      </w:r>
      <w:r>
        <w:rPr>
          <w:rFonts w:hint="eastAsia"/>
          <w:szCs w:val="24"/>
        </w:rPr>
        <w:t>元</w:t>
      </w:r>
    </w:p>
    <w:tbl>
      <w:tblPr>
        <w:tblStyle w:val="8"/>
        <w:tblW w:w="9569" w:type="dxa"/>
        <w:tblInd w:w="28" w:type="dxa"/>
        <w:tblLayout w:type="fixed"/>
        <w:tblCellMar>
          <w:top w:w="0" w:type="dxa"/>
          <w:left w:w="28" w:type="dxa"/>
          <w:bottom w:w="0" w:type="dxa"/>
          <w:right w:w="28" w:type="dxa"/>
        </w:tblCellMar>
      </w:tblPr>
      <w:tblGrid>
        <w:gridCol w:w="3187"/>
        <w:gridCol w:w="3193"/>
        <w:gridCol w:w="3189"/>
      </w:tblGrid>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319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账面价值</w:t>
            </w:r>
          </w:p>
        </w:tc>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未办妥产权证书的原因</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车间一及配套</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26,376,500.12</w:t>
            </w: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决算未办理完毕</w:t>
            </w:r>
          </w:p>
        </w:tc>
      </w:tr>
    </w:tbl>
    <w:p>
      <w:pPr>
        <w:pStyle w:val="11"/>
        <w:outlineLvl w:val="2"/>
        <w:rPr>
          <w:bCs w:val="0"/>
          <w:szCs w:val="24"/>
        </w:rPr>
      </w:pPr>
      <w:r>
        <w:rPr>
          <w:bCs w:val="0"/>
          <w:szCs w:val="24"/>
        </w:rPr>
        <w:t>12</w:t>
      </w:r>
      <w:r>
        <w:rPr>
          <w:rFonts w:hint="eastAsia"/>
          <w:bCs w:val="0"/>
          <w:szCs w:val="24"/>
        </w:rPr>
        <w:t>、在建工程</w:t>
      </w:r>
    </w:p>
    <w:p>
      <w:pPr>
        <w:pStyle w:val="11"/>
        <w:outlineLvl w:val="3"/>
        <w:rPr>
          <w:bCs w:val="0"/>
          <w:szCs w:val="24"/>
        </w:rPr>
      </w:pPr>
      <w:r>
        <w:rPr>
          <w:rFonts w:hint="eastAsia"/>
          <w:bCs w:val="0"/>
          <w:szCs w:val="24"/>
        </w:rPr>
        <w:t>（</w:t>
      </w:r>
      <w:r>
        <w:rPr>
          <w:bCs w:val="0"/>
          <w:szCs w:val="24"/>
        </w:rPr>
        <w:t>1</w:t>
      </w:r>
      <w:r>
        <w:rPr>
          <w:rFonts w:hint="eastAsia"/>
          <w:bCs w:val="0"/>
          <w:szCs w:val="24"/>
        </w:rPr>
        <w:t>）在建工程情况</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571" w:type="dxa"/>
        <w:tblInd w:w="28" w:type="dxa"/>
        <w:tblLayout w:type="fixed"/>
        <w:tblCellMar>
          <w:top w:w="0" w:type="dxa"/>
          <w:left w:w="28" w:type="dxa"/>
          <w:bottom w:w="0" w:type="dxa"/>
          <w:right w:w="28" w:type="dxa"/>
        </w:tblCellMar>
      </w:tblPr>
      <w:tblGrid>
        <w:gridCol w:w="1368"/>
        <w:gridCol w:w="1368"/>
        <w:gridCol w:w="1367"/>
        <w:gridCol w:w="1367"/>
        <w:gridCol w:w="1367"/>
        <w:gridCol w:w="1367"/>
        <w:gridCol w:w="1367"/>
      </w:tblGrid>
      <w:tr>
        <w:tblPrEx>
          <w:tblLayout w:type="fixed"/>
          <w:tblCellMar>
            <w:top w:w="0" w:type="dxa"/>
            <w:left w:w="28" w:type="dxa"/>
            <w:bottom w:w="0" w:type="dxa"/>
            <w:right w:w="28" w:type="dxa"/>
          </w:tblCellMar>
        </w:tblPrEx>
        <w:tc>
          <w:tcPr>
            <w:tcW w:w="1368"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4102" w:type="dxa"/>
            <w:gridSpan w:val="3"/>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c>
          <w:tcPr>
            <w:tcW w:w="4101" w:type="dxa"/>
            <w:gridSpan w:val="3"/>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期初余额</w:t>
            </w:r>
          </w:p>
        </w:tc>
      </w:tr>
      <w:tr>
        <w:tblPrEx>
          <w:tblLayout w:type="fixed"/>
          <w:tblCellMar>
            <w:top w:w="0" w:type="dxa"/>
            <w:left w:w="28" w:type="dxa"/>
            <w:bottom w:w="0" w:type="dxa"/>
            <w:right w:w="28" w:type="dxa"/>
          </w:tblCellMar>
        </w:tblPrEx>
        <w:tc>
          <w:tcPr>
            <w:tcW w:w="1368"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368"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账面余额</w:t>
            </w:r>
          </w:p>
        </w:tc>
        <w:tc>
          <w:tcPr>
            <w:tcW w:w="136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减值准备</w:t>
            </w:r>
          </w:p>
        </w:tc>
        <w:tc>
          <w:tcPr>
            <w:tcW w:w="136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账面价值</w:t>
            </w:r>
          </w:p>
        </w:tc>
        <w:tc>
          <w:tcPr>
            <w:tcW w:w="136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账面余额</w:t>
            </w:r>
          </w:p>
        </w:tc>
        <w:tc>
          <w:tcPr>
            <w:tcW w:w="136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减值准备</w:t>
            </w:r>
          </w:p>
        </w:tc>
        <w:tc>
          <w:tcPr>
            <w:tcW w:w="136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账面价值</w:t>
            </w:r>
          </w:p>
        </w:tc>
      </w:tr>
      <w:tr>
        <w:tblPrEx>
          <w:tblLayout w:type="fixed"/>
          <w:tblCellMar>
            <w:top w:w="0" w:type="dxa"/>
            <w:left w:w="28" w:type="dxa"/>
            <w:bottom w:w="0" w:type="dxa"/>
            <w:right w:w="28" w:type="dxa"/>
          </w:tblCellMar>
        </w:tblPrEx>
        <w:tc>
          <w:tcPr>
            <w:tcW w:w="136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设计费</w:t>
            </w:r>
          </w:p>
        </w:tc>
        <w:tc>
          <w:tcPr>
            <w:tcW w:w="13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118,716.98</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118,716.98</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39,000.00</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39,000.00</w:t>
            </w:r>
          </w:p>
        </w:tc>
      </w:tr>
      <w:tr>
        <w:tblPrEx>
          <w:tblLayout w:type="fixed"/>
          <w:tblCellMar>
            <w:top w:w="0" w:type="dxa"/>
            <w:left w:w="28" w:type="dxa"/>
            <w:bottom w:w="0" w:type="dxa"/>
            <w:right w:w="28" w:type="dxa"/>
          </w:tblCellMar>
        </w:tblPrEx>
        <w:tc>
          <w:tcPr>
            <w:tcW w:w="136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勘察及测绘费</w:t>
            </w:r>
          </w:p>
        </w:tc>
        <w:tc>
          <w:tcPr>
            <w:tcW w:w="13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11,190.17</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11,190.17</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11,190.17</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11,190.17</w:t>
            </w:r>
          </w:p>
        </w:tc>
      </w:tr>
      <w:tr>
        <w:tblPrEx>
          <w:tblLayout w:type="fixed"/>
          <w:tblCellMar>
            <w:top w:w="0" w:type="dxa"/>
            <w:left w:w="28" w:type="dxa"/>
            <w:bottom w:w="0" w:type="dxa"/>
            <w:right w:w="28" w:type="dxa"/>
          </w:tblCellMar>
        </w:tblPrEx>
        <w:tc>
          <w:tcPr>
            <w:tcW w:w="1368"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13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129,907.15</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7"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129,907.15</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50,190.17</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7"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50,190.17</w:t>
            </w:r>
          </w:p>
        </w:tc>
      </w:tr>
    </w:tbl>
    <w:p>
      <w:pPr>
        <w:pStyle w:val="11"/>
        <w:outlineLvl w:val="2"/>
        <w:rPr>
          <w:bCs w:val="0"/>
          <w:szCs w:val="24"/>
        </w:rPr>
      </w:pPr>
      <w:r>
        <w:rPr>
          <w:bCs w:val="0"/>
          <w:szCs w:val="24"/>
        </w:rPr>
        <w:t>13</w:t>
      </w:r>
      <w:r>
        <w:rPr>
          <w:rFonts w:hint="eastAsia"/>
          <w:bCs w:val="0"/>
          <w:szCs w:val="24"/>
        </w:rPr>
        <w:t>、无形资产</w:t>
      </w:r>
    </w:p>
    <w:p>
      <w:pPr>
        <w:pStyle w:val="11"/>
        <w:outlineLvl w:val="3"/>
        <w:rPr>
          <w:bCs w:val="0"/>
          <w:szCs w:val="24"/>
        </w:rPr>
      </w:pPr>
      <w:r>
        <w:rPr>
          <w:rFonts w:hint="eastAsia"/>
          <w:bCs w:val="0"/>
          <w:szCs w:val="24"/>
        </w:rPr>
        <w:t>（</w:t>
      </w:r>
      <w:r>
        <w:rPr>
          <w:bCs w:val="0"/>
          <w:szCs w:val="24"/>
        </w:rPr>
        <w:t>1</w:t>
      </w:r>
      <w:r>
        <w:rPr>
          <w:rFonts w:hint="eastAsia"/>
          <w:bCs w:val="0"/>
          <w:szCs w:val="24"/>
        </w:rPr>
        <w:t>）无形资产情况</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694" w:type="dxa"/>
        <w:tblInd w:w="0" w:type="dxa"/>
        <w:tblLayout w:type="fixed"/>
        <w:tblCellMar>
          <w:top w:w="0" w:type="dxa"/>
          <w:left w:w="28" w:type="dxa"/>
          <w:bottom w:w="0" w:type="dxa"/>
          <w:right w:w="28" w:type="dxa"/>
        </w:tblCellMar>
      </w:tblPr>
      <w:tblGrid>
        <w:gridCol w:w="1385"/>
        <w:gridCol w:w="1385"/>
        <w:gridCol w:w="1385"/>
        <w:gridCol w:w="1385"/>
        <w:gridCol w:w="1385"/>
        <w:gridCol w:w="1385"/>
        <w:gridCol w:w="1384"/>
      </w:tblGrid>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138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土地使用权</w:t>
            </w:r>
          </w:p>
        </w:tc>
        <w:tc>
          <w:tcPr>
            <w:tcW w:w="138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专利权</w:t>
            </w:r>
          </w:p>
        </w:tc>
        <w:tc>
          <w:tcPr>
            <w:tcW w:w="138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非专利技术</w:t>
            </w:r>
          </w:p>
        </w:tc>
        <w:tc>
          <w:tcPr>
            <w:tcW w:w="1385" w:type="dxa"/>
            <w:tcBorders>
              <w:top w:val="single" w:color="auto" w:sz="4" w:space="0"/>
              <w:left w:val="single" w:color="auto" w:sz="4" w:space="0"/>
              <w:bottom w:val="single" w:color="auto" w:sz="4" w:space="0"/>
              <w:right w:val="single" w:color="auto" w:sz="4" w:space="0"/>
            </w:tcBorders>
            <w:shd w:val="clear" w:color="auto" w:fill="E1FFFF"/>
            <w:vAlign w:val="center"/>
          </w:tcPr>
          <w:p>
            <w:pPr>
              <w:jc w:val="center"/>
              <w:rPr>
                <w:sz w:val="21"/>
                <w:szCs w:val="21"/>
              </w:rPr>
            </w:pPr>
            <w:r>
              <w:rPr>
                <w:rFonts w:hint="eastAsia"/>
                <w:sz w:val="21"/>
                <w:szCs w:val="21"/>
              </w:rPr>
              <w:t>商标</w:t>
            </w:r>
          </w:p>
        </w:tc>
        <w:tc>
          <w:tcPr>
            <w:tcW w:w="1385" w:type="dxa"/>
            <w:tcBorders>
              <w:top w:val="single" w:color="auto" w:sz="4" w:space="0"/>
              <w:left w:val="single" w:color="auto" w:sz="4" w:space="0"/>
              <w:bottom w:val="single" w:color="auto" w:sz="4" w:space="0"/>
              <w:right w:val="single" w:color="auto" w:sz="4" w:space="0"/>
            </w:tcBorders>
            <w:shd w:val="clear" w:color="auto" w:fill="E1FFFF"/>
            <w:vAlign w:val="center"/>
          </w:tcPr>
          <w:p>
            <w:pPr>
              <w:jc w:val="center"/>
              <w:rPr>
                <w:sz w:val="21"/>
                <w:szCs w:val="21"/>
              </w:rPr>
            </w:pPr>
            <w:r>
              <w:rPr>
                <w:rFonts w:hint="eastAsia"/>
                <w:sz w:val="21"/>
                <w:szCs w:val="21"/>
              </w:rPr>
              <w:t>软件</w:t>
            </w:r>
          </w:p>
        </w:tc>
        <w:tc>
          <w:tcPr>
            <w:tcW w:w="138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合计</w:t>
            </w: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一、账面原值</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1.</w:t>
            </w:r>
            <w:r>
              <w:rPr>
                <w:rFonts w:hint="eastAsia"/>
                <w:sz w:val="21"/>
                <w:szCs w:val="21"/>
              </w:rPr>
              <w:t>期初余额</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13,067,434.98</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73,519,225.91</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94,712,328.52</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9,847,676.61</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191,146,666.02</w:t>
            </w: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2.</w:t>
            </w:r>
            <w:r>
              <w:rPr>
                <w:rFonts w:hint="eastAsia"/>
                <w:sz w:val="21"/>
                <w:szCs w:val="21"/>
              </w:rPr>
              <w:t>本期增加金额</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28,976,962.25</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715,302.39</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29,692,264.64</w:t>
            </w: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1</w:t>
            </w:r>
            <w:r>
              <w:rPr>
                <w:rFonts w:hint="eastAsia"/>
                <w:sz w:val="21"/>
                <w:szCs w:val="21"/>
              </w:rPr>
              <w:t>）购置</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14,133,403.19</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488,273.32</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14,621,676.51</w:t>
            </w: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2</w:t>
            </w:r>
            <w:r>
              <w:rPr>
                <w:rFonts w:hint="eastAsia"/>
                <w:sz w:val="21"/>
                <w:szCs w:val="21"/>
              </w:rPr>
              <w:t>）内部研发</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9,093,579.47</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9,093,579.47</w:t>
            </w: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3</w:t>
            </w:r>
            <w:r>
              <w:rPr>
                <w:rFonts w:hint="eastAsia"/>
                <w:sz w:val="21"/>
                <w:szCs w:val="21"/>
              </w:rPr>
              <w:t>）企业合并增加</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3,709,896.19</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227,029.07</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3,936,925.26</w:t>
            </w: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E1FFFF"/>
            <w:vAlign w:val="center"/>
          </w:tcPr>
          <w:p>
            <w:pPr>
              <w:jc w:val="left"/>
              <w:rPr>
                <w:sz w:val="21"/>
                <w:szCs w:val="21"/>
              </w:rPr>
            </w:pPr>
            <w:r>
              <w:rPr>
                <w:rFonts w:hint="eastAsia"/>
                <w:sz w:val="21"/>
                <w:szCs w:val="21"/>
              </w:rPr>
              <w:t>（</w:t>
            </w:r>
            <w:r>
              <w:rPr>
                <w:sz w:val="21"/>
                <w:szCs w:val="21"/>
              </w:rPr>
              <w:t>4</w:t>
            </w:r>
            <w:r>
              <w:rPr>
                <w:rFonts w:hint="eastAsia"/>
                <w:sz w:val="21"/>
                <w:szCs w:val="21"/>
              </w:rPr>
              <w:t>）汇率变动</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2,040,083.40</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2,040,083.40</w:t>
            </w: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3.</w:t>
            </w:r>
            <w:r>
              <w:rPr>
                <w:rFonts w:hint="eastAsia"/>
                <w:sz w:val="21"/>
                <w:szCs w:val="21"/>
              </w:rPr>
              <w:t>本期减少金额</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1</w:t>
            </w:r>
            <w:r>
              <w:rPr>
                <w:rFonts w:hint="eastAsia"/>
                <w:sz w:val="21"/>
                <w:szCs w:val="21"/>
              </w:rPr>
              <w:t>）处置</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E1FFFF"/>
            <w:vAlign w:val="center"/>
          </w:tcPr>
          <w:p>
            <w:pPr>
              <w:jc w:val="lef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4.</w:t>
            </w:r>
            <w:r>
              <w:rPr>
                <w:rFonts w:hint="eastAsia"/>
                <w:sz w:val="21"/>
                <w:szCs w:val="21"/>
              </w:rPr>
              <w:t>期末余额</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13,067,434.98</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102,496,188.16</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94,712,328.52</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10,562,979.00</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220,838,930.66</w:t>
            </w: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二、累计摊销</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1.</w:t>
            </w:r>
            <w:r>
              <w:rPr>
                <w:rFonts w:hint="eastAsia"/>
                <w:sz w:val="21"/>
                <w:szCs w:val="21"/>
              </w:rPr>
              <w:t>期初余额</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827,640.00</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20,409,806.18</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5,944,028.93</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27,181,475.11</w:t>
            </w: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2.</w:t>
            </w:r>
            <w:r>
              <w:rPr>
                <w:rFonts w:hint="eastAsia"/>
                <w:sz w:val="21"/>
                <w:szCs w:val="21"/>
              </w:rPr>
              <w:t>本期增加金额</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261,360.00</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9,068,911.25</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1,350,129.29</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10,680,400.54</w:t>
            </w: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1</w:t>
            </w:r>
            <w:r>
              <w:rPr>
                <w:rFonts w:hint="eastAsia"/>
                <w:sz w:val="21"/>
                <w:szCs w:val="21"/>
              </w:rPr>
              <w:t>）计提</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261,360.00</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8,631,988.68</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1,209,883.07</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10,103,231.75</w:t>
            </w: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E1FFFF"/>
            <w:vAlign w:val="center"/>
          </w:tcPr>
          <w:p>
            <w:pPr>
              <w:jc w:val="left"/>
              <w:rPr>
                <w:sz w:val="21"/>
                <w:szCs w:val="21"/>
              </w:rPr>
            </w:pPr>
            <w:r>
              <w:rPr>
                <w:sz w:val="21"/>
                <w:szCs w:val="21"/>
              </w:rPr>
              <w:t xml:space="preserve">          </w:t>
            </w:r>
            <w:r>
              <w:rPr>
                <w:rFonts w:hint="eastAsia"/>
                <w:sz w:val="21"/>
                <w:szCs w:val="21"/>
              </w:rPr>
              <w:t>（</w:t>
            </w:r>
            <w:r>
              <w:rPr>
                <w:sz w:val="21"/>
                <w:szCs w:val="21"/>
              </w:rPr>
              <w:t>2</w:t>
            </w:r>
            <w:r>
              <w:rPr>
                <w:rFonts w:hint="eastAsia"/>
                <w:sz w:val="21"/>
                <w:szCs w:val="21"/>
              </w:rPr>
              <w:t>）汇率变动</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436,922.57</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140,246.22</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577,168.79</w:t>
            </w: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3.</w:t>
            </w:r>
            <w:r>
              <w:rPr>
                <w:rFonts w:hint="eastAsia"/>
                <w:sz w:val="21"/>
                <w:szCs w:val="21"/>
              </w:rPr>
              <w:t>本期减少金额</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1</w:t>
            </w:r>
            <w:r>
              <w:rPr>
                <w:rFonts w:hint="eastAsia"/>
                <w:sz w:val="21"/>
                <w:szCs w:val="21"/>
              </w:rPr>
              <w:t>）处置</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E1FFFF"/>
            <w:vAlign w:val="center"/>
          </w:tcPr>
          <w:p>
            <w:pPr>
              <w:jc w:val="lef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4.</w:t>
            </w:r>
            <w:r>
              <w:rPr>
                <w:rFonts w:hint="eastAsia"/>
                <w:sz w:val="21"/>
                <w:szCs w:val="21"/>
              </w:rPr>
              <w:t>期末余额</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1,089,000.00</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29,478,717.43</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7,294,158.22</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37,861,875.65</w:t>
            </w: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三、减值准备</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1.</w:t>
            </w:r>
            <w:r>
              <w:rPr>
                <w:rFonts w:hint="eastAsia"/>
                <w:sz w:val="21"/>
                <w:szCs w:val="21"/>
              </w:rPr>
              <w:t>期初余额</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859,142.40</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859,142.40</w:t>
            </w: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2.</w:t>
            </w:r>
            <w:r>
              <w:rPr>
                <w:rFonts w:hint="eastAsia"/>
                <w:sz w:val="21"/>
                <w:szCs w:val="21"/>
              </w:rPr>
              <w:t>本期增加金额</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1</w:t>
            </w:r>
            <w:r>
              <w:rPr>
                <w:rFonts w:hint="eastAsia"/>
                <w:sz w:val="21"/>
                <w:szCs w:val="21"/>
              </w:rPr>
              <w:t>）计提</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E1FFFF"/>
            <w:vAlign w:val="center"/>
          </w:tcPr>
          <w:p>
            <w:pPr>
              <w:jc w:val="lef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3.</w:t>
            </w:r>
            <w:r>
              <w:rPr>
                <w:rFonts w:hint="eastAsia"/>
                <w:sz w:val="21"/>
                <w:szCs w:val="21"/>
              </w:rPr>
              <w:t>本期减少金额</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1</w:t>
            </w:r>
            <w:r>
              <w:rPr>
                <w:rFonts w:hint="eastAsia"/>
                <w:sz w:val="21"/>
                <w:szCs w:val="21"/>
              </w:rPr>
              <w:t>）处置</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E1FFFF"/>
            <w:vAlign w:val="center"/>
          </w:tcPr>
          <w:p>
            <w:pPr>
              <w:jc w:val="lef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4.</w:t>
            </w:r>
            <w:r>
              <w:rPr>
                <w:rFonts w:hint="eastAsia"/>
                <w:sz w:val="21"/>
                <w:szCs w:val="21"/>
              </w:rPr>
              <w:t>期末余额</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859,142.40</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859,142.40</w:t>
            </w: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四、账面价值</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1.</w:t>
            </w:r>
            <w:r>
              <w:rPr>
                <w:rFonts w:hint="eastAsia"/>
                <w:sz w:val="21"/>
                <w:szCs w:val="21"/>
              </w:rPr>
              <w:t>期末账面价值</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11,978,434.98</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72,158,328.33</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94,712,328.52</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3,268,820.78</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182,117,912.61</w:t>
            </w: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w:t>
            </w:r>
            <w:r>
              <w:rPr>
                <w:sz w:val="21"/>
                <w:szCs w:val="21"/>
              </w:rPr>
              <w:t>2.</w:t>
            </w:r>
            <w:r>
              <w:rPr>
                <w:rFonts w:hint="eastAsia"/>
                <w:sz w:val="21"/>
                <w:szCs w:val="21"/>
              </w:rPr>
              <w:t>期初账面价值</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12,239,794.98</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52,250,277.33</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94,712,328.52</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3,903,647.68</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163,106,048.51</w:t>
            </w:r>
          </w:p>
        </w:tc>
      </w:tr>
    </w:tbl>
    <w:p>
      <w:pPr>
        <w:pStyle w:val="11"/>
        <w:outlineLvl w:val="2"/>
        <w:rPr>
          <w:bCs w:val="0"/>
          <w:szCs w:val="24"/>
        </w:rPr>
      </w:pPr>
      <w:r>
        <w:rPr>
          <w:bCs w:val="0"/>
          <w:szCs w:val="24"/>
        </w:rPr>
        <w:t>14</w:t>
      </w:r>
      <w:r>
        <w:rPr>
          <w:rFonts w:hint="eastAsia"/>
          <w:bCs w:val="0"/>
          <w:szCs w:val="24"/>
        </w:rPr>
        <w:t>、开发支出</w:t>
      </w:r>
    </w:p>
    <w:p>
      <w:pPr>
        <w:jc w:val="right"/>
        <w:rPr>
          <w:szCs w:val="24"/>
        </w:rPr>
      </w:pPr>
      <w:r>
        <w:rPr>
          <w:rFonts w:hint="eastAsia"/>
          <w:szCs w:val="24"/>
        </w:rPr>
        <w:t>单位：</w:t>
      </w:r>
      <w:r>
        <w:rPr>
          <w:szCs w:val="24"/>
        </w:rPr>
        <w:t xml:space="preserve"> </w:t>
      </w:r>
      <w:r>
        <w:rPr>
          <w:rFonts w:hint="eastAsia"/>
          <w:szCs w:val="24"/>
        </w:rPr>
        <w:t>元</w:t>
      </w:r>
    </w:p>
    <w:tbl>
      <w:tblPr>
        <w:tblStyle w:val="8"/>
        <w:tblW w:w="9694" w:type="dxa"/>
        <w:tblInd w:w="0" w:type="dxa"/>
        <w:tblLayout w:type="fixed"/>
        <w:tblCellMar>
          <w:top w:w="0" w:type="dxa"/>
          <w:left w:w="28" w:type="dxa"/>
          <w:bottom w:w="0" w:type="dxa"/>
          <w:right w:w="28" w:type="dxa"/>
        </w:tblCellMar>
      </w:tblPr>
      <w:tblGrid>
        <w:gridCol w:w="1060"/>
        <w:gridCol w:w="1264"/>
        <w:gridCol w:w="1264"/>
        <w:gridCol w:w="679"/>
        <w:gridCol w:w="870"/>
        <w:gridCol w:w="1159"/>
        <w:gridCol w:w="1264"/>
        <w:gridCol w:w="870"/>
        <w:gridCol w:w="1264"/>
      </w:tblGrid>
      <w:tr>
        <w:tblPrEx>
          <w:tblLayout w:type="fixed"/>
          <w:tblCellMar>
            <w:top w:w="0" w:type="dxa"/>
            <w:left w:w="28" w:type="dxa"/>
            <w:bottom w:w="0" w:type="dxa"/>
            <w:right w:w="28" w:type="dxa"/>
          </w:tblCellMar>
        </w:tblPrEx>
        <w:tc>
          <w:tcPr>
            <w:tcW w:w="1060"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1264"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期初余额</w:t>
            </w:r>
          </w:p>
        </w:tc>
        <w:tc>
          <w:tcPr>
            <w:tcW w:w="2813" w:type="dxa"/>
            <w:gridSpan w:val="3"/>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本期增加金额</w:t>
            </w:r>
          </w:p>
        </w:tc>
        <w:tc>
          <w:tcPr>
            <w:tcW w:w="3293" w:type="dxa"/>
            <w:gridSpan w:val="3"/>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本期减少金额</w:t>
            </w:r>
          </w:p>
        </w:tc>
        <w:tc>
          <w:tcPr>
            <w:tcW w:w="1264"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r>
      <w:tr>
        <w:tblPrEx>
          <w:tblLayout w:type="fixed"/>
          <w:tblCellMar>
            <w:top w:w="0" w:type="dxa"/>
            <w:left w:w="28" w:type="dxa"/>
            <w:bottom w:w="0" w:type="dxa"/>
            <w:right w:w="28" w:type="dxa"/>
          </w:tblCellMar>
        </w:tblPrEx>
        <w:tc>
          <w:tcPr>
            <w:tcW w:w="1060"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264"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内部开发支出</w:t>
            </w:r>
          </w:p>
        </w:tc>
        <w:tc>
          <w:tcPr>
            <w:tcW w:w="67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其他</w:t>
            </w:r>
          </w:p>
        </w:tc>
        <w:tc>
          <w:tcPr>
            <w:tcW w:w="870" w:type="dxa"/>
            <w:tcBorders>
              <w:top w:val="single" w:color="auto" w:sz="4" w:space="0"/>
              <w:left w:val="single" w:color="auto" w:sz="4" w:space="0"/>
              <w:bottom w:val="single" w:color="auto" w:sz="4" w:space="0"/>
              <w:right w:val="single" w:color="auto" w:sz="4" w:space="0"/>
            </w:tcBorders>
            <w:shd w:val="clear" w:color="auto" w:fill="E1FFFF"/>
            <w:vAlign w:val="center"/>
          </w:tcPr>
          <w:p>
            <w:pPr>
              <w:jc w:val="center"/>
              <w:rPr>
                <w:sz w:val="21"/>
                <w:szCs w:val="21"/>
              </w:rPr>
            </w:pPr>
          </w:p>
        </w:tc>
        <w:tc>
          <w:tcPr>
            <w:tcW w:w="115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确认为无形资产</w:t>
            </w:r>
          </w:p>
        </w:tc>
        <w:tc>
          <w:tcPr>
            <w:tcW w:w="126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转入当期损益</w:t>
            </w:r>
          </w:p>
        </w:tc>
        <w:tc>
          <w:tcPr>
            <w:tcW w:w="870" w:type="dxa"/>
            <w:tcBorders>
              <w:top w:val="single" w:color="auto" w:sz="4" w:space="0"/>
              <w:left w:val="single" w:color="auto" w:sz="4" w:space="0"/>
              <w:bottom w:val="single" w:color="auto" w:sz="4" w:space="0"/>
              <w:right w:val="single" w:color="auto" w:sz="4" w:space="0"/>
            </w:tcBorders>
            <w:shd w:val="clear" w:color="auto" w:fill="E1FFFF"/>
            <w:vAlign w:val="center"/>
          </w:tcPr>
          <w:p>
            <w:pPr>
              <w:jc w:val="center"/>
              <w:rPr>
                <w:sz w:val="21"/>
                <w:szCs w:val="21"/>
              </w:rPr>
            </w:pPr>
          </w:p>
        </w:tc>
        <w:tc>
          <w:tcPr>
            <w:tcW w:w="1264"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r>
      <w:tr>
        <w:tblPrEx>
          <w:tblLayout w:type="fixed"/>
          <w:tblCellMar>
            <w:top w:w="0" w:type="dxa"/>
            <w:left w:w="28" w:type="dxa"/>
            <w:bottom w:w="0" w:type="dxa"/>
            <w:right w:w="28" w:type="dxa"/>
          </w:tblCellMar>
        </w:tblPrEx>
        <w:tc>
          <w:tcPr>
            <w:tcW w:w="1060" w:type="dxa"/>
            <w:tcBorders>
              <w:top w:val="single" w:color="auto" w:sz="4" w:space="0"/>
              <w:left w:val="single" w:color="auto" w:sz="4" w:space="0"/>
              <w:bottom w:val="single" w:color="auto" w:sz="4" w:space="0"/>
              <w:right w:val="single" w:color="auto" w:sz="4" w:space="0"/>
            </w:tcBorders>
            <w:shd w:val="clear" w:color="auto" w:fill="E1FFFF"/>
            <w:vAlign w:val="center"/>
          </w:tcPr>
          <w:p>
            <w:pPr>
              <w:jc w:val="left"/>
              <w:rPr>
                <w:sz w:val="21"/>
                <w:szCs w:val="21"/>
              </w:rPr>
            </w:pPr>
            <w:r>
              <w:rPr>
                <w:sz w:val="21"/>
                <w:szCs w:val="21"/>
              </w:rPr>
              <w:t>INS(</w:t>
            </w:r>
            <w:r>
              <w:rPr>
                <w:rFonts w:hint="eastAsia"/>
                <w:sz w:val="21"/>
                <w:szCs w:val="21"/>
              </w:rPr>
              <w:t>智慧桥综合导航系统）</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7,627,892.64</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8,420,019.98</w:t>
            </w:r>
          </w:p>
        </w:tc>
        <w:tc>
          <w:tcPr>
            <w:tcW w:w="6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87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1,832,698.09</w:t>
            </w:r>
          </w:p>
        </w:tc>
        <w:tc>
          <w:tcPr>
            <w:tcW w:w="87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14,215,214.53</w:t>
            </w:r>
          </w:p>
        </w:tc>
      </w:tr>
      <w:tr>
        <w:tblPrEx>
          <w:tblLayout w:type="fixed"/>
          <w:tblCellMar>
            <w:top w:w="0" w:type="dxa"/>
            <w:left w:w="28" w:type="dxa"/>
            <w:bottom w:w="0" w:type="dxa"/>
            <w:right w:w="28" w:type="dxa"/>
          </w:tblCellMar>
        </w:tblPrEx>
        <w:tc>
          <w:tcPr>
            <w:tcW w:w="1060" w:type="dxa"/>
            <w:tcBorders>
              <w:top w:val="single" w:color="auto" w:sz="4" w:space="0"/>
              <w:left w:val="single" w:color="auto" w:sz="4" w:space="0"/>
              <w:bottom w:val="single" w:color="auto" w:sz="4" w:space="0"/>
              <w:right w:val="single" w:color="auto" w:sz="4" w:space="0"/>
            </w:tcBorders>
            <w:shd w:val="clear" w:color="auto" w:fill="E1FFFF"/>
            <w:vAlign w:val="center"/>
          </w:tcPr>
          <w:p>
            <w:pPr>
              <w:jc w:val="left"/>
              <w:rPr>
                <w:sz w:val="21"/>
                <w:szCs w:val="21"/>
              </w:rPr>
            </w:pPr>
            <w:r>
              <w:rPr>
                <w:rFonts w:hint="eastAsia"/>
                <w:sz w:val="21"/>
                <w:szCs w:val="21"/>
              </w:rPr>
              <w:t>系列雷达系统</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9,533,152.60</w:t>
            </w:r>
          </w:p>
        </w:tc>
        <w:tc>
          <w:tcPr>
            <w:tcW w:w="6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87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9,533,152.60</w:t>
            </w:r>
          </w:p>
        </w:tc>
        <w:tc>
          <w:tcPr>
            <w:tcW w:w="87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060" w:type="dxa"/>
            <w:tcBorders>
              <w:top w:val="single" w:color="auto" w:sz="4" w:space="0"/>
              <w:left w:val="single" w:color="auto" w:sz="4" w:space="0"/>
              <w:bottom w:val="single" w:color="auto" w:sz="4" w:space="0"/>
              <w:right w:val="single" w:color="auto" w:sz="4" w:space="0"/>
            </w:tcBorders>
            <w:shd w:val="clear" w:color="auto" w:fill="E1FFFF"/>
            <w:vAlign w:val="center"/>
          </w:tcPr>
          <w:p>
            <w:pPr>
              <w:jc w:val="left"/>
              <w:rPr>
                <w:sz w:val="21"/>
                <w:szCs w:val="21"/>
              </w:rPr>
            </w:pPr>
            <w:r>
              <w:rPr>
                <w:sz w:val="21"/>
                <w:szCs w:val="21"/>
              </w:rPr>
              <w:t>Hi-CLOUD</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7,154,111.46</w:t>
            </w:r>
          </w:p>
        </w:tc>
        <w:tc>
          <w:tcPr>
            <w:tcW w:w="6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87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5,181,840.17</w:t>
            </w:r>
          </w:p>
        </w:tc>
        <w:tc>
          <w:tcPr>
            <w:tcW w:w="87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1,972,271.29</w:t>
            </w:r>
          </w:p>
        </w:tc>
      </w:tr>
      <w:tr>
        <w:tblPrEx>
          <w:tblLayout w:type="fixed"/>
          <w:tblCellMar>
            <w:top w:w="0" w:type="dxa"/>
            <w:left w:w="28" w:type="dxa"/>
            <w:bottom w:w="0" w:type="dxa"/>
            <w:right w:w="28" w:type="dxa"/>
          </w:tblCellMar>
        </w:tblPrEx>
        <w:tc>
          <w:tcPr>
            <w:tcW w:w="1060" w:type="dxa"/>
            <w:tcBorders>
              <w:top w:val="single" w:color="auto" w:sz="4" w:space="0"/>
              <w:left w:val="single" w:color="auto" w:sz="4" w:space="0"/>
              <w:bottom w:val="single" w:color="auto" w:sz="4" w:space="0"/>
              <w:right w:val="single" w:color="auto" w:sz="4" w:space="0"/>
            </w:tcBorders>
            <w:shd w:val="clear" w:color="auto" w:fill="E1FFFF"/>
            <w:vAlign w:val="center"/>
          </w:tcPr>
          <w:p>
            <w:pPr>
              <w:jc w:val="left"/>
              <w:rPr>
                <w:sz w:val="21"/>
                <w:szCs w:val="21"/>
              </w:rPr>
            </w:pPr>
            <w:r>
              <w:rPr>
                <w:sz w:val="21"/>
                <w:szCs w:val="21"/>
              </w:rPr>
              <w:t>JP</w:t>
            </w:r>
            <w:r>
              <w:rPr>
                <w:rFonts w:hint="eastAsia"/>
                <w:sz w:val="21"/>
                <w:szCs w:val="21"/>
              </w:rPr>
              <w:t>系列产品研发</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5,675,511.65</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4,570,370.21</w:t>
            </w:r>
          </w:p>
        </w:tc>
        <w:tc>
          <w:tcPr>
            <w:tcW w:w="6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87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7,191,502.71</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3,054,379.15</w:t>
            </w:r>
          </w:p>
        </w:tc>
        <w:tc>
          <w:tcPr>
            <w:tcW w:w="87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060" w:type="dxa"/>
            <w:tcBorders>
              <w:top w:val="single" w:color="auto" w:sz="4" w:space="0"/>
              <w:left w:val="single" w:color="auto" w:sz="4" w:space="0"/>
              <w:bottom w:val="single" w:color="auto" w:sz="4" w:space="0"/>
              <w:right w:val="single" w:color="auto" w:sz="4" w:space="0"/>
            </w:tcBorders>
            <w:shd w:val="clear" w:color="auto" w:fill="E1FFFF"/>
            <w:vAlign w:val="center"/>
          </w:tcPr>
          <w:p>
            <w:pPr>
              <w:jc w:val="left"/>
              <w:rPr>
                <w:sz w:val="21"/>
                <w:szCs w:val="21"/>
              </w:rPr>
            </w:pPr>
            <w:r>
              <w:rPr>
                <w:rFonts w:hint="eastAsia"/>
                <w:sz w:val="21"/>
                <w:szCs w:val="21"/>
              </w:rPr>
              <w:t>水质质量环境监测系统</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1,147,340.63</w:t>
            </w:r>
          </w:p>
        </w:tc>
        <w:tc>
          <w:tcPr>
            <w:tcW w:w="6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87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199,908.39</w:t>
            </w:r>
          </w:p>
        </w:tc>
        <w:tc>
          <w:tcPr>
            <w:tcW w:w="87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947,432.24</w:t>
            </w:r>
          </w:p>
        </w:tc>
      </w:tr>
      <w:tr>
        <w:tblPrEx>
          <w:tblLayout w:type="fixed"/>
          <w:tblCellMar>
            <w:top w:w="0" w:type="dxa"/>
            <w:left w:w="28" w:type="dxa"/>
            <w:bottom w:w="0" w:type="dxa"/>
            <w:right w:w="28" w:type="dxa"/>
          </w:tblCellMar>
        </w:tblPrEx>
        <w:tc>
          <w:tcPr>
            <w:tcW w:w="1060" w:type="dxa"/>
            <w:tcBorders>
              <w:top w:val="single" w:color="auto" w:sz="4" w:space="0"/>
              <w:left w:val="single" w:color="auto" w:sz="4" w:space="0"/>
              <w:bottom w:val="single" w:color="auto" w:sz="4" w:space="0"/>
              <w:right w:val="single" w:color="auto" w:sz="4" w:space="0"/>
            </w:tcBorders>
            <w:shd w:val="clear" w:color="auto" w:fill="E1FFFF"/>
            <w:vAlign w:val="center"/>
          </w:tcPr>
          <w:p>
            <w:pPr>
              <w:jc w:val="left"/>
              <w:rPr>
                <w:sz w:val="21"/>
                <w:szCs w:val="21"/>
              </w:rPr>
            </w:pPr>
            <w:r>
              <w:rPr>
                <w:rFonts w:hint="eastAsia"/>
                <w:sz w:val="21"/>
                <w:szCs w:val="21"/>
              </w:rPr>
              <w:t>氰化物在线监测仪</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234,748.98</w:t>
            </w:r>
          </w:p>
        </w:tc>
        <w:tc>
          <w:tcPr>
            <w:tcW w:w="6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87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234,748.98</w:t>
            </w:r>
          </w:p>
        </w:tc>
        <w:tc>
          <w:tcPr>
            <w:tcW w:w="87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060" w:type="dxa"/>
            <w:tcBorders>
              <w:top w:val="single" w:color="auto" w:sz="4" w:space="0"/>
              <w:left w:val="single" w:color="auto" w:sz="4" w:space="0"/>
              <w:bottom w:val="single" w:color="auto" w:sz="4" w:space="0"/>
              <w:right w:val="single" w:color="auto" w:sz="4" w:space="0"/>
            </w:tcBorders>
            <w:shd w:val="clear" w:color="auto" w:fill="E1FFFF"/>
            <w:vAlign w:val="center"/>
          </w:tcPr>
          <w:p>
            <w:pPr>
              <w:jc w:val="left"/>
              <w:rPr>
                <w:sz w:val="21"/>
                <w:szCs w:val="21"/>
              </w:rPr>
            </w:pPr>
            <w:r>
              <w:rPr>
                <w:rFonts w:hint="eastAsia"/>
                <w:sz w:val="21"/>
                <w:szCs w:val="21"/>
              </w:rPr>
              <w:t>总氮自动在线监测仪</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1,218,437.81</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538,006.61</w:t>
            </w:r>
          </w:p>
        </w:tc>
        <w:tc>
          <w:tcPr>
            <w:tcW w:w="6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87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1,756,444.42</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87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060" w:type="dxa"/>
            <w:tcBorders>
              <w:top w:val="single" w:color="auto" w:sz="4" w:space="0"/>
              <w:left w:val="single" w:color="auto" w:sz="4" w:space="0"/>
              <w:bottom w:val="single" w:color="auto" w:sz="4" w:space="0"/>
              <w:right w:val="single" w:color="auto" w:sz="4" w:space="0"/>
            </w:tcBorders>
            <w:shd w:val="clear" w:color="auto" w:fill="E1FFFF"/>
            <w:vAlign w:val="center"/>
          </w:tcPr>
          <w:p>
            <w:pPr>
              <w:jc w:val="left"/>
              <w:rPr>
                <w:sz w:val="21"/>
                <w:szCs w:val="21"/>
              </w:rPr>
            </w:pPr>
            <w:r>
              <w:rPr>
                <w:rFonts w:hint="eastAsia"/>
                <w:sz w:val="21"/>
                <w:szCs w:val="21"/>
              </w:rPr>
              <w:t>综合机舱监控报警系统</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499,253.97</w:t>
            </w:r>
          </w:p>
        </w:tc>
        <w:tc>
          <w:tcPr>
            <w:tcW w:w="6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87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145,632.34</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353,621.63</w:t>
            </w:r>
          </w:p>
        </w:tc>
        <w:tc>
          <w:tcPr>
            <w:tcW w:w="87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060" w:type="dxa"/>
            <w:tcBorders>
              <w:top w:val="single" w:color="auto" w:sz="4" w:space="0"/>
              <w:left w:val="single" w:color="auto" w:sz="4" w:space="0"/>
              <w:bottom w:val="single" w:color="auto" w:sz="4" w:space="0"/>
              <w:right w:val="single" w:color="auto" w:sz="4" w:space="0"/>
            </w:tcBorders>
            <w:shd w:val="clear" w:color="auto" w:fill="E1FFFF"/>
            <w:vAlign w:val="center"/>
          </w:tcPr>
          <w:p>
            <w:pPr>
              <w:jc w:val="lef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6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87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87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06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合计</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14,521,842.10</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32,097,004.44</w:t>
            </w:r>
          </w:p>
        </w:tc>
        <w:tc>
          <w:tcPr>
            <w:tcW w:w="6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87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9,093,579.47</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20,390,349.01</w:t>
            </w:r>
          </w:p>
        </w:tc>
        <w:tc>
          <w:tcPr>
            <w:tcW w:w="87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17,134,918.06</w:t>
            </w:r>
          </w:p>
        </w:tc>
      </w:tr>
    </w:tbl>
    <w:p>
      <w:pPr>
        <w:pStyle w:val="11"/>
        <w:outlineLvl w:val="2"/>
        <w:rPr>
          <w:bCs w:val="0"/>
          <w:szCs w:val="24"/>
        </w:rPr>
      </w:pPr>
      <w:r>
        <w:rPr>
          <w:bCs w:val="0"/>
          <w:szCs w:val="24"/>
        </w:rPr>
        <w:t>15</w:t>
      </w:r>
      <w:r>
        <w:rPr>
          <w:rFonts w:hint="eastAsia"/>
          <w:bCs w:val="0"/>
          <w:szCs w:val="24"/>
        </w:rPr>
        <w:t>、商誉</w:t>
      </w:r>
    </w:p>
    <w:p>
      <w:pPr>
        <w:pStyle w:val="11"/>
        <w:outlineLvl w:val="3"/>
        <w:rPr>
          <w:bCs w:val="0"/>
          <w:szCs w:val="24"/>
        </w:rPr>
      </w:pPr>
      <w:r>
        <w:rPr>
          <w:rFonts w:hint="eastAsia"/>
          <w:bCs w:val="0"/>
          <w:szCs w:val="24"/>
        </w:rPr>
        <w:t>（</w:t>
      </w:r>
      <w:r>
        <w:rPr>
          <w:bCs w:val="0"/>
          <w:szCs w:val="24"/>
        </w:rPr>
        <w:t>1</w:t>
      </w:r>
      <w:r>
        <w:rPr>
          <w:rFonts w:hint="eastAsia"/>
          <w:bCs w:val="0"/>
          <w:szCs w:val="24"/>
        </w:rPr>
        <w:t>）商誉账面原值</w:t>
      </w:r>
    </w:p>
    <w:p>
      <w:pPr>
        <w:jc w:val="right"/>
        <w:rPr>
          <w:szCs w:val="24"/>
        </w:rPr>
      </w:pPr>
      <w:r>
        <w:rPr>
          <w:rFonts w:hint="eastAsia"/>
          <w:szCs w:val="24"/>
        </w:rPr>
        <w:t>单位：</w:t>
      </w:r>
      <w:r>
        <w:rPr>
          <w:szCs w:val="24"/>
        </w:rPr>
        <w:t xml:space="preserve"> </w:t>
      </w:r>
      <w:r>
        <w:rPr>
          <w:rFonts w:hint="eastAsia"/>
          <w:szCs w:val="24"/>
        </w:rPr>
        <w:t>元</w:t>
      </w:r>
    </w:p>
    <w:tbl>
      <w:tblPr>
        <w:tblStyle w:val="8"/>
        <w:tblW w:w="9694" w:type="dxa"/>
        <w:tblInd w:w="0" w:type="dxa"/>
        <w:tblLayout w:type="fixed"/>
        <w:tblCellMar>
          <w:top w:w="0" w:type="dxa"/>
          <w:left w:w="28" w:type="dxa"/>
          <w:bottom w:w="0" w:type="dxa"/>
          <w:right w:w="28" w:type="dxa"/>
        </w:tblCellMar>
      </w:tblPr>
      <w:tblGrid>
        <w:gridCol w:w="1385"/>
        <w:gridCol w:w="1385"/>
        <w:gridCol w:w="1384"/>
        <w:gridCol w:w="1386"/>
        <w:gridCol w:w="1384"/>
        <w:gridCol w:w="1386"/>
        <w:gridCol w:w="1384"/>
      </w:tblGrid>
      <w:tr>
        <w:tblPrEx>
          <w:tblLayout w:type="fixed"/>
          <w:tblCellMar>
            <w:top w:w="0" w:type="dxa"/>
            <w:left w:w="28" w:type="dxa"/>
            <w:bottom w:w="0" w:type="dxa"/>
            <w:right w:w="28" w:type="dxa"/>
          </w:tblCellMar>
        </w:tblPrEx>
        <w:tc>
          <w:tcPr>
            <w:tcW w:w="1385"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被投资单位名称或形成商誉的事项</w:t>
            </w:r>
          </w:p>
        </w:tc>
        <w:tc>
          <w:tcPr>
            <w:tcW w:w="1385"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期初余额</w:t>
            </w:r>
          </w:p>
        </w:tc>
        <w:tc>
          <w:tcPr>
            <w:tcW w:w="2770"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本期增加</w:t>
            </w:r>
          </w:p>
        </w:tc>
        <w:tc>
          <w:tcPr>
            <w:tcW w:w="2770"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本期减少</w:t>
            </w:r>
          </w:p>
        </w:tc>
        <w:tc>
          <w:tcPr>
            <w:tcW w:w="1384"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r>
      <w:tr>
        <w:tblPrEx>
          <w:tblLayout w:type="fixed"/>
          <w:tblCellMar>
            <w:top w:w="0" w:type="dxa"/>
            <w:left w:w="28" w:type="dxa"/>
            <w:bottom w:w="0" w:type="dxa"/>
            <w:right w:w="28" w:type="dxa"/>
          </w:tblCellMar>
        </w:tblPrEx>
        <w:tc>
          <w:tcPr>
            <w:tcW w:w="1385"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385"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企业合并形成的</w:t>
            </w:r>
          </w:p>
        </w:tc>
        <w:tc>
          <w:tcPr>
            <w:tcW w:w="1386" w:type="dxa"/>
            <w:tcBorders>
              <w:top w:val="single" w:color="auto" w:sz="4" w:space="0"/>
              <w:left w:val="single" w:color="auto" w:sz="4" w:space="0"/>
              <w:bottom w:val="single" w:color="auto" w:sz="4" w:space="0"/>
              <w:right w:val="single" w:color="auto" w:sz="4" w:space="0"/>
            </w:tcBorders>
            <w:shd w:val="clear" w:color="auto" w:fill="E1FFFF"/>
            <w:vAlign w:val="center"/>
          </w:tcPr>
          <w:p>
            <w:pPr>
              <w:jc w:val="center"/>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处置</w:t>
            </w:r>
          </w:p>
        </w:tc>
        <w:tc>
          <w:tcPr>
            <w:tcW w:w="1386" w:type="dxa"/>
            <w:tcBorders>
              <w:top w:val="single" w:color="auto" w:sz="4" w:space="0"/>
              <w:left w:val="single" w:color="auto" w:sz="4" w:space="0"/>
              <w:bottom w:val="single" w:color="auto" w:sz="4" w:space="0"/>
              <w:right w:val="single" w:color="auto" w:sz="4" w:space="0"/>
            </w:tcBorders>
            <w:shd w:val="clear" w:color="auto" w:fill="E1FFFF"/>
            <w:vAlign w:val="center"/>
          </w:tcPr>
          <w:p>
            <w:pPr>
              <w:jc w:val="center"/>
              <w:rPr>
                <w:sz w:val="21"/>
                <w:szCs w:val="21"/>
              </w:rPr>
            </w:pPr>
          </w:p>
        </w:tc>
        <w:tc>
          <w:tcPr>
            <w:tcW w:w="1384"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E1FFFF"/>
            <w:vAlign w:val="center"/>
          </w:tcPr>
          <w:p>
            <w:pPr>
              <w:jc w:val="left"/>
              <w:rPr>
                <w:sz w:val="21"/>
                <w:szCs w:val="21"/>
              </w:rPr>
            </w:pPr>
            <w:r>
              <w:rPr>
                <w:rFonts w:hint="eastAsia"/>
                <w:sz w:val="21"/>
                <w:szCs w:val="21"/>
              </w:rPr>
              <w:t>北京海兰信船舶设备有限公司</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1,480,582.88</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1,480,582.88</w:t>
            </w: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E1FFFF"/>
            <w:vAlign w:val="center"/>
          </w:tcPr>
          <w:p>
            <w:pPr>
              <w:jc w:val="left"/>
              <w:rPr>
                <w:sz w:val="21"/>
                <w:szCs w:val="21"/>
              </w:rPr>
            </w:pPr>
            <w:r>
              <w:rPr>
                <w:rFonts w:hint="eastAsia"/>
                <w:sz w:val="21"/>
                <w:szCs w:val="21"/>
              </w:rPr>
              <w:t>成都海兰天澄科技股份有限公司</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70,858.81</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70,858.81</w:t>
            </w: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E1FFFF"/>
            <w:vAlign w:val="center"/>
          </w:tcPr>
          <w:p>
            <w:pPr>
              <w:jc w:val="left"/>
              <w:rPr>
                <w:sz w:val="21"/>
                <w:szCs w:val="21"/>
              </w:rPr>
            </w:pPr>
            <w:r>
              <w:rPr>
                <w:rFonts w:hint="eastAsia"/>
                <w:sz w:val="21"/>
                <w:szCs w:val="21"/>
              </w:rPr>
              <w:t>劳雷工业有限公司及</w:t>
            </w:r>
            <w:r>
              <w:rPr>
                <w:sz w:val="21"/>
                <w:szCs w:val="21"/>
              </w:rPr>
              <w:t>Summerview Company Limited</w:t>
            </w:r>
            <w:r>
              <w:rPr>
                <w:rFonts w:hint="eastAsia"/>
                <w:sz w:val="21"/>
                <w:szCs w:val="21"/>
              </w:rPr>
              <w:t>海洋业务（注</w:t>
            </w:r>
            <w:r>
              <w:rPr>
                <w:sz w:val="21"/>
                <w:szCs w:val="21"/>
              </w:rPr>
              <w:t>1</w:t>
            </w:r>
            <w:r>
              <w:rPr>
                <w:rFonts w:hint="eastAsia"/>
                <w:sz w:val="21"/>
                <w:szCs w:val="21"/>
              </w:rPr>
              <w:t>）</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228,172,762.25</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228,172,762.25</w:t>
            </w: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E1FFFF"/>
            <w:vAlign w:val="center"/>
          </w:tcPr>
          <w:p>
            <w:pPr>
              <w:jc w:val="left"/>
              <w:rPr>
                <w:sz w:val="21"/>
                <w:szCs w:val="21"/>
              </w:rPr>
            </w:pPr>
            <w:r>
              <w:rPr>
                <w:rFonts w:hint="eastAsia"/>
                <w:sz w:val="21"/>
                <w:szCs w:val="21"/>
              </w:rPr>
              <w:t>上海海兰劳雷海洋科技有限公司</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247,149.64</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247,149.64</w:t>
            </w: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E1FFFF"/>
            <w:vAlign w:val="center"/>
          </w:tcPr>
          <w:p>
            <w:pPr>
              <w:jc w:val="left"/>
              <w:rPr>
                <w:sz w:val="21"/>
                <w:szCs w:val="21"/>
              </w:rPr>
            </w:pPr>
            <w:r>
              <w:rPr>
                <w:rFonts w:hint="eastAsia"/>
                <w:sz w:val="21"/>
                <w:szCs w:val="21"/>
              </w:rPr>
              <w:t>广东蓝图信息技术有限公司（注</w:t>
            </w:r>
            <w:r>
              <w:rPr>
                <w:sz w:val="21"/>
                <w:szCs w:val="21"/>
              </w:rPr>
              <w:t>2</w:t>
            </w:r>
            <w:r>
              <w:rPr>
                <w:rFonts w:hint="eastAsia"/>
                <w:sz w:val="21"/>
                <w:szCs w:val="21"/>
              </w:rPr>
              <w:t>）</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58,010,355.99</w:t>
            </w:r>
          </w:p>
        </w:tc>
        <w:tc>
          <w:tcPr>
            <w:tcW w:w="138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58,010,355.99</w:t>
            </w: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E1FFFF"/>
            <w:vAlign w:val="center"/>
          </w:tcPr>
          <w:p>
            <w:pPr>
              <w:jc w:val="left"/>
              <w:rPr>
                <w:sz w:val="21"/>
                <w:szCs w:val="21"/>
              </w:rPr>
            </w:pPr>
            <w:r>
              <w:rPr>
                <w:sz w:val="21"/>
                <w:szCs w:val="21"/>
              </w:rPr>
              <w:t>Rockson Automation GmbH</w:t>
            </w:r>
            <w:r>
              <w:rPr>
                <w:rFonts w:hint="eastAsia"/>
                <w:sz w:val="21"/>
                <w:szCs w:val="21"/>
              </w:rPr>
              <w:t>（注</w:t>
            </w:r>
            <w:r>
              <w:rPr>
                <w:sz w:val="21"/>
                <w:szCs w:val="21"/>
              </w:rPr>
              <w:t>3</w:t>
            </w:r>
            <w:r>
              <w:rPr>
                <w:rFonts w:hint="eastAsia"/>
                <w:sz w:val="21"/>
                <w:szCs w:val="21"/>
              </w:rPr>
              <w:t>）</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13,925,186.10</w:t>
            </w:r>
          </w:p>
        </w:tc>
        <w:tc>
          <w:tcPr>
            <w:tcW w:w="138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13,925,186.10</w:t>
            </w: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合计</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229,971,353.58</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71,935,542.09</w:t>
            </w:r>
          </w:p>
        </w:tc>
        <w:tc>
          <w:tcPr>
            <w:tcW w:w="138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301,906,895.67</w:t>
            </w:r>
          </w:p>
        </w:tc>
      </w:tr>
    </w:tbl>
    <w:p>
      <w:pPr>
        <w:autoSpaceDE w:val="0"/>
        <w:autoSpaceDN w:val="0"/>
        <w:adjustRightInd w:val="0"/>
        <w:spacing w:before="0" w:after="0" w:line="360" w:lineRule="auto"/>
        <w:ind w:firstLine="440" w:firstLineChars="200"/>
        <w:jc w:val="left"/>
        <w:rPr>
          <w:rFonts w:ascii="宋体"/>
          <w:sz w:val="22"/>
          <w:szCs w:val="22"/>
        </w:rPr>
      </w:pPr>
      <w:r>
        <w:rPr>
          <w:rFonts w:hint="eastAsia" w:ascii="宋体" w:hAnsi="宋体"/>
          <w:sz w:val="22"/>
          <w:szCs w:val="22"/>
        </w:rPr>
        <w:t>注</w:t>
      </w:r>
      <w:r>
        <w:rPr>
          <w:rFonts w:ascii="宋体" w:hAnsi="宋体"/>
          <w:sz w:val="22"/>
          <w:szCs w:val="22"/>
        </w:rPr>
        <w:t>1</w:t>
      </w:r>
      <w:r>
        <w:rPr>
          <w:rFonts w:hint="eastAsia" w:ascii="宋体" w:hAnsi="宋体"/>
          <w:sz w:val="22"/>
          <w:szCs w:val="22"/>
        </w:rPr>
        <w:t>：该商誉为本公司之子公司上海海兰劳雷海洋科技有限公司</w:t>
      </w:r>
      <w:r>
        <w:rPr>
          <w:rFonts w:ascii="宋体" w:hAnsi="宋体"/>
          <w:sz w:val="22"/>
          <w:szCs w:val="22"/>
        </w:rPr>
        <w:t>2015</w:t>
      </w:r>
      <w:r>
        <w:rPr>
          <w:rFonts w:hint="eastAsia" w:ascii="宋体" w:hAnsi="宋体"/>
          <w:sz w:val="22"/>
          <w:szCs w:val="22"/>
        </w:rPr>
        <w:t>年</w:t>
      </w:r>
      <w:r>
        <w:rPr>
          <w:rFonts w:ascii="宋体" w:hAnsi="宋体"/>
          <w:sz w:val="22"/>
          <w:szCs w:val="22"/>
        </w:rPr>
        <w:t>6</w:t>
      </w:r>
      <w:r>
        <w:rPr>
          <w:rFonts w:hint="eastAsia" w:ascii="宋体" w:hAnsi="宋体"/>
          <w:sz w:val="22"/>
          <w:szCs w:val="22"/>
        </w:rPr>
        <w:t>月</w:t>
      </w:r>
      <w:r>
        <w:rPr>
          <w:rFonts w:ascii="宋体" w:hAnsi="宋体"/>
          <w:sz w:val="22"/>
          <w:szCs w:val="22"/>
        </w:rPr>
        <w:t>30</w:t>
      </w:r>
      <w:r>
        <w:rPr>
          <w:rFonts w:hint="eastAsia" w:ascii="宋体" w:hAnsi="宋体"/>
          <w:sz w:val="22"/>
          <w:szCs w:val="22"/>
        </w:rPr>
        <w:t>日非同一控制下收购劳雷海洋系统有限公司及</w:t>
      </w:r>
      <w:r>
        <w:rPr>
          <w:rFonts w:ascii="宋体" w:hAnsi="宋体"/>
          <w:sz w:val="22"/>
          <w:szCs w:val="22"/>
        </w:rPr>
        <w:t>Summerview Company Limited</w:t>
      </w:r>
      <w:r>
        <w:rPr>
          <w:rFonts w:hint="eastAsia" w:ascii="宋体" w:hAnsi="宋体"/>
          <w:sz w:val="22"/>
          <w:szCs w:val="22"/>
        </w:rPr>
        <w:t>海洋业务</w:t>
      </w:r>
      <w:r>
        <w:rPr>
          <w:rFonts w:ascii="宋体" w:hAnsi="宋体"/>
          <w:sz w:val="22"/>
          <w:szCs w:val="22"/>
        </w:rPr>
        <w:t>55%</w:t>
      </w:r>
      <w:r>
        <w:rPr>
          <w:rFonts w:hint="eastAsia" w:ascii="宋体" w:hAnsi="宋体"/>
          <w:sz w:val="22"/>
          <w:szCs w:val="22"/>
        </w:rPr>
        <w:t>股权产生，合并对价</w:t>
      </w:r>
      <w:r>
        <w:rPr>
          <w:rFonts w:ascii="宋体" w:hAnsi="宋体"/>
          <w:sz w:val="22"/>
          <w:szCs w:val="22"/>
        </w:rPr>
        <w:t>342,276,372.60</w:t>
      </w:r>
      <w:r>
        <w:rPr>
          <w:rFonts w:hint="eastAsia" w:ascii="宋体" w:hAnsi="宋体"/>
          <w:sz w:val="22"/>
          <w:szCs w:val="22"/>
        </w:rPr>
        <w:t>元，合并日劳雷海洋系统有限公司及</w:t>
      </w:r>
      <w:r>
        <w:rPr>
          <w:rFonts w:ascii="宋体" w:hAnsi="宋体"/>
          <w:sz w:val="22"/>
          <w:szCs w:val="22"/>
        </w:rPr>
        <w:t>Summerview Company Limited</w:t>
      </w:r>
      <w:r>
        <w:rPr>
          <w:rFonts w:hint="eastAsia" w:ascii="宋体" w:hAnsi="宋体"/>
          <w:sz w:val="22"/>
          <w:szCs w:val="22"/>
        </w:rPr>
        <w:t>海洋业务的可辨认净资产公允价值为</w:t>
      </w:r>
      <w:r>
        <w:rPr>
          <w:rFonts w:ascii="宋体" w:hAnsi="宋体"/>
          <w:sz w:val="22"/>
          <w:szCs w:val="22"/>
        </w:rPr>
        <w:t>207,461,109.72</w:t>
      </w:r>
      <w:r>
        <w:rPr>
          <w:rFonts w:hint="eastAsia" w:ascii="宋体" w:hAnsi="宋体"/>
          <w:sz w:val="22"/>
          <w:szCs w:val="22"/>
        </w:rPr>
        <w:t>元，合并对价</w:t>
      </w:r>
      <w:r>
        <w:rPr>
          <w:rFonts w:ascii="宋体" w:hAnsi="宋体"/>
          <w:sz w:val="22"/>
          <w:szCs w:val="22"/>
        </w:rPr>
        <w:t>342,276,372.60</w:t>
      </w:r>
      <w:r>
        <w:rPr>
          <w:rFonts w:hint="eastAsia" w:ascii="宋体" w:hAnsi="宋体"/>
          <w:sz w:val="22"/>
          <w:szCs w:val="22"/>
        </w:rPr>
        <w:t>元与按持股比例享有的可辨认净资产公允价值</w:t>
      </w:r>
      <w:r>
        <w:rPr>
          <w:rFonts w:ascii="宋体" w:hAnsi="宋体"/>
          <w:sz w:val="22"/>
          <w:szCs w:val="22"/>
        </w:rPr>
        <w:t>114</w:t>
      </w:r>
      <w:r>
        <w:rPr>
          <w:rFonts w:ascii="宋体"/>
          <w:sz w:val="22"/>
          <w:szCs w:val="22"/>
        </w:rPr>
        <w:t>,</w:t>
      </w:r>
      <w:r>
        <w:rPr>
          <w:rFonts w:ascii="宋体" w:hAnsi="宋体"/>
          <w:sz w:val="22"/>
          <w:szCs w:val="22"/>
        </w:rPr>
        <w:t>103</w:t>
      </w:r>
      <w:r>
        <w:rPr>
          <w:rFonts w:ascii="宋体"/>
          <w:sz w:val="22"/>
          <w:szCs w:val="22"/>
        </w:rPr>
        <w:t>,</w:t>
      </w:r>
      <w:r>
        <w:rPr>
          <w:rFonts w:ascii="宋体" w:hAnsi="宋体"/>
          <w:sz w:val="22"/>
          <w:szCs w:val="22"/>
        </w:rPr>
        <w:t>610.35</w:t>
      </w:r>
      <w:r>
        <w:rPr>
          <w:rFonts w:hint="eastAsia" w:ascii="宋体" w:hAnsi="宋体"/>
          <w:sz w:val="22"/>
          <w:szCs w:val="22"/>
        </w:rPr>
        <w:t>元的差额</w:t>
      </w:r>
      <w:r>
        <w:rPr>
          <w:rFonts w:ascii="宋体" w:hAnsi="宋体" w:cs="宋体"/>
          <w:sz w:val="22"/>
          <w:szCs w:val="22"/>
        </w:rPr>
        <w:t>228,172,762.25</w:t>
      </w:r>
      <w:r>
        <w:rPr>
          <w:rFonts w:hint="eastAsia" w:ascii="宋体" w:hAnsi="宋体"/>
          <w:sz w:val="22"/>
          <w:szCs w:val="22"/>
        </w:rPr>
        <w:t>元计入商誉。上海海兰劳雷海洋科技有限公司年末对商誉进行减值测试，经测试商誉无需计提减值准备。</w:t>
      </w:r>
    </w:p>
    <w:p>
      <w:pPr>
        <w:autoSpaceDE w:val="0"/>
        <w:autoSpaceDN w:val="0"/>
        <w:adjustRightInd w:val="0"/>
        <w:spacing w:before="0" w:after="0" w:line="360" w:lineRule="auto"/>
        <w:ind w:firstLine="440" w:firstLineChars="200"/>
        <w:jc w:val="left"/>
        <w:rPr>
          <w:rFonts w:ascii="宋体"/>
          <w:sz w:val="22"/>
          <w:szCs w:val="22"/>
        </w:rPr>
      </w:pPr>
      <w:r>
        <w:rPr>
          <w:rFonts w:hint="eastAsia" w:ascii="宋体" w:hAnsi="宋体"/>
          <w:sz w:val="22"/>
          <w:szCs w:val="22"/>
        </w:rPr>
        <w:t>注</w:t>
      </w:r>
      <w:r>
        <w:rPr>
          <w:rFonts w:ascii="宋体" w:hAnsi="宋体"/>
          <w:sz w:val="22"/>
          <w:szCs w:val="22"/>
        </w:rPr>
        <w:t>2</w:t>
      </w:r>
      <w:r>
        <w:rPr>
          <w:rFonts w:hint="eastAsia" w:ascii="宋体" w:hAnsi="宋体"/>
          <w:sz w:val="22"/>
          <w:szCs w:val="22"/>
        </w:rPr>
        <w:t>：该商誉为本公司之子公司上海海兰劳雷海洋科技有限公司</w:t>
      </w:r>
      <w:r>
        <w:rPr>
          <w:rFonts w:ascii="宋体" w:hAnsi="宋体"/>
          <w:sz w:val="22"/>
          <w:szCs w:val="22"/>
        </w:rPr>
        <w:t>2016</w:t>
      </w:r>
      <w:r>
        <w:rPr>
          <w:rFonts w:hint="eastAsia" w:ascii="宋体" w:hAnsi="宋体"/>
          <w:sz w:val="22"/>
          <w:szCs w:val="22"/>
        </w:rPr>
        <w:t>年</w:t>
      </w:r>
      <w:r>
        <w:rPr>
          <w:rFonts w:ascii="宋体" w:hAnsi="宋体"/>
          <w:sz w:val="22"/>
          <w:szCs w:val="22"/>
        </w:rPr>
        <w:t>12</w:t>
      </w:r>
      <w:r>
        <w:rPr>
          <w:rFonts w:hint="eastAsia" w:ascii="宋体" w:hAnsi="宋体"/>
          <w:sz w:val="22"/>
          <w:szCs w:val="22"/>
        </w:rPr>
        <w:t>月</w:t>
      </w:r>
      <w:r>
        <w:rPr>
          <w:rFonts w:ascii="宋体" w:hAnsi="宋体"/>
          <w:sz w:val="22"/>
          <w:szCs w:val="22"/>
        </w:rPr>
        <w:t>11</w:t>
      </w:r>
      <w:r>
        <w:rPr>
          <w:rFonts w:hint="eastAsia" w:ascii="宋体" w:hAnsi="宋体"/>
          <w:sz w:val="22"/>
          <w:szCs w:val="22"/>
        </w:rPr>
        <w:t>日非同一控制下收购广东蓝图信息技术有限公司</w:t>
      </w:r>
      <w:r>
        <w:rPr>
          <w:rFonts w:ascii="宋体" w:hAnsi="宋体"/>
          <w:sz w:val="22"/>
          <w:szCs w:val="22"/>
        </w:rPr>
        <w:t>65%</w:t>
      </w:r>
      <w:r>
        <w:rPr>
          <w:rFonts w:hint="eastAsia" w:ascii="宋体" w:hAnsi="宋体"/>
          <w:sz w:val="22"/>
          <w:szCs w:val="22"/>
        </w:rPr>
        <w:t>股权产生，合并对价</w:t>
      </w:r>
      <w:r>
        <w:rPr>
          <w:rFonts w:ascii="宋体" w:hAnsi="宋体"/>
          <w:sz w:val="22"/>
          <w:szCs w:val="22"/>
        </w:rPr>
        <w:t>62,664,033.77</w:t>
      </w:r>
      <w:r>
        <w:rPr>
          <w:rFonts w:hint="eastAsia" w:ascii="宋体" w:hAnsi="宋体"/>
          <w:sz w:val="22"/>
          <w:szCs w:val="22"/>
        </w:rPr>
        <w:t>元，合并日广东蓝图信息技术有限公司可辨认净资产公允价值为</w:t>
      </w:r>
      <w:r>
        <w:rPr>
          <w:rFonts w:ascii="宋体" w:hAnsi="宋体"/>
          <w:sz w:val="22"/>
          <w:szCs w:val="22"/>
        </w:rPr>
        <w:t>7,159,504.27</w:t>
      </w:r>
      <w:r>
        <w:rPr>
          <w:rFonts w:hint="eastAsia" w:ascii="宋体" w:hAnsi="宋体"/>
          <w:sz w:val="22"/>
          <w:szCs w:val="22"/>
        </w:rPr>
        <w:t>元，合并对价</w:t>
      </w:r>
      <w:r>
        <w:rPr>
          <w:rFonts w:ascii="宋体" w:hAnsi="宋体"/>
          <w:sz w:val="22"/>
          <w:szCs w:val="22"/>
        </w:rPr>
        <w:t>62,664,033.77</w:t>
      </w:r>
      <w:r>
        <w:rPr>
          <w:rFonts w:hint="eastAsia" w:ascii="宋体" w:hAnsi="宋体"/>
          <w:sz w:val="22"/>
          <w:szCs w:val="22"/>
        </w:rPr>
        <w:t>与按持股比例享有的可辨认净资产公允价值</w:t>
      </w:r>
      <w:r>
        <w:rPr>
          <w:rFonts w:ascii="宋体" w:hAnsi="宋体"/>
          <w:sz w:val="22"/>
          <w:szCs w:val="22"/>
        </w:rPr>
        <w:t>4,653,677.78</w:t>
      </w:r>
      <w:r>
        <w:rPr>
          <w:rFonts w:hint="eastAsia" w:ascii="宋体" w:hAnsi="宋体"/>
          <w:sz w:val="22"/>
          <w:szCs w:val="22"/>
        </w:rPr>
        <w:t>元的差额</w:t>
      </w:r>
      <w:r>
        <w:rPr>
          <w:rFonts w:ascii="宋体" w:hAnsi="宋体" w:cs="Arial"/>
          <w:sz w:val="22"/>
          <w:szCs w:val="22"/>
        </w:rPr>
        <w:t>58,010,355.99</w:t>
      </w:r>
      <w:r>
        <w:rPr>
          <w:rFonts w:hint="eastAsia" w:ascii="宋体" w:hAnsi="宋体"/>
          <w:sz w:val="22"/>
          <w:szCs w:val="22"/>
        </w:rPr>
        <w:t>元计入商誉。上海海兰劳雷海洋科技有限公司年末对商誉进行减值测试，经测试商誉无需计提减值准备。</w:t>
      </w:r>
    </w:p>
    <w:p>
      <w:pPr>
        <w:tabs>
          <w:tab w:val="left" w:pos="800"/>
          <w:tab w:val="left" w:pos="1100"/>
          <w:tab w:val="left" w:pos="1287"/>
        </w:tabs>
        <w:spacing w:before="312" w:beforeLines="100" w:after="312" w:afterLines="100" w:line="360" w:lineRule="auto"/>
        <w:ind w:firstLine="420" w:firstLineChars="200"/>
        <w:outlineLvl w:val="2"/>
        <w:rPr>
          <w:rFonts w:ascii="宋体"/>
          <w:sz w:val="22"/>
          <w:szCs w:val="22"/>
        </w:rPr>
      </w:pPr>
      <w:r>
        <w:rPr>
          <w:rFonts w:hint="eastAsia" w:ascii="宋体" w:hAnsi="宋体" w:cs="宋体"/>
          <w:kern w:val="0"/>
          <w:sz w:val="21"/>
          <w:szCs w:val="24"/>
          <w:lang w:val="zh-CN"/>
        </w:rPr>
        <w:t>注</w:t>
      </w:r>
      <w:r>
        <w:rPr>
          <w:rFonts w:ascii="宋体" w:hAnsi="宋体" w:cs="宋体"/>
          <w:kern w:val="0"/>
          <w:sz w:val="21"/>
          <w:szCs w:val="24"/>
        </w:rPr>
        <w:t>3</w:t>
      </w:r>
      <w:r>
        <w:rPr>
          <w:rFonts w:hint="eastAsia" w:ascii="宋体" w:hAnsi="宋体" w:cs="宋体"/>
          <w:kern w:val="0"/>
          <w:sz w:val="21"/>
          <w:szCs w:val="24"/>
        </w:rPr>
        <w:t>：</w:t>
      </w:r>
      <w:r>
        <w:rPr>
          <w:rFonts w:hint="eastAsia" w:ascii="宋体" w:hAnsi="宋体" w:cs="宋体"/>
          <w:kern w:val="0"/>
          <w:sz w:val="21"/>
          <w:szCs w:val="24"/>
          <w:lang w:val="zh-CN"/>
        </w:rPr>
        <w:t>该商誉为本公司之子公司江苏海兰船舶电气系统科技有限公司之子公司香港海兰船舶电气</w:t>
      </w:r>
      <w:r>
        <w:rPr>
          <w:rFonts w:hint="eastAsia" w:ascii="宋体" w:hAnsi="宋体"/>
          <w:sz w:val="22"/>
          <w:szCs w:val="22"/>
        </w:rPr>
        <w:t>系统科技有限公司</w:t>
      </w:r>
      <w:r>
        <w:rPr>
          <w:rFonts w:ascii="宋体" w:hAnsi="宋体"/>
          <w:sz w:val="22"/>
          <w:szCs w:val="22"/>
        </w:rPr>
        <w:t>2016</w:t>
      </w:r>
      <w:r>
        <w:rPr>
          <w:rFonts w:hint="eastAsia" w:ascii="宋体" w:hAnsi="宋体"/>
          <w:sz w:val="22"/>
          <w:szCs w:val="22"/>
        </w:rPr>
        <w:t>年</w:t>
      </w:r>
      <w:r>
        <w:rPr>
          <w:rFonts w:ascii="宋体" w:hAnsi="宋体"/>
          <w:sz w:val="22"/>
          <w:szCs w:val="22"/>
        </w:rPr>
        <w:t>10</w:t>
      </w:r>
      <w:r>
        <w:rPr>
          <w:rFonts w:hint="eastAsia" w:ascii="宋体" w:hAnsi="宋体"/>
          <w:sz w:val="22"/>
          <w:szCs w:val="22"/>
        </w:rPr>
        <w:t>月非同一控制下收购</w:t>
      </w:r>
      <w:r>
        <w:rPr>
          <w:rFonts w:ascii="宋体" w:hAnsi="宋体"/>
          <w:sz w:val="22"/>
          <w:szCs w:val="22"/>
        </w:rPr>
        <w:t>Rockson Automation GmbH 51%</w:t>
      </w:r>
      <w:r>
        <w:rPr>
          <w:rFonts w:hint="eastAsia" w:ascii="宋体" w:hAnsi="宋体"/>
          <w:sz w:val="22"/>
          <w:szCs w:val="22"/>
        </w:rPr>
        <w:t>股权产生，合并对价</w:t>
      </w:r>
      <w:r>
        <w:rPr>
          <w:rFonts w:ascii="宋体" w:hAnsi="宋体"/>
          <w:sz w:val="22"/>
          <w:szCs w:val="22"/>
        </w:rPr>
        <w:t>16,142,399.00</w:t>
      </w:r>
      <w:r>
        <w:rPr>
          <w:rFonts w:hint="eastAsia" w:ascii="宋体" w:hAnsi="宋体"/>
          <w:sz w:val="22"/>
          <w:szCs w:val="22"/>
        </w:rPr>
        <w:t>元，合并日</w:t>
      </w:r>
      <w:r>
        <w:rPr>
          <w:rFonts w:ascii="宋体" w:hAnsi="宋体"/>
          <w:sz w:val="22"/>
          <w:szCs w:val="22"/>
        </w:rPr>
        <w:t>Rockson Automation GmbH</w:t>
      </w:r>
      <w:r>
        <w:rPr>
          <w:rFonts w:hint="eastAsia" w:ascii="宋体" w:hAnsi="宋体"/>
          <w:sz w:val="22"/>
          <w:szCs w:val="22"/>
        </w:rPr>
        <w:t>可辨认净资产公允价值为</w:t>
      </w:r>
      <w:r>
        <w:rPr>
          <w:rFonts w:ascii="宋体" w:hAnsi="宋体"/>
          <w:sz w:val="22"/>
          <w:szCs w:val="22"/>
        </w:rPr>
        <w:t xml:space="preserve">4,347,476.27 </w:t>
      </w:r>
      <w:r>
        <w:rPr>
          <w:rFonts w:hint="eastAsia" w:ascii="宋体" w:hAnsi="宋体"/>
          <w:sz w:val="22"/>
          <w:szCs w:val="22"/>
        </w:rPr>
        <w:t>元，合并对价</w:t>
      </w:r>
      <w:r>
        <w:rPr>
          <w:rFonts w:ascii="宋体" w:hAnsi="宋体"/>
          <w:sz w:val="22"/>
          <w:szCs w:val="22"/>
        </w:rPr>
        <w:t>16,142,399.00</w:t>
      </w:r>
      <w:r>
        <w:rPr>
          <w:rFonts w:hint="eastAsia" w:ascii="宋体" w:hAnsi="宋体"/>
          <w:sz w:val="22"/>
          <w:szCs w:val="22"/>
        </w:rPr>
        <w:t>元与按持股比例享有的可辨认净资产公允价值</w:t>
      </w:r>
      <w:r>
        <w:rPr>
          <w:rFonts w:ascii="宋体" w:hAnsi="宋体"/>
          <w:sz w:val="22"/>
          <w:szCs w:val="22"/>
        </w:rPr>
        <w:t>2,217,212.90</w:t>
      </w:r>
      <w:r>
        <w:rPr>
          <w:rFonts w:hint="eastAsia" w:ascii="宋体" w:hAnsi="宋体"/>
          <w:sz w:val="22"/>
          <w:szCs w:val="22"/>
        </w:rPr>
        <w:t>元的差额</w:t>
      </w:r>
      <w:r>
        <w:rPr>
          <w:rFonts w:ascii="宋体" w:hAnsi="宋体"/>
          <w:sz w:val="22"/>
          <w:szCs w:val="22"/>
        </w:rPr>
        <w:t>13,925,186.10</w:t>
      </w:r>
      <w:r>
        <w:rPr>
          <w:rFonts w:hint="eastAsia" w:ascii="宋体" w:hAnsi="宋体"/>
          <w:sz w:val="22"/>
          <w:szCs w:val="22"/>
        </w:rPr>
        <w:t>元计入商誉。香港海兰船舶电气系统科技有限公司年末对商誉进行减值测试，经测试商誉无需计提减值准备。</w:t>
      </w:r>
    </w:p>
    <w:p>
      <w:pPr>
        <w:pStyle w:val="11"/>
        <w:outlineLvl w:val="2"/>
        <w:rPr>
          <w:bCs w:val="0"/>
          <w:szCs w:val="24"/>
        </w:rPr>
      </w:pPr>
      <w:r>
        <w:rPr>
          <w:bCs w:val="0"/>
          <w:szCs w:val="24"/>
        </w:rPr>
        <w:t>16</w:t>
      </w:r>
      <w:r>
        <w:rPr>
          <w:rFonts w:hint="eastAsia"/>
          <w:bCs w:val="0"/>
          <w:szCs w:val="24"/>
        </w:rPr>
        <w:t>、长期待摊费用</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566" w:type="dxa"/>
        <w:tblInd w:w="28" w:type="dxa"/>
        <w:tblLayout w:type="fixed"/>
        <w:tblCellMar>
          <w:top w:w="0" w:type="dxa"/>
          <w:left w:w="28" w:type="dxa"/>
          <w:bottom w:w="0" w:type="dxa"/>
          <w:right w:w="28" w:type="dxa"/>
        </w:tblCellMar>
      </w:tblPr>
      <w:tblGrid>
        <w:gridCol w:w="1594"/>
        <w:gridCol w:w="1596"/>
        <w:gridCol w:w="1594"/>
        <w:gridCol w:w="1594"/>
        <w:gridCol w:w="1594"/>
        <w:gridCol w:w="1594"/>
      </w:tblGrid>
      <w:tr>
        <w:tblPrEx>
          <w:tblLayout w:type="fixed"/>
          <w:tblCellMar>
            <w:top w:w="0" w:type="dxa"/>
            <w:left w:w="28" w:type="dxa"/>
            <w:bottom w:w="0" w:type="dxa"/>
            <w:right w:w="28" w:type="dxa"/>
          </w:tblCellMar>
        </w:tblPrEx>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159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期初余额</w:t>
            </w:r>
          </w:p>
        </w:tc>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本期增加金额</w:t>
            </w:r>
          </w:p>
        </w:tc>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本期摊销金额</w:t>
            </w:r>
          </w:p>
        </w:tc>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其他减少金额</w:t>
            </w:r>
          </w:p>
        </w:tc>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r>
      <w:tr>
        <w:tblPrEx>
          <w:tblLayout w:type="fixed"/>
          <w:tblCellMar>
            <w:top w:w="0" w:type="dxa"/>
            <w:left w:w="28" w:type="dxa"/>
            <w:bottom w:w="0" w:type="dxa"/>
            <w:right w:w="28" w:type="dxa"/>
          </w:tblCellMar>
        </w:tblPrEx>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装修费</w:t>
            </w:r>
          </w:p>
        </w:tc>
        <w:tc>
          <w:tcPr>
            <w:tcW w:w="159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3,312,236.51</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658,575.56</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2,335,476.01</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1,635,336.06</w:t>
            </w:r>
          </w:p>
        </w:tc>
      </w:tr>
      <w:tr>
        <w:tblPrEx>
          <w:tblLayout w:type="fixed"/>
          <w:tblCellMar>
            <w:top w:w="0" w:type="dxa"/>
            <w:left w:w="28" w:type="dxa"/>
            <w:bottom w:w="0" w:type="dxa"/>
            <w:right w:w="28" w:type="dxa"/>
          </w:tblCellMar>
        </w:tblPrEx>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烟气研发室修建</w:t>
            </w:r>
          </w:p>
        </w:tc>
        <w:tc>
          <w:tcPr>
            <w:tcW w:w="159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10,666.73</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8,000.01</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2,666.72</w:t>
            </w:r>
          </w:p>
        </w:tc>
      </w:tr>
      <w:tr>
        <w:tblPrEx>
          <w:tblLayout w:type="fixed"/>
          <w:tblCellMar>
            <w:top w:w="0" w:type="dxa"/>
            <w:left w:w="28" w:type="dxa"/>
            <w:bottom w:w="0" w:type="dxa"/>
            <w:right w:w="28" w:type="dxa"/>
          </w:tblCellMar>
        </w:tblPrEx>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1596"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3,322,903.24</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658,575.56</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2,343,476.02</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1,638,002.78</w:t>
            </w:r>
          </w:p>
        </w:tc>
      </w:tr>
    </w:tbl>
    <w:p>
      <w:pPr>
        <w:pStyle w:val="11"/>
        <w:outlineLvl w:val="2"/>
        <w:rPr>
          <w:bCs w:val="0"/>
          <w:szCs w:val="24"/>
        </w:rPr>
      </w:pPr>
      <w:r>
        <w:rPr>
          <w:bCs w:val="0"/>
          <w:szCs w:val="24"/>
        </w:rPr>
        <w:t>17</w:t>
      </w:r>
      <w:r>
        <w:rPr>
          <w:rFonts w:hint="eastAsia"/>
          <w:bCs w:val="0"/>
          <w:szCs w:val="24"/>
        </w:rPr>
        <w:t>、递延所得税资产</w:t>
      </w:r>
      <w:r>
        <w:rPr>
          <w:bCs w:val="0"/>
          <w:szCs w:val="24"/>
        </w:rPr>
        <w:t>/</w:t>
      </w:r>
      <w:r>
        <w:rPr>
          <w:rFonts w:hint="eastAsia"/>
          <w:bCs w:val="0"/>
          <w:szCs w:val="24"/>
        </w:rPr>
        <w:t>递延所得税负债</w:t>
      </w:r>
    </w:p>
    <w:p>
      <w:pPr>
        <w:pStyle w:val="11"/>
        <w:outlineLvl w:val="3"/>
        <w:rPr>
          <w:bCs w:val="0"/>
          <w:szCs w:val="24"/>
        </w:rPr>
      </w:pPr>
      <w:r>
        <w:rPr>
          <w:rFonts w:hint="eastAsia"/>
          <w:bCs w:val="0"/>
          <w:szCs w:val="24"/>
        </w:rPr>
        <w:t>（</w:t>
      </w:r>
      <w:r>
        <w:rPr>
          <w:bCs w:val="0"/>
          <w:szCs w:val="24"/>
        </w:rPr>
        <w:t>1</w:t>
      </w:r>
      <w:r>
        <w:rPr>
          <w:rFonts w:hint="eastAsia"/>
          <w:bCs w:val="0"/>
          <w:szCs w:val="24"/>
        </w:rPr>
        <w:t>）未经抵销的递延所得税资产</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694" w:type="dxa"/>
        <w:tblInd w:w="0" w:type="dxa"/>
        <w:tblLayout w:type="fixed"/>
        <w:tblCellMar>
          <w:top w:w="0" w:type="dxa"/>
          <w:left w:w="28" w:type="dxa"/>
          <w:bottom w:w="0" w:type="dxa"/>
          <w:right w:w="28" w:type="dxa"/>
        </w:tblCellMar>
      </w:tblPr>
      <w:tblGrid>
        <w:gridCol w:w="1936"/>
        <w:gridCol w:w="1941"/>
        <w:gridCol w:w="1939"/>
        <w:gridCol w:w="1939"/>
        <w:gridCol w:w="1939"/>
      </w:tblGrid>
      <w:tr>
        <w:tblPrEx>
          <w:tblLayout w:type="fixed"/>
          <w:tblCellMar>
            <w:top w:w="0" w:type="dxa"/>
            <w:left w:w="28" w:type="dxa"/>
            <w:bottom w:w="0" w:type="dxa"/>
            <w:right w:w="28" w:type="dxa"/>
          </w:tblCellMar>
        </w:tblPrEx>
        <w:tc>
          <w:tcPr>
            <w:tcW w:w="1936"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3880"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c>
          <w:tcPr>
            <w:tcW w:w="3878"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期初余额</w:t>
            </w:r>
          </w:p>
        </w:tc>
      </w:tr>
      <w:tr>
        <w:tblPrEx>
          <w:tblLayout w:type="fixed"/>
          <w:tblCellMar>
            <w:top w:w="0" w:type="dxa"/>
            <w:left w:w="28" w:type="dxa"/>
            <w:bottom w:w="0" w:type="dxa"/>
            <w:right w:w="28" w:type="dxa"/>
          </w:tblCellMar>
        </w:tblPrEx>
        <w:tc>
          <w:tcPr>
            <w:tcW w:w="1936"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94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可抵扣暂时性差异</w:t>
            </w:r>
          </w:p>
        </w:tc>
        <w:tc>
          <w:tcPr>
            <w:tcW w:w="193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递延所得税资产</w:t>
            </w:r>
          </w:p>
        </w:tc>
        <w:tc>
          <w:tcPr>
            <w:tcW w:w="193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可抵扣暂时性差异</w:t>
            </w:r>
          </w:p>
        </w:tc>
        <w:tc>
          <w:tcPr>
            <w:tcW w:w="193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递延所得税资产</w:t>
            </w:r>
          </w:p>
        </w:tc>
      </w:tr>
      <w:tr>
        <w:tblPrEx>
          <w:tblLayout w:type="fixed"/>
          <w:tblCellMar>
            <w:top w:w="0" w:type="dxa"/>
            <w:left w:w="28" w:type="dxa"/>
            <w:bottom w:w="0" w:type="dxa"/>
            <w:right w:w="28" w:type="dxa"/>
          </w:tblCellMar>
        </w:tblPrEx>
        <w:tc>
          <w:tcPr>
            <w:tcW w:w="193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资产减值准备</w:t>
            </w:r>
          </w:p>
        </w:tc>
        <w:tc>
          <w:tcPr>
            <w:tcW w:w="194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39,518,262.49</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6,475,122.46</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36,077,418.49</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5,958,167.99</w:t>
            </w:r>
          </w:p>
        </w:tc>
      </w:tr>
      <w:tr>
        <w:tblPrEx>
          <w:tblLayout w:type="fixed"/>
          <w:tblCellMar>
            <w:top w:w="0" w:type="dxa"/>
            <w:left w:w="28" w:type="dxa"/>
            <w:bottom w:w="0" w:type="dxa"/>
            <w:right w:w="28" w:type="dxa"/>
          </w:tblCellMar>
        </w:tblPrEx>
        <w:tc>
          <w:tcPr>
            <w:tcW w:w="193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内部交易未实现利润</w:t>
            </w:r>
          </w:p>
        </w:tc>
        <w:tc>
          <w:tcPr>
            <w:tcW w:w="194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5,230,581.53</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1,094,878.05</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6,476,939.16</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1,619,234.79</w:t>
            </w:r>
          </w:p>
        </w:tc>
      </w:tr>
      <w:tr>
        <w:tblPrEx>
          <w:tblLayout w:type="fixed"/>
          <w:tblCellMar>
            <w:top w:w="0" w:type="dxa"/>
            <w:left w:w="28" w:type="dxa"/>
            <w:bottom w:w="0" w:type="dxa"/>
            <w:right w:w="28" w:type="dxa"/>
          </w:tblCellMar>
        </w:tblPrEx>
        <w:tc>
          <w:tcPr>
            <w:tcW w:w="193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可抵扣亏损</w:t>
            </w:r>
          </w:p>
        </w:tc>
        <w:tc>
          <w:tcPr>
            <w:tcW w:w="194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5,334,840.39</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1,324,512.82</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7,865,538.79</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1,966,384.70</w:t>
            </w:r>
          </w:p>
        </w:tc>
      </w:tr>
      <w:tr>
        <w:tblPrEx>
          <w:tblLayout w:type="fixed"/>
          <w:tblCellMar>
            <w:top w:w="0" w:type="dxa"/>
            <w:left w:w="28" w:type="dxa"/>
            <w:bottom w:w="0" w:type="dxa"/>
            <w:right w:w="28" w:type="dxa"/>
          </w:tblCellMar>
        </w:tblPrEx>
        <w:tc>
          <w:tcPr>
            <w:tcW w:w="193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政府补助</w:t>
            </w:r>
          </w:p>
        </w:tc>
        <w:tc>
          <w:tcPr>
            <w:tcW w:w="194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9,423,349.93</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1,443,502.49</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3,399,658.06</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509,948.71</w:t>
            </w:r>
          </w:p>
        </w:tc>
      </w:tr>
      <w:tr>
        <w:tblPrEx>
          <w:tblLayout w:type="fixed"/>
          <w:tblCellMar>
            <w:top w:w="0" w:type="dxa"/>
            <w:left w:w="28" w:type="dxa"/>
            <w:bottom w:w="0" w:type="dxa"/>
            <w:right w:w="28" w:type="dxa"/>
          </w:tblCellMar>
        </w:tblPrEx>
        <w:tc>
          <w:tcPr>
            <w:tcW w:w="193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预计负债</w:t>
            </w:r>
          </w:p>
        </w:tc>
        <w:tc>
          <w:tcPr>
            <w:tcW w:w="194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2,545,969.60</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420,084.98</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6,910,211.00</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1,727,552.75</w:t>
            </w:r>
          </w:p>
        </w:tc>
      </w:tr>
      <w:tr>
        <w:tblPrEx>
          <w:tblLayout w:type="fixed"/>
          <w:tblCellMar>
            <w:top w:w="0" w:type="dxa"/>
            <w:left w:w="28" w:type="dxa"/>
            <w:bottom w:w="0" w:type="dxa"/>
            <w:right w:w="28" w:type="dxa"/>
          </w:tblCellMar>
        </w:tblPrEx>
        <w:tc>
          <w:tcPr>
            <w:tcW w:w="193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194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62,053,003.94</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10,758,100.80</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60,729,765.50</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11,781,288.94</w:t>
            </w:r>
          </w:p>
        </w:tc>
      </w:tr>
    </w:tbl>
    <w:p>
      <w:pPr>
        <w:pStyle w:val="11"/>
        <w:outlineLvl w:val="3"/>
        <w:rPr>
          <w:bCs w:val="0"/>
          <w:szCs w:val="24"/>
        </w:rPr>
      </w:pPr>
      <w:r>
        <w:rPr>
          <w:rFonts w:hint="eastAsia"/>
          <w:bCs w:val="0"/>
          <w:szCs w:val="24"/>
        </w:rPr>
        <w:t>（</w:t>
      </w:r>
      <w:r>
        <w:rPr>
          <w:bCs w:val="0"/>
          <w:szCs w:val="24"/>
        </w:rPr>
        <w:t>2</w:t>
      </w:r>
      <w:r>
        <w:rPr>
          <w:rFonts w:hint="eastAsia"/>
          <w:bCs w:val="0"/>
          <w:szCs w:val="24"/>
        </w:rPr>
        <w:t>）未经抵销的递延所得税负债</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694" w:type="dxa"/>
        <w:tblInd w:w="0" w:type="dxa"/>
        <w:tblLayout w:type="fixed"/>
        <w:tblCellMar>
          <w:top w:w="0" w:type="dxa"/>
          <w:left w:w="28" w:type="dxa"/>
          <w:bottom w:w="0" w:type="dxa"/>
          <w:right w:w="28" w:type="dxa"/>
        </w:tblCellMar>
      </w:tblPr>
      <w:tblGrid>
        <w:gridCol w:w="1936"/>
        <w:gridCol w:w="1941"/>
        <w:gridCol w:w="1939"/>
        <w:gridCol w:w="1939"/>
        <w:gridCol w:w="1939"/>
      </w:tblGrid>
      <w:tr>
        <w:tblPrEx>
          <w:tblLayout w:type="fixed"/>
          <w:tblCellMar>
            <w:top w:w="0" w:type="dxa"/>
            <w:left w:w="28" w:type="dxa"/>
            <w:bottom w:w="0" w:type="dxa"/>
            <w:right w:w="28" w:type="dxa"/>
          </w:tblCellMar>
        </w:tblPrEx>
        <w:tc>
          <w:tcPr>
            <w:tcW w:w="1936"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3880"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c>
          <w:tcPr>
            <w:tcW w:w="3878"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期初余额</w:t>
            </w:r>
          </w:p>
        </w:tc>
      </w:tr>
      <w:tr>
        <w:tblPrEx>
          <w:tblLayout w:type="fixed"/>
          <w:tblCellMar>
            <w:top w:w="0" w:type="dxa"/>
            <w:left w:w="28" w:type="dxa"/>
            <w:bottom w:w="0" w:type="dxa"/>
            <w:right w:w="28" w:type="dxa"/>
          </w:tblCellMar>
        </w:tblPrEx>
        <w:tc>
          <w:tcPr>
            <w:tcW w:w="1936"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94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应纳税暂时性差异</w:t>
            </w:r>
          </w:p>
        </w:tc>
        <w:tc>
          <w:tcPr>
            <w:tcW w:w="193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递延所得税负债</w:t>
            </w:r>
          </w:p>
        </w:tc>
        <w:tc>
          <w:tcPr>
            <w:tcW w:w="193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应纳税暂时性差异</w:t>
            </w:r>
          </w:p>
        </w:tc>
        <w:tc>
          <w:tcPr>
            <w:tcW w:w="193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递延所得税负债</w:t>
            </w:r>
          </w:p>
        </w:tc>
      </w:tr>
      <w:tr>
        <w:tblPrEx>
          <w:tblLayout w:type="fixed"/>
          <w:tblCellMar>
            <w:top w:w="0" w:type="dxa"/>
            <w:left w:w="28" w:type="dxa"/>
            <w:bottom w:w="0" w:type="dxa"/>
            <w:right w:w="28" w:type="dxa"/>
          </w:tblCellMar>
        </w:tblPrEx>
        <w:tc>
          <w:tcPr>
            <w:tcW w:w="193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非同一控制企业合并资产评估增值</w:t>
            </w:r>
          </w:p>
        </w:tc>
        <w:tc>
          <w:tcPr>
            <w:tcW w:w="194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685,929.86</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171,482.47</w:t>
            </w:r>
          </w:p>
        </w:tc>
      </w:tr>
      <w:tr>
        <w:tblPrEx>
          <w:tblLayout w:type="fixed"/>
          <w:tblCellMar>
            <w:top w:w="0" w:type="dxa"/>
            <w:left w:w="28" w:type="dxa"/>
            <w:bottom w:w="0" w:type="dxa"/>
            <w:right w:w="28" w:type="dxa"/>
          </w:tblCellMar>
        </w:tblPrEx>
        <w:tc>
          <w:tcPr>
            <w:tcW w:w="193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可供出售金融资产公允价值变动</w:t>
            </w:r>
          </w:p>
        </w:tc>
        <w:tc>
          <w:tcPr>
            <w:tcW w:w="194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93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固定资产折旧</w:t>
            </w:r>
          </w:p>
        </w:tc>
        <w:tc>
          <w:tcPr>
            <w:tcW w:w="194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1,576,167.11</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236,425.07</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848,573.20</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127,285.98</w:t>
            </w:r>
          </w:p>
        </w:tc>
      </w:tr>
      <w:tr>
        <w:tblPrEx>
          <w:tblLayout w:type="fixed"/>
          <w:tblCellMar>
            <w:top w:w="0" w:type="dxa"/>
            <w:left w:w="28" w:type="dxa"/>
            <w:bottom w:w="0" w:type="dxa"/>
            <w:right w:w="28" w:type="dxa"/>
          </w:tblCellMar>
        </w:tblPrEx>
        <w:tc>
          <w:tcPr>
            <w:tcW w:w="193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软件退税</w:t>
            </w:r>
          </w:p>
        </w:tc>
        <w:tc>
          <w:tcPr>
            <w:tcW w:w="194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15,379,523.53</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2,306,928.53</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20,062,746.31</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3,009,411.95</w:t>
            </w:r>
          </w:p>
        </w:tc>
      </w:tr>
      <w:tr>
        <w:tblPrEx>
          <w:tblLayout w:type="fixed"/>
          <w:tblCellMar>
            <w:top w:w="0" w:type="dxa"/>
            <w:left w:w="28" w:type="dxa"/>
            <w:bottom w:w="0" w:type="dxa"/>
            <w:right w:w="28" w:type="dxa"/>
          </w:tblCellMar>
        </w:tblPrEx>
        <w:tc>
          <w:tcPr>
            <w:tcW w:w="193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194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16,955,690.64</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2,543,353.60</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21,597,249.37</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3,308,180.40</w:t>
            </w:r>
          </w:p>
        </w:tc>
      </w:tr>
    </w:tbl>
    <w:p>
      <w:pPr>
        <w:pStyle w:val="11"/>
        <w:outlineLvl w:val="3"/>
        <w:rPr>
          <w:bCs w:val="0"/>
          <w:szCs w:val="24"/>
        </w:rPr>
      </w:pPr>
      <w:r>
        <w:rPr>
          <w:rFonts w:hint="eastAsia"/>
          <w:bCs w:val="0"/>
          <w:szCs w:val="24"/>
        </w:rPr>
        <w:t>（</w:t>
      </w:r>
      <w:r>
        <w:rPr>
          <w:bCs w:val="0"/>
          <w:szCs w:val="24"/>
        </w:rPr>
        <w:t>3</w:t>
      </w:r>
      <w:r>
        <w:rPr>
          <w:rFonts w:hint="eastAsia"/>
          <w:bCs w:val="0"/>
          <w:szCs w:val="24"/>
        </w:rPr>
        <w:t>）以抵销后净额列示的递延所得税资产或负债</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694" w:type="dxa"/>
        <w:tblInd w:w="0" w:type="dxa"/>
        <w:tblLayout w:type="fixed"/>
        <w:tblCellMar>
          <w:top w:w="0" w:type="dxa"/>
          <w:left w:w="28" w:type="dxa"/>
          <w:bottom w:w="0" w:type="dxa"/>
          <w:right w:w="28" w:type="dxa"/>
        </w:tblCellMar>
      </w:tblPr>
      <w:tblGrid>
        <w:gridCol w:w="1936"/>
        <w:gridCol w:w="1941"/>
        <w:gridCol w:w="1939"/>
        <w:gridCol w:w="1939"/>
        <w:gridCol w:w="1939"/>
      </w:tblGrid>
      <w:tr>
        <w:tblPrEx>
          <w:tblLayout w:type="fixed"/>
          <w:tblCellMar>
            <w:top w:w="0" w:type="dxa"/>
            <w:left w:w="28" w:type="dxa"/>
            <w:bottom w:w="0" w:type="dxa"/>
            <w:right w:w="28" w:type="dxa"/>
          </w:tblCellMar>
        </w:tblPrEx>
        <w:tc>
          <w:tcPr>
            <w:tcW w:w="193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194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递延所得税资产和负债期末互抵金额</w:t>
            </w:r>
          </w:p>
        </w:tc>
        <w:tc>
          <w:tcPr>
            <w:tcW w:w="193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抵销后递延所得税资产或负债期末余额</w:t>
            </w:r>
          </w:p>
        </w:tc>
        <w:tc>
          <w:tcPr>
            <w:tcW w:w="193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递延所得税资产和负债期初互抵金额</w:t>
            </w:r>
          </w:p>
        </w:tc>
        <w:tc>
          <w:tcPr>
            <w:tcW w:w="193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抵销后递延所得税资产或负债期初余额</w:t>
            </w:r>
          </w:p>
        </w:tc>
      </w:tr>
      <w:tr>
        <w:tblPrEx>
          <w:tblLayout w:type="fixed"/>
          <w:tblCellMar>
            <w:top w:w="0" w:type="dxa"/>
            <w:left w:w="28" w:type="dxa"/>
            <w:bottom w:w="0" w:type="dxa"/>
            <w:right w:w="28" w:type="dxa"/>
          </w:tblCellMar>
        </w:tblPrEx>
        <w:tc>
          <w:tcPr>
            <w:tcW w:w="193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递延所得税资产</w:t>
            </w:r>
          </w:p>
        </w:tc>
        <w:tc>
          <w:tcPr>
            <w:tcW w:w="194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939"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10,758,100.80</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939"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11,781,288.94</w:t>
            </w:r>
          </w:p>
        </w:tc>
      </w:tr>
      <w:tr>
        <w:tblPrEx>
          <w:tblLayout w:type="fixed"/>
          <w:tblCellMar>
            <w:top w:w="0" w:type="dxa"/>
            <w:left w:w="28" w:type="dxa"/>
            <w:bottom w:w="0" w:type="dxa"/>
            <w:right w:w="28" w:type="dxa"/>
          </w:tblCellMar>
        </w:tblPrEx>
        <w:tc>
          <w:tcPr>
            <w:tcW w:w="193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递延所得税负债</w:t>
            </w:r>
          </w:p>
        </w:tc>
        <w:tc>
          <w:tcPr>
            <w:tcW w:w="194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939"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2,543,353.60</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939"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3,308,180.40</w:t>
            </w:r>
          </w:p>
        </w:tc>
      </w:tr>
    </w:tbl>
    <w:p>
      <w:pPr>
        <w:pStyle w:val="11"/>
        <w:outlineLvl w:val="2"/>
        <w:rPr>
          <w:bCs w:val="0"/>
          <w:szCs w:val="24"/>
        </w:rPr>
      </w:pPr>
      <w:r>
        <w:rPr>
          <w:bCs w:val="0"/>
          <w:szCs w:val="24"/>
        </w:rPr>
        <w:t>18</w:t>
      </w:r>
      <w:r>
        <w:rPr>
          <w:rFonts w:hint="eastAsia"/>
          <w:bCs w:val="0"/>
          <w:szCs w:val="24"/>
        </w:rPr>
        <w:t>、其他非流动资产</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694" w:type="dxa"/>
        <w:tblInd w:w="0" w:type="dxa"/>
        <w:tblLayout w:type="fixed"/>
        <w:tblCellMar>
          <w:top w:w="0" w:type="dxa"/>
          <w:left w:w="28" w:type="dxa"/>
          <w:bottom w:w="0" w:type="dxa"/>
          <w:right w:w="28" w:type="dxa"/>
        </w:tblCellMar>
      </w:tblPr>
      <w:tblGrid>
        <w:gridCol w:w="3229"/>
        <w:gridCol w:w="3235"/>
        <w:gridCol w:w="3230"/>
      </w:tblGrid>
      <w:tr>
        <w:tblPrEx>
          <w:tblLayout w:type="fixed"/>
          <w:tblCellMar>
            <w:top w:w="0" w:type="dxa"/>
            <w:left w:w="28" w:type="dxa"/>
            <w:bottom w:w="0" w:type="dxa"/>
            <w:right w:w="28" w:type="dxa"/>
          </w:tblCellMar>
        </w:tblPrEx>
        <w:tc>
          <w:tcPr>
            <w:tcW w:w="322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323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c>
          <w:tcPr>
            <w:tcW w:w="323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期初余额</w:t>
            </w:r>
          </w:p>
        </w:tc>
      </w:tr>
      <w:tr>
        <w:tblPrEx>
          <w:tblLayout w:type="fixed"/>
          <w:tblCellMar>
            <w:top w:w="0" w:type="dxa"/>
            <w:left w:w="28" w:type="dxa"/>
            <w:bottom w:w="0" w:type="dxa"/>
            <w:right w:w="28" w:type="dxa"/>
          </w:tblCellMar>
        </w:tblPrEx>
        <w:tc>
          <w:tcPr>
            <w:tcW w:w="322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复合动力快速无人艇海洋环境监测系统项目设备款</w:t>
            </w:r>
          </w:p>
        </w:tc>
        <w:tc>
          <w:tcPr>
            <w:tcW w:w="323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5,000,000.00</w:t>
            </w:r>
          </w:p>
        </w:tc>
        <w:tc>
          <w:tcPr>
            <w:tcW w:w="323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24,000,000.00</w:t>
            </w:r>
          </w:p>
        </w:tc>
      </w:tr>
      <w:tr>
        <w:tblPrEx>
          <w:tblLayout w:type="fixed"/>
          <w:tblCellMar>
            <w:top w:w="0" w:type="dxa"/>
            <w:left w:w="28" w:type="dxa"/>
            <w:bottom w:w="0" w:type="dxa"/>
            <w:right w:w="28" w:type="dxa"/>
          </w:tblCellMar>
        </w:tblPrEx>
        <w:tc>
          <w:tcPr>
            <w:tcW w:w="322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3235"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5,000,000.00</w:t>
            </w:r>
          </w:p>
        </w:tc>
        <w:tc>
          <w:tcPr>
            <w:tcW w:w="3230"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24,000,000.00</w:t>
            </w:r>
          </w:p>
        </w:tc>
      </w:tr>
    </w:tbl>
    <w:p>
      <w:pPr>
        <w:pStyle w:val="11"/>
        <w:outlineLvl w:val="2"/>
        <w:rPr>
          <w:bCs w:val="0"/>
          <w:szCs w:val="24"/>
        </w:rPr>
      </w:pPr>
      <w:r>
        <w:rPr>
          <w:bCs w:val="0"/>
          <w:szCs w:val="24"/>
        </w:rPr>
        <w:t>19</w:t>
      </w:r>
      <w:r>
        <w:rPr>
          <w:rFonts w:hint="eastAsia"/>
          <w:bCs w:val="0"/>
          <w:szCs w:val="24"/>
        </w:rPr>
        <w:t>、短期借款</w:t>
      </w:r>
    </w:p>
    <w:p>
      <w:pPr>
        <w:pStyle w:val="11"/>
        <w:outlineLvl w:val="3"/>
        <w:rPr>
          <w:bCs w:val="0"/>
          <w:szCs w:val="24"/>
        </w:rPr>
      </w:pPr>
      <w:r>
        <w:rPr>
          <w:rFonts w:hint="eastAsia"/>
          <w:bCs w:val="0"/>
          <w:szCs w:val="24"/>
        </w:rPr>
        <w:t>（</w:t>
      </w:r>
      <w:r>
        <w:rPr>
          <w:bCs w:val="0"/>
          <w:szCs w:val="24"/>
        </w:rPr>
        <w:t>1</w:t>
      </w:r>
      <w:r>
        <w:rPr>
          <w:rFonts w:hint="eastAsia"/>
          <w:bCs w:val="0"/>
          <w:szCs w:val="24"/>
        </w:rPr>
        <w:t>）短期借款分类</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569" w:type="dxa"/>
        <w:tblInd w:w="28" w:type="dxa"/>
        <w:tblLayout w:type="fixed"/>
        <w:tblCellMar>
          <w:top w:w="0" w:type="dxa"/>
          <w:left w:w="28" w:type="dxa"/>
          <w:bottom w:w="0" w:type="dxa"/>
          <w:right w:w="28" w:type="dxa"/>
        </w:tblCellMar>
      </w:tblPr>
      <w:tblGrid>
        <w:gridCol w:w="3187"/>
        <w:gridCol w:w="3193"/>
        <w:gridCol w:w="3189"/>
      </w:tblGrid>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319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期初余额</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保证借款</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56,534,057.35</w:t>
            </w: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26,493,600.00</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信用借款</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20,000,000.00</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3193"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56,534,057.35</w:t>
            </w:r>
          </w:p>
        </w:tc>
        <w:tc>
          <w:tcPr>
            <w:tcW w:w="3189"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46,493,600.00</w:t>
            </w:r>
          </w:p>
        </w:tc>
      </w:tr>
    </w:tbl>
    <w:p>
      <w:pPr>
        <w:spacing w:line="360" w:lineRule="auto"/>
        <w:jc w:val="left"/>
        <w:rPr>
          <w:sz w:val="21"/>
          <w:szCs w:val="24"/>
        </w:rPr>
      </w:pPr>
      <w:r>
        <w:rPr>
          <w:rFonts w:hint="eastAsia"/>
          <w:sz w:val="21"/>
          <w:szCs w:val="24"/>
        </w:rPr>
        <w:t>短期借款分类的说明：</w:t>
      </w:r>
    </w:p>
    <w:p>
      <w:pPr>
        <w:spacing w:line="360" w:lineRule="auto"/>
        <w:ind w:firstLine="420" w:firstLineChars="200"/>
        <w:jc w:val="left"/>
        <w:rPr>
          <w:sz w:val="21"/>
          <w:szCs w:val="24"/>
        </w:rPr>
      </w:pPr>
      <w:r>
        <w:rPr>
          <w:rFonts w:hint="eastAsia"/>
          <w:sz w:val="21"/>
          <w:szCs w:val="24"/>
        </w:rPr>
        <w:t>年末保证借款中</w:t>
      </w:r>
      <w:r>
        <w:rPr>
          <w:sz w:val="21"/>
          <w:szCs w:val="24"/>
        </w:rPr>
        <w:t>36,534,057.35</w:t>
      </w:r>
      <w:r>
        <w:rPr>
          <w:rFonts w:hint="eastAsia"/>
          <w:sz w:val="21"/>
          <w:szCs w:val="24"/>
        </w:rPr>
        <w:t>元系本公司之子公司海兰信（香港）航海科技有限公司的借款，该借款由宁波银行股份有限公司北京分行营业部在给予本公司授信额度的基础上为其开出伍佰万欧元融资性保函；保证借款中</w:t>
      </w:r>
      <w:r>
        <w:rPr>
          <w:sz w:val="21"/>
          <w:szCs w:val="24"/>
        </w:rPr>
        <w:t>20,000,000.00</w:t>
      </w:r>
      <w:r>
        <w:rPr>
          <w:rFonts w:hint="eastAsia"/>
          <w:sz w:val="21"/>
          <w:szCs w:val="24"/>
        </w:rPr>
        <w:t>元系本公司之子公司成都海兰天澄科技股份有限公司的借款，该借款由本公司作为连带责任保证人为其提供保证。</w:t>
      </w:r>
    </w:p>
    <w:p>
      <w:pPr>
        <w:pStyle w:val="11"/>
        <w:outlineLvl w:val="2"/>
        <w:rPr>
          <w:bCs w:val="0"/>
          <w:szCs w:val="24"/>
        </w:rPr>
      </w:pPr>
      <w:r>
        <w:rPr>
          <w:bCs w:val="0"/>
          <w:szCs w:val="24"/>
        </w:rPr>
        <w:t>20</w:t>
      </w:r>
      <w:r>
        <w:rPr>
          <w:rFonts w:hint="eastAsia"/>
          <w:bCs w:val="0"/>
          <w:szCs w:val="24"/>
        </w:rPr>
        <w:t>、应付账款</w:t>
      </w:r>
    </w:p>
    <w:p>
      <w:pPr>
        <w:pStyle w:val="11"/>
        <w:outlineLvl w:val="3"/>
        <w:rPr>
          <w:bCs w:val="0"/>
          <w:szCs w:val="24"/>
        </w:rPr>
      </w:pPr>
      <w:r>
        <w:rPr>
          <w:rFonts w:hint="eastAsia"/>
          <w:bCs w:val="0"/>
          <w:szCs w:val="24"/>
        </w:rPr>
        <w:t>（</w:t>
      </w:r>
      <w:r>
        <w:rPr>
          <w:bCs w:val="0"/>
          <w:szCs w:val="24"/>
        </w:rPr>
        <w:t>1</w:t>
      </w:r>
      <w:r>
        <w:rPr>
          <w:rFonts w:hint="eastAsia"/>
          <w:bCs w:val="0"/>
          <w:szCs w:val="24"/>
        </w:rPr>
        <w:t>）应付账款列示</w:t>
      </w:r>
    </w:p>
    <w:p>
      <w:pPr>
        <w:jc w:val="right"/>
        <w:rPr>
          <w:szCs w:val="24"/>
        </w:rPr>
      </w:pPr>
      <w:r>
        <w:rPr>
          <w:rFonts w:hint="eastAsia"/>
          <w:szCs w:val="24"/>
        </w:rPr>
        <w:t>单位：</w:t>
      </w:r>
      <w:r>
        <w:rPr>
          <w:szCs w:val="24"/>
        </w:rPr>
        <w:t xml:space="preserve"> </w:t>
      </w:r>
      <w:r>
        <w:rPr>
          <w:rFonts w:hint="eastAsia"/>
          <w:szCs w:val="24"/>
        </w:rPr>
        <w:t>元</w:t>
      </w:r>
    </w:p>
    <w:tbl>
      <w:tblPr>
        <w:tblStyle w:val="8"/>
        <w:tblW w:w="9569" w:type="dxa"/>
        <w:tblInd w:w="28" w:type="dxa"/>
        <w:tblLayout w:type="fixed"/>
        <w:tblCellMar>
          <w:top w:w="0" w:type="dxa"/>
          <w:left w:w="28" w:type="dxa"/>
          <w:bottom w:w="0" w:type="dxa"/>
          <w:right w:w="28" w:type="dxa"/>
        </w:tblCellMar>
      </w:tblPr>
      <w:tblGrid>
        <w:gridCol w:w="3187"/>
        <w:gridCol w:w="3193"/>
        <w:gridCol w:w="3189"/>
      </w:tblGrid>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319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期初余额</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合计</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98,241,690.19</w:t>
            </w: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93,889,130.52</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3193"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98,241,690.19</w:t>
            </w:r>
          </w:p>
        </w:tc>
        <w:tc>
          <w:tcPr>
            <w:tcW w:w="3189"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93,889,130.52</w:t>
            </w:r>
          </w:p>
        </w:tc>
      </w:tr>
    </w:tbl>
    <w:p>
      <w:pPr>
        <w:pStyle w:val="11"/>
        <w:outlineLvl w:val="3"/>
        <w:rPr>
          <w:bCs w:val="0"/>
          <w:szCs w:val="24"/>
        </w:rPr>
      </w:pPr>
      <w:r>
        <w:rPr>
          <w:rFonts w:hint="eastAsia"/>
          <w:bCs w:val="0"/>
          <w:szCs w:val="24"/>
        </w:rPr>
        <w:t>（</w:t>
      </w:r>
      <w:r>
        <w:rPr>
          <w:bCs w:val="0"/>
          <w:szCs w:val="24"/>
        </w:rPr>
        <w:t>2</w:t>
      </w:r>
      <w:r>
        <w:rPr>
          <w:rFonts w:hint="eastAsia"/>
          <w:bCs w:val="0"/>
          <w:szCs w:val="24"/>
        </w:rPr>
        <w:t>）账龄超过</w:t>
      </w:r>
      <w:r>
        <w:rPr>
          <w:bCs w:val="0"/>
          <w:szCs w:val="24"/>
        </w:rPr>
        <w:t>1</w:t>
      </w:r>
      <w:r>
        <w:rPr>
          <w:rFonts w:hint="eastAsia"/>
          <w:bCs w:val="0"/>
          <w:szCs w:val="24"/>
        </w:rPr>
        <w:t>年的重要应付账款</w:t>
      </w:r>
    </w:p>
    <w:p>
      <w:pPr>
        <w:jc w:val="right"/>
        <w:rPr>
          <w:szCs w:val="24"/>
        </w:rPr>
      </w:pPr>
      <w:r>
        <w:rPr>
          <w:rFonts w:hint="eastAsia"/>
          <w:szCs w:val="24"/>
        </w:rPr>
        <w:t>单位：</w:t>
      </w:r>
      <w:r>
        <w:rPr>
          <w:szCs w:val="24"/>
        </w:rPr>
        <w:t xml:space="preserve"> </w:t>
      </w:r>
      <w:r>
        <w:rPr>
          <w:rFonts w:hint="eastAsia"/>
          <w:szCs w:val="24"/>
        </w:rPr>
        <w:t>元</w:t>
      </w:r>
    </w:p>
    <w:tbl>
      <w:tblPr>
        <w:tblStyle w:val="8"/>
        <w:tblW w:w="9569" w:type="dxa"/>
        <w:tblInd w:w="28" w:type="dxa"/>
        <w:tblLayout w:type="fixed"/>
        <w:tblCellMar>
          <w:top w:w="0" w:type="dxa"/>
          <w:left w:w="28" w:type="dxa"/>
          <w:bottom w:w="0" w:type="dxa"/>
          <w:right w:w="28" w:type="dxa"/>
        </w:tblCellMar>
      </w:tblPr>
      <w:tblGrid>
        <w:gridCol w:w="3187"/>
        <w:gridCol w:w="3193"/>
        <w:gridCol w:w="3189"/>
      </w:tblGrid>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319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未偿还或结转的原因</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供应商一</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1,746,816.24</w:t>
            </w: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未结算</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供应商二</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700,000.00</w:t>
            </w: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未结算</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供应商三</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460,000.00</w:t>
            </w: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未结算</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供应商四</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433,011.02</w:t>
            </w: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未结算</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供应商五</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428,000.00</w:t>
            </w: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未结算</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3,767,827.26</w:t>
            </w:r>
          </w:p>
        </w:tc>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sz w:val="21"/>
                <w:szCs w:val="21"/>
              </w:rPr>
              <w:t>--</w:t>
            </w:r>
          </w:p>
        </w:tc>
      </w:tr>
    </w:tbl>
    <w:p>
      <w:pPr>
        <w:jc w:val="left"/>
        <w:rPr>
          <w:sz w:val="21"/>
          <w:szCs w:val="21"/>
        </w:rPr>
      </w:pPr>
      <w:r>
        <w:rPr>
          <w:rFonts w:hint="eastAsia"/>
          <w:sz w:val="21"/>
          <w:szCs w:val="21"/>
        </w:rPr>
        <w:t>其他说明：</w:t>
      </w:r>
    </w:p>
    <w:p>
      <w:pPr>
        <w:pStyle w:val="11"/>
        <w:outlineLvl w:val="2"/>
        <w:rPr>
          <w:bCs w:val="0"/>
          <w:szCs w:val="24"/>
        </w:rPr>
      </w:pPr>
      <w:r>
        <w:rPr>
          <w:bCs w:val="0"/>
          <w:szCs w:val="24"/>
        </w:rPr>
        <w:t>21</w:t>
      </w:r>
      <w:r>
        <w:rPr>
          <w:rFonts w:hint="eastAsia"/>
          <w:bCs w:val="0"/>
          <w:szCs w:val="24"/>
        </w:rPr>
        <w:t>、预收款项</w:t>
      </w:r>
    </w:p>
    <w:p>
      <w:pPr>
        <w:pStyle w:val="11"/>
        <w:outlineLvl w:val="3"/>
        <w:rPr>
          <w:bCs w:val="0"/>
          <w:szCs w:val="24"/>
        </w:rPr>
      </w:pPr>
      <w:r>
        <w:rPr>
          <w:rFonts w:hint="eastAsia"/>
          <w:bCs w:val="0"/>
          <w:szCs w:val="24"/>
        </w:rPr>
        <w:t>（</w:t>
      </w:r>
      <w:r>
        <w:rPr>
          <w:bCs w:val="0"/>
          <w:szCs w:val="24"/>
        </w:rPr>
        <w:t>1</w:t>
      </w:r>
      <w:r>
        <w:rPr>
          <w:rFonts w:hint="eastAsia"/>
          <w:bCs w:val="0"/>
          <w:szCs w:val="24"/>
        </w:rPr>
        <w:t>）预收款项列示</w:t>
      </w:r>
    </w:p>
    <w:p>
      <w:pPr>
        <w:jc w:val="right"/>
        <w:rPr>
          <w:szCs w:val="24"/>
        </w:rPr>
      </w:pPr>
      <w:r>
        <w:rPr>
          <w:rFonts w:hint="eastAsia"/>
          <w:szCs w:val="24"/>
        </w:rPr>
        <w:t>单位：</w:t>
      </w:r>
      <w:r>
        <w:rPr>
          <w:szCs w:val="24"/>
        </w:rPr>
        <w:t xml:space="preserve"> </w:t>
      </w:r>
      <w:r>
        <w:rPr>
          <w:rFonts w:hint="eastAsia"/>
          <w:szCs w:val="24"/>
        </w:rPr>
        <w:t>元</w:t>
      </w:r>
    </w:p>
    <w:tbl>
      <w:tblPr>
        <w:tblStyle w:val="8"/>
        <w:tblW w:w="9569" w:type="dxa"/>
        <w:tblInd w:w="28" w:type="dxa"/>
        <w:tblLayout w:type="fixed"/>
        <w:tblCellMar>
          <w:top w:w="0" w:type="dxa"/>
          <w:left w:w="28" w:type="dxa"/>
          <w:bottom w:w="0" w:type="dxa"/>
          <w:right w:w="28" w:type="dxa"/>
        </w:tblCellMar>
      </w:tblPr>
      <w:tblGrid>
        <w:gridCol w:w="3187"/>
        <w:gridCol w:w="3193"/>
        <w:gridCol w:w="3189"/>
      </w:tblGrid>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319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期初余额</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合计</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73,588,078.67</w:t>
            </w: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28,552,072.27</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3193"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73,588,078.67</w:t>
            </w:r>
          </w:p>
        </w:tc>
        <w:tc>
          <w:tcPr>
            <w:tcW w:w="3189"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28,552,072.27</w:t>
            </w:r>
          </w:p>
        </w:tc>
      </w:tr>
    </w:tbl>
    <w:p>
      <w:pPr>
        <w:pStyle w:val="11"/>
        <w:outlineLvl w:val="3"/>
        <w:rPr>
          <w:bCs w:val="0"/>
          <w:szCs w:val="24"/>
        </w:rPr>
      </w:pPr>
      <w:r>
        <w:rPr>
          <w:rFonts w:hint="eastAsia"/>
          <w:bCs w:val="0"/>
          <w:szCs w:val="24"/>
        </w:rPr>
        <w:t>（</w:t>
      </w:r>
      <w:r>
        <w:rPr>
          <w:bCs w:val="0"/>
          <w:szCs w:val="24"/>
        </w:rPr>
        <w:t>2</w:t>
      </w:r>
      <w:r>
        <w:rPr>
          <w:rFonts w:hint="eastAsia"/>
          <w:bCs w:val="0"/>
          <w:szCs w:val="24"/>
        </w:rPr>
        <w:t>）账龄超过</w:t>
      </w:r>
      <w:r>
        <w:rPr>
          <w:bCs w:val="0"/>
          <w:szCs w:val="24"/>
        </w:rPr>
        <w:t>1</w:t>
      </w:r>
      <w:r>
        <w:rPr>
          <w:rFonts w:hint="eastAsia"/>
          <w:bCs w:val="0"/>
          <w:szCs w:val="24"/>
        </w:rPr>
        <w:t>年的重要预收款项</w:t>
      </w:r>
    </w:p>
    <w:p>
      <w:pPr>
        <w:jc w:val="right"/>
        <w:rPr>
          <w:szCs w:val="24"/>
        </w:rPr>
      </w:pPr>
      <w:r>
        <w:rPr>
          <w:rFonts w:hint="eastAsia"/>
          <w:szCs w:val="24"/>
        </w:rPr>
        <w:t>单位：</w:t>
      </w:r>
      <w:r>
        <w:rPr>
          <w:szCs w:val="24"/>
        </w:rPr>
        <w:t xml:space="preserve"> </w:t>
      </w:r>
      <w:r>
        <w:rPr>
          <w:rFonts w:hint="eastAsia"/>
          <w:szCs w:val="24"/>
        </w:rPr>
        <w:t>元</w:t>
      </w:r>
    </w:p>
    <w:tbl>
      <w:tblPr>
        <w:tblStyle w:val="8"/>
        <w:tblW w:w="9694" w:type="dxa"/>
        <w:tblInd w:w="0" w:type="dxa"/>
        <w:tblLayout w:type="fixed"/>
        <w:tblCellMar>
          <w:top w:w="0" w:type="dxa"/>
          <w:left w:w="28" w:type="dxa"/>
          <w:bottom w:w="0" w:type="dxa"/>
          <w:right w:w="28" w:type="dxa"/>
        </w:tblCellMar>
      </w:tblPr>
      <w:tblGrid>
        <w:gridCol w:w="3229"/>
        <w:gridCol w:w="3235"/>
        <w:gridCol w:w="3230"/>
      </w:tblGrid>
      <w:tr>
        <w:tblPrEx>
          <w:tblLayout w:type="fixed"/>
        </w:tblPrEx>
        <w:tc>
          <w:tcPr>
            <w:tcW w:w="322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323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c>
          <w:tcPr>
            <w:tcW w:w="323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未偿还或结转的原因</w:t>
            </w:r>
          </w:p>
        </w:tc>
      </w:tr>
      <w:tr>
        <w:tblPrEx>
          <w:tblLayout w:type="fixed"/>
          <w:tblCellMar>
            <w:top w:w="0" w:type="dxa"/>
            <w:left w:w="28" w:type="dxa"/>
            <w:bottom w:w="0" w:type="dxa"/>
            <w:right w:w="28" w:type="dxa"/>
          </w:tblCellMar>
        </w:tblPrEx>
        <w:tc>
          <w:tcPr>
            <w:tcW w:w="322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广东省海洋与渔业环境监测中心</w:t>
            </w:r>
          </w:p>
        </w:tc>
        <w:tc>
          <w:tcPr>
            <w:tcW w:w="323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7,015,433.96</w:t>
            </w:r>
          </w:p>
        </w:tc>
        <w:tc>
          <w:tcPr>
            <w:tcW w:w="323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未结转</w:t>
            </w:r>
          </w:p>
        </w:tc>
      </w:tr>
      <w:tr>
        <w:tblPrEx>
          <w:tblLayout w:type="fixed"/>
          <w:tblCellMar>
            <w:top w:w="0" w:type="dxa"/>
            <w:left w:w="28" w:type="dxa"/>
            <w:bottom w:w="0" w:type="dxa"/>
            <w:right w:w="28" w:type="dxa"/>
          </w:tblCellMar>
        </w:tblPrEx>
        <w:tc>
          <w:tcPr>
            <w:tcW w:w="322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323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7,015,433.96</w:t>
            </w:r>
          </w:p>
        </w:tc>
        <w:tc>
          <w:tcPr>
            <w:tcW w:w="323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sz w:val="21"/>
                <w:szCs w:val="21"/>
              </w:rPr>
              <w:t>--</w:t>
            </w:r>
          </w:p>
        </w:tc>
      </w:tr>
    </w:tbl>
    <w:p>
      <w:pPr>
        <w:pStyle w:val="11"/>
        <w:outlineLvl w:val="2"/>
        <w:rPr>
          <w:bCs w:val="0"/>
          <w:szCs w:val="24"/>
        </w:rPr>
      </w:pPr>
      <w:r>
        <w:rPr>
          <w:bCs w:val="0"/>
          <w:szCs w:val="24"/>
        </w:rPr>
        <w:t>22</w:t>
      </w:r>
      <w:r>
        <w:rPr>
          <w:rFonts w:hint="eastAsia"/>
          <w:bCs w:val="0"/>
          <w:szCs w:val="24"/>
        </w:rPr>
        <w:t>、应付职工薪酬</w:t>
      </w:r>
    </w:p>
    <w:p>
      <w:pPr>
        <w:pStyle w:val="11"/>
        <w:outlineLvl w:val="3"/>
        <w:rPr>
          <w:bCs w:val="0"/>
          <w:szCs w:val="24"/>
        </w:rPr>
      </w:pPr>
      <w:r>
        <w:rPr>
          <w:rFonts w:hint="eastAsia"/>
          <w:bCs w:val="0"/>
          <w:szCs w:val="24"/>
        </w:rPr>
        <w:t>（</w:t>
      </w:r>
      <w:r>
        <w:rPr>
          <w:bCs w:val="0"/>
          <w:szCs w:val="24"/>
        </w:rPr>
        <w:t>1</w:t>
      </w:r>
      <w:r>
        <w:rPr>
          <w:rFonts w:hint="eastAsia"/>
          <w:bCs w:val="0"/>
          <w:szCs w:val="24"/>
        </w:rPr>
        <w:t>）应付职工薪酬列示</w:t>
      </w:r>
    </w:p>
    <w:p>
      <w:pPr>
        <w:jc w:val="right"/>
        <w:rPr>
          <w:szCs w:val="24"/>
        </w:rPr>
      </w:pPr>
      <w:r>
        <w:rPr>
          <w:rFonts w:hint="eastAsia"/>
          <w:szCs w:val="24"/>
        </w:rPr>
        <w:t>单位：</w:t>
      </w:r>
      <w:r>
        <w:rPr>
          <w:szCs w:val="24"/>
        </w:rPr>
        <w:t xml:space="preserve"> </w:t>
      </w:r>
      <w:r>
        <w:rPr>
          <w:rFonts w:hint="eastAsia"/>
          <w:szCs w:val="24"/>
        </w:rPr>
        <w:t>元</w:t>
      </w:r>
    </w:p>
    <w:tbl>
      <w:tblPr>
        <w:tblStyle w:val="8"/>
        <w:tblW w:w="9694" w:type="dxa"/>
        <w:tblInd w:w="0" w:type="dxa"/>
        <w:tblLayout w:type="fixed"/>
        <w:tblCellMar>
          <w:top w:w="0" w:type="dxa"/>
          <w:left w:w="28" w:type="dxa"/>
          <w:bottom w:w="0" w:type="dxa"/>
          <w:right w:w="28" w:type="dxa"/>
        </w:tblCellMar>
      </w:tblPr>
      <w:tblGrid>
        <w:gridCol w:w="1936"/>
        <w:gridCol w:w="1941"/>
        <w:gridCol w:w="1939"/>
        <w:gridCol w:w="1939"/>
        <w:gridCol w:w="1939"/>
      </w:tblGrid>
      <w:tr>
        <w:tblPrEx>
          <w:tblLayout w:type="fixed"/>
          <w:tblCellMar>
            <w:top w:w="0" w:type="dxa"/>
            <w:left w:w="28" w:type="dxa"/>
            <w:bottom w:w="0" w:type="dxa"/>
            <w:right w:w="28" w:type="dxa"/>
          </w:tblCellMar>
        </w:tblPrEx>
        <w:tc>
          <w:tcPr>
            <w:tcW w:w="193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194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期初余额</w:t>
            </w:r>
          </w:p>
        </w:tc>
        <w:tc>
          <w:tcPr>
            <w:tcW w:w="193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本期增加</w:t>
            </w:r>
          </w:p>
        </w:tc>
        <w:tc>
          <w:tcPr>
            <w:tcW w:w="193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本期减少</w:t>
            </w:r>
          </w:p>
        </w:tc>
        <w:tc>
          <w:tcPr>
            <w:tcW w:w="193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r>
      <w:tr>
        <w:tblPrEx>
          <w:tblLayout w:type="fixed"/>
          <w:tblCellMar>
            <w:top w:w="0" w:type="dxa"/>
            <w:left w:w="28" w:type="dxa"/>
            <w:bottom w:w="0" w:type="dxa"/>
            <w:right w:w="28" w:type="dxa"/>
          </w:tblCellMar>
        </w:tblPrEx>
        <w:tc>
          <w:tcPr>
            <w:tcW w:w="193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一、短期薪酬</w:t>
            </w:r>
          </w:p>
        </w:tc>
        <w:tc>
          <w:tcPr>
            <w:tcW w:w="194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5,188,319.38</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70,254,443.98</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71,816,665.12</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3,626,098.24</w:t>
            </w:r>
          </w:p>
        </w:tc>
      </w:tr>
      <w:tr>
        <w:tblPrEx>
          <w:tblLayout w:type="fixed"/>
          <w:tblCellMar>
            <w:top w:w="0" w:type="dxa"/>
            <w:left w:w="28" w:type="dxa"/>
            <w:bottom w:w="0" w:type="dxa"/>
            <w:right w:w="28" w:type="dxa"/>
          </w:tblCellMar>
        </w:tblPrEx>
        <w:tc>
          <w:tcPr>
            <w:tcW w:w="193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二、离职后福利</w:t>
            </w:r>
            <w:r>
              <w:rPr>
                <w:sz w:val="21"/>
                <w:szCs w:val="21"/>
              </w:rPr>
              <w:t>-</w:t>
            </w:r>
            <w:r>
              <w:rPr>
                <w:rFonts w:hint="eastAsia"/>
                <w:sz w:val="21"/>
                <w:szCs w:val="21"/>
              </w:rPr>
              <w:t>设定提存计划</w:t>
            </w:r>
          </w:p>
        </w:tc>
        <w:tc>
          <w:tcPr>
            <w:tcW w:w="194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269,303.53</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5,313,986.87</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5,362,003.52</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221,286.88</w:t>
            </w:r>
          </w:p>
        </w:tc>
      </w:tr>
      <w:tr>
        <w:tblPrEx>
          <w:tblLayout w:type="fixed"/>
          <w:tblCellMar>
            <w:top w:w="0" w:type="dxa"/>
            <w:left w:w="28" w:type="dxa"/>
            <w:bottom w:w="0" w:type="dxa"/>
            <w:right w:w="28" w:type="dxa"/>
          </w:tblCellMar>
        </w:tblPrEx>
        <w:tc>
          <w:tcPr>
            <w:tcW w:w="193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三、辞退福利</w:t>
            </w:r>
          </w:p>
        </w:tc>
        <w:tc>
          <w:tcPr>
            <w:tcW w:w="194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201,730.03</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201,730.03</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93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1941"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5,457,622.91</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75,770,160.88</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77,380,398.67</w:t>
            </w:r>
          </w:p>
        </w:tc>
        <w:tc>
          <w:tcPr>
            <w:tcW w:w="1939"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3,847,385.12</w:t>
            </w:r>
          </w:p>
        </w:tc>
      </w:tr>
    </w:tbl>
    <w:p>
      <w:pPr>
        <w:pStyle w:val="11"/>
        <w:outlineLvl w:val="3"/>
        <w:rPr>
          <w:bCs w:val="0"/>
          <w:szCs w:val="24"/>
        </w:rPr>
      </w:pPr>
      <w:r>
        <w:rPr>
          <w:rFonts w:hint="eastAsia"/>
          <w:bCs w:val="0"/>
          <w:szCs w:val="24"/>
        </w:rPr>
        <w:t>（</w:t>
      </w:r>
      <w:r>
        <w:rPr>
          <w:bCs w:val="0"/>
          <w:szCs w:val="24"/>
        </w:rPr>
        <w:t>2</w:t>
      </w:r>
      <w:r>
        <w:rPr>
          <w:rFonts w:hint="eastAsia"/>
          <w:bCs w:val="0"/>
          <w:szCs w:val="24"/>
        </w:rPr>
        <w:t>）短期薪酬列示</w:t>
      </w:r>
    </w:p>
    <w:p>
      <w:pPr>
        <w:jc w:val="right"/>
        <w:rPr>
          <w:szCs w:val="24"/>
        </w:rPr>
      </w:pPr>
      <w:r>
        <w:rPr>
          <w:rFonts w:hint="eastAsia"/>
          <w:szCs w:val="24"/>
        </w:rPr>
        <w:t>单位：</w:t>
      </w:r>
      <w:r>
        <w:rPr>
          <w:szCs w:val="24"/>
        </w:rPr>
        <w:t xml:space="preserve"> </w:t>
      </w:r>
      <w:r>
        <w:rPr>
          <w:rFonts w:hint="eastAsia"/>
          <w:szCs w:val="24"/>
        </w:rPr>
        <w:t>元</w:t>
      </w:r>
    </w:p>
    <w:tbl>
      <w:tblPr>
        <w:tblStyle w:val="8"/>
        <w:tblW w:w="9694" w:type="dxa"/>
        <w:tblInd w:w="0" w:type="dxa"/>
        <w:tblLayout w:type="fixed"/>
        <w:tblCellMar>
          <w:top w:w="0" w:type="dxa"/>
          <w:left w:w="28" w:type="dxa"/>
          <w:bottom w:w="0" w:type="dxa"/>
          <w:right w:w="28" w:type="dxa"/>
        </w:tblCellMar>
      </w:tblPr>
      <w:tblGrid>
        <w:gridCol w:w="1936"/>
        <w:gridCol w:w="1941"/>
        <w:gridCol w:w="1939"/>
        <w:gridCol w:w="1939"/>
        <w:gridCol w:w="1939"/>
      </w:tblGrid>
      <w:tr>
        <w:tblPrEx>
          <w:tblLayout w:type="fixed"/>
          <w:tblCellMar>
            <w:top w:w="0" w:type="dxa"/>
            <w:left w:w="28" w:type="dxa"/>
            <w:bottom w:w="0" w:type="dxa"/>
            <w:right w:w="28" w:type="dxa"/>
          </w:tblCellMar>
        </w:tblPrEx>
        <w:tc>
          <w:tcPr>
            <w:tcW w:w="193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194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期初余额</w:t>
            </w:r>
          </w:p>
        </w:tc>
        <w:tc>
          <w:tcPr>
            <w:tcW w:w="193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本期增加</w:t>
            </w:r>
          </w:p>
        </w:tc>
        <w:tc>
          <w:tcPr>
            <w:tcW w:w="193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本期减少</w:t>
            </w:r>
          </w:p>
        </w:tc>
        <w:tc>
          <w:tcPr>
            <w:tcW w:w="193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r>
      <w:tr>
        <w:tblPrEx>
          <w:tblLayout w:type="fixed"/>
          <w:tblCellMar>
            <w:top w:w="0" w:type="dxa"/>
            <w:left w:w="28" w:type="dxa"/>
            <w:bottom w:w="0" w:type="dxa"/>
            <w:right w:w="28" w:type="dxa"/>
          </w:tblCellMar>
        </w:tblPrEx>
        <w:tc>
          <w:tcPr>
            <w:tcW w:w="193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1</w:t>
            </w:r>
            <w:r>
              <w:rPr>
                <w:rFonts w:hint="eastAsia"/>
                <w:sz w:val="21"/>
                <w:szCs w:val="21"/>
              </w:rPr>
              <w:t>、工资、奖金、津贴和补贴</w:t>
            </w:r>
          </w:p>
        </w:tc>
        <w:tc>
          <w:tcPr>
            <w:tcW w:w="194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4,058,726.23</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60,745,262.85</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62,331,122.21</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2,472,866.87</w:t>
            </w:r>
          </w:p>
        </w:tc>
      </w:tr>
      <w:tr>
        <w:tblPrEx>
          <w:tblLayout w:type="fixed"/>
          <w:tblCellMar>
            <w:top w:w="0" w:type="dxa"/>
            <w:left w:w="28" w:type="dxa"/>
            <w:bottom w:w="0" w:type="dxa"/>
            <w:right w:w="28" w:type="dxa"/>
          </w:tblCellMar>
        </w:tblPrEx>
        <w:tc>
          <w:tcPr>
            <w:tcW w:w="193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2</w:t>
            </w:r>
            <w:r>
              <w:rPr>
                <w:rFonts w:hint="eastAsia"/>
                <w:sz w:val="21"/>
                <w:szCs w:val="21"/>
              </w:rPr>
              <w:t>、职工福利费</w:t>
            </w:r>
          </w:p>
        </w:tc>
        <w:tc>
          <w:tcPr>
            <w:tcW w:w="194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1,399,327.20</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1,353,227.62</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46,099.58</w:t>
            </w:r>
          </w:p>
        </w:tc>
      </w:tr>
      <w:tr>
        <w:tblPrEx>
          <w:tblLayout w:type="fixed"/>
          <w:tblCellMar>
            <w:top w:w="0" w:type="dxa"/>
            <w:left w:w="28" w:type="dxa"/>
            <w:bottom w:w="0" w:type="dxa"/>
            <w:right w:w="28" w:type="dxa"/>
          </w:tblCellMar>
        </w:tblPrEx>
        <w:tc>
          <w:tcPr>
            <w:tcW w:w="193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3</w:t>
            </w:r>
            <w:r>
              <w:rPr>
                <w:rFonts w:hint="eastAsia"/>
                <w:sz w:val="21"/>
                <w:szCs w:val="21"/>
              </w:rPr>
              <w:t>、社会保险费</w:t>
            </w:r>
          </w:p>
        </w:tc>
        <w:tc>
          <w:tcPr>
            <w:tcW w:w="194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134,535.75</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3,003,842.00</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2,968,280.20</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170,097.55</w:t>
            </w:r>
          </w:p>
        </w:tc>
      </w:tr>
      <w:tr>
        <w:tblPrEx>
          <w:tblLayout w:type="fixed"/>
          <w:tblCellMar>
            <w:top w:w="0" w:type="dxa"/>
            <w:left w:w="28" w:type="dxa"/>
            <w:bottom w:w="0" w:type="dxa"/>
            <w:right w:w="28" w:type="dxa"/>
          </w:tblCellMar>
        </w:tblPrEx>
        <w:tc>
          <w:tcPr>
            <w:tcW w:w="193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其中：医疗保险费</w:t>
            </w:r>
          </w:p>
        </w:tc>
        <w:tc>
          <w:tcPr>
            <w:tcW w:w="194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121,835.58</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2,641,819.15</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2,631,525.08</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132,129.65</w:t>
            </w:r>
          </w:p>
        </w:tc>
      </w:tr>
      <w:tr>
        <w:tblPrEx>
          <w:tblLayout w:type="fixed"/>
          <w:tblCellMar>
            <w:top w:w="0" w:type="dxa"/>
            <w:left w:w="28" w:type="dxa"/>
            <w:bottom w:w="0" w:type="dxa"/>
            <w:right w:w="28" w:type="dxa"/>
          </w:tblCellMar>
        </w:tblPrEx>
        <w:tc>
          <w:tcPr>
            <w:tcW w:w="193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工伤保险费</w:t>
            </w:r>
          </w:p>
        </w:tc>
        <w:tc>
          <w:tcPr>
            <w:tcW w:w="194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3,466.99</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154,950.99</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129,501.66</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28,916.32</w:t>
            </w:r>
          </w:p>
        </w:tc>
      </w:tr>
      <w:tr>
        <w:tblPrEx>
          <w:tblLayout w:type="fixed"/>
          <w:tblCellMar>
            <w:top w:w="0" w:type="dxa"/>
            <w:left w:w="28" w:type="dxa"/>
            <w:bottom w:w="0" w:type="dxa"/>
            <w:right w:w="28" w:type="dxa"/>
          </w:tblCellMar>
        </w:tblPrEx>
        <w:tc>
          <w:tcPr>
            <w:tcW w:w="193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生育保险费</w:t>
            </w:r>
          </w:p>
        </w:tc>
        <w:tc>
          <w:tcPr>
            <w:tcW w:w="194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9,233.18</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207,071.86</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207,253.46</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9,051.58</w:t>
            </w:r>
          </w:p>
        </w:tc>
      </w:tr>
      <w:tr>
        <w:tblPrEx>
          <w:tblLayout w:type="fixed"/>
          <w:tblCellMar>
            <w:top w:w="0" w:type="dxa"/>
            <w:left w:w="28" w:type="dxa"/>
            <w:bottom w:w="0" w:type="dxa"/>
            <w:right w:w="28" w:type="dxa"/>
          </w:tblCellMar>
        </w:tblPrEx>
        <w:tc>
          <w:tcPr>
            <w:tcW w:w="193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4</w:t>
            </w:r>
            <w:r>
              <w:rPr>
                <w:rFonts w:hint="eastAsia"/>
                <w:sz w:val="21"/>
                <w:szCs w:val="21"/>
              </w:rPr>
              <w:t>、住房公积金</w:t>
            </w:r>
          </w:p>
        </w:tc>
        <w:tc>
          <w:tcPr>
            <w:tcW w:w="194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34,550.00</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3,882,476.39</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3,878,585.39</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38,441.00</w:t>
            </w:r>
          </w:p>
        </w:tc>
      </w:tr>
      <w:tr>
        <w:tblPrEx>
          <w:tblLayout w:type="fixed"/>
          <w:tblCellMar>
            <w:top w:w="0" w:type="dxa"/>
            <w:left w:w="28" w:type="dxa"/>
            <w:bottom w:w="0" w:type="dxa"/>
            <w:right w:w="28" w:type="dxa"/>
          </w:tblCellMar>
        </w:tblPrEx>
        <w:tc>
          <w:tcPr>
            <w:tcW w:w="193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5</w:t>
            </w:r>
            <w:r>
              <w:rPr>
                <w:rFonts w:hint="eastAsia"/>
                <w:sz w:val="21"/>
                <w:szCs w:val="21"/>
              </w:rPr>
              <w:t>、工会经费和职工教育经费</w:t>
            </w:r>
          </w:p>
        </w:tc>
        <w:tc>
          <w:tcPr>
            <w:tcW w:w="194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960,507.40</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1,223,535.54</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1,285,449.70</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898,593.24</w:t>
            </w:r>
          </w:p>
        </w:tc>
      </w:tr>
      <w:tr>
        <w:tblPrEx>
          <w:tblLayout w:type="fixed"/>
          <w:tblCellMar>
            <w:top w:w="0" w:type="dxa"/>
            <w:left w:w="28" w:type="dxa"/>
            <w:bottom w:w="0" w:type="dxa"/>
            <w:right w:w="28" w:type="dxa"/>
          </w:tblCellMar>
        </w:tblPrEx>
        <w:tc>
          <w:tcPr>
            <w:tcW w:w="193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1941"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5,188,319.38</w:t>
            </w:r>
          </w:p>
        </w:tc>
        <w:tc>
          <w:tcPr>
            <w:tcW w:w="1939"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70,254,443.98</w:t>
            </w:r>
          </w:p>
        </w:tc>
        <w:tc>
          <w:tcPr>
            <w:tcW w:w="1939"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71,816,665.12</w:t>
            </w:r>
          </w:p>
        </w:tc>
        <w:tc>
          <w:tcPr>
            <w:tcW w:w="1939"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3,626,098.24</w:t>
            </w:r>
          </w:p>
        </w:tc>
      </w:tr>
    </w:tbl>
    <w:p>
      <w:pPr>
        <w:pStyle w:val="11"/>
        <w:outlineLvl w:val="3"/>
        <w:rPr>
          <w:bCs w:val="0"/>
          <w:szCs w:val="24"/>
        </w:rPr>
      </w:pPr>
      <w:r>
        <w:rPr>
          <w:rFonts w:hint="eastAsia"/>
          <w:bCs w:val="0"/>
          <w:szCs w:val="24"/>
        </w:rPr>
        <w:t>（</w:t>
      </w:r>
      <w:r>
        <w:rPr>
          <w:bCs w:val="0"/>
          <w:szCs w:val="24"/>
        </w:rPr>
        <w:t>3</w:t>
      </w:r>
      <w:r>
        <w:rPr>
          <w:rFonts w:hint="eastAsia"/>
          <w:bCs w:val="0"/>
          <w:szCs w:val="24"/>
        </w:rPr>
        <w:t>）设定提存计划列示</w:t>
      </w:r>
    </w:p>
    <w:p>
      <w:pPr>
        <w:jc w:val="right"/>
        <w:rPr>
          <w:szCs w:val="24"/>
        </w:rPr>
      </w:pPr>
      <w:r>
        <w:rPr>
          <w:rFonts w:hint="eastAsia"/>
          <w:szCs w:val="24"/>
        </w:rPr>
        <w:t>单位：</w:t>
      </w:r>
      <w:r>
        <w:rPr>
          <w:szCs w:val="24"/>
        </w:rPr>
        <w:t xml:space="preserve"> </w:t>
      </w:r>
      <w:r>
        <w:rPr>
          <w:rFonts w:hint="eastAsia"/>
          <w:szCs w:val="24"/>
        </w:rPr>
        <w:t>元</w:t>
      </w:r>
    </w:p>
    <w:tbl>
      <w:tblPr>
        <w:tblStyle w:val="8"/>
        <w:tblW w:w="9570" w:type="dxa"/>
        <w:tblInd w:w="28" w:type="dxa"/>
        <w:tblLayout w:type="fixed"/>
        <w:tblCellMar>
          <w:top w:w="0" w:type="dxa"/>
          <w:left w:w="28" w:type="dxa"/>
          <w:bottom w:w="0" w:type="dxa"/>
          <w:right w:w="28" w:type="dxa"/>
        </w:tblCellMar>
      </w:tblPr>
      <w:tblGrid>
        <w:gridCol w:w="1912"/>
        <w:gridCol w:w="1916"/>
        <w:gridCol w:w="1914"/>
        <w:gridCol w:w="1914"/>
        <w:gridCol w:w="1914"/>
      </w:tblGrid>
      <w:tr>
        <w:tblPrEx>
          <w:tblLayout w:type="fixed"/>
          <w:tblCellMar>
            <w:top w:w="0" w:type="dxa"/>
            <w:left w:w="28" w:type="dxa"/>
            <w:bottom w:w="0" w:type="dxa"/>
            <w:right w:w="28" w:type="dxa"/>
          </w:tblCellMar>
        </w:tblPrEx>
        <w:tc>
          <w:tcPr>
            <w:tcW w:w="191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191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期初余额</w:t>
            </w:r>
          </w:p>
        </w:tc>
        <w:tc>
          <w:tcPr>
            <w:tcW w:w="191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本期增加</w:t>
            </w:r>
          </w:p>
        </w:tc>
        <w:tc>
          <w:tcPr>
            <w:tcW w:w="191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本期减少</w:t>
            </w:r>
          </w:p>
        </w:tc>
        <w:tc>
          <w:tcPr>
            <w:tcW w:w="191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r>
      <w:tr>
        <w:tblPrEx>
          <w:tblLayout w:type="fixed"/>
          <w:tblCellMar>
            <w:top w:w="0" w:type="dxa"/>
            <w:left w:w="28" w:type="dxa"/>
            <w:bottom w:w="0" w:type="dxa"/>
            <w:right w:w="28" w:type="dxa"/>
          </w:tblCellMar>
        </w:tblPrEx>
        <w:tc>
          <w:tcPr>
            <w:tcW w:w="191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1</w:t>
            </w:r>
            <w:r>
              <w:rPr>
                <w:rFonts w:hint="eastAsia"/>
                <w:sz w:val="21"/>
                <w:szCs w:val="21"/>
              </w:rPr>
              <w:t>、基本养老保险</w:t>
            </w:r>
          </w:p>
        </w:tc>
        <w:tc>
          <w:tcPr>
            <w:tcW w:w="191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257,282.54</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5,075,057.71</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5,120,873.10</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211,467.15</w:t>
            </w:r>
          </w:p>
        </w:tc>
      </w:tr>
      <w:tr>
        <w:tblPrEx>
          <w:tblLayout w:type="fixed"/>
          <w:tblCellMar>
            <w:top w:w="0" w:type="dxa"/>
            <w:left w:w="28" w:type="dxa"/>
            <w:bottom w:w="0" w:type="dxa"/>
            <w:right w:w="28" w:type="dxa"/>
          </w:tblCellMar>
        </w:tblPrEx>
        <w:tc>
          <w:tcPr>
            <w:tcW w:w="191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2</w:t>
            </w:r>
            <w:r>
              <w:rPr>
                <w:rFonts w:hint="eastAsia"/>
                <w:sz w:val="21"/>
                <w:szCs w:val="21"/>
              </w:rPr>
              <w:t>、失业保险费</w:t>
            </w:r>
          </w:p>
        </w:tc>
        <w:tc>
          <w:tcPr>
            <w:tcW w:w="191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12,020.99</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238,929.16</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241,130.42</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9,819.73</w:t>
            </w:r>
          </w:p>
        </w:tc>
      </w:tr>
      <w:tr>
        <w:tblPrEx>
          <w:tblLayout w:type="fixed"/>
          <w:tblCellMar>
            <w:top w:w="0" w:type="dxa"/>
            <w:left w:w="28" w:type="dxa"/>
            <w:bottom w:w="0" w:type="dxa"/>
            <w:right w:w="28" w:type="dxa"/>
          </w:tblCellMar>
        </w:tblPrEx>
        <w:tc>
          <w:tcPr>
            <w:tcW w:w="191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1916"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269,303.53</w:t>
            </w:r>
          </w:p>
        </w:tc>
        <w:tc>
          <w:tcPr>
            <w:tcW w:w="1914"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5,313,986.87</w:t>
            </w:r>
          </w:p>
        </w:tc>
        <w:tc>
          <w:tcPr>
            <w:tcW w:w="1914"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5,362,003.52</w:t>
            </w:r>
          </w:p>
        </w:tc>
        <w:tc>
          <w:tcPr>
            <w:tcW w:w="1914"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221,286.88</w:t>
            </w:r>
          </w:p>
        </w:tc>
      </w:tr>
    </w:tbl>
    <w:p>
      <w:pPr>
        <w:pStyle w:val="11"/>
        <w:outlineLvl w:val="2"/>
        <w:rPr>
          <w:bCs w:val="0"/>
          <w:szCs w:val="24"/>
        </w:rPr>
      </w:pPr>
      <w:r>
        <w:rPr>
          <w:bCs w:val="0"/>
          <w:szCs w:val="24"/>
        </w:rPr>
        <w:t>23</w:t>
      </w:r>
      <w:r>
        <w:rPr>
          <w:rFonts w:hint="eastAsia"/>
          <w:bCs w:val="0"/>
          <w:szCs w:val="24"/>
        </w:rPr>
        <w:t>、应交税费</w:t>
      </w:r>
    </w:p>
    <w:p>
      <w:pPr>
        <w:jc w:val="right"/>
        <w:rPr>
          <w:szCs w:val="24"/>
        </w:rPr>
      </w:pPr>
      <w:r>
        <w:rPr>
          <w:rFonts w:hint="eastAsia"/>
          <w:szCs w:val="24"/>
        </w:rPr>
        <w:t>单位：</w:t>
      </w:r>
      <w:r>
        <w:rPr>
          <w:szCs w:val="24"/>
        </w:rPr>
        <w:t xml:space="preserve"> </w:t>
      </w:r>
      <w:r>
        <w:rPr>
          <w:rFonts w:hint="eastAsia"/>
          <w:szCs w:val="24"/>
        </w:rPr>
        <w:t>元</w:t>
      </w:r>
    </w:p>
    <w:tbl>
      <w:tblPr>
        <w:tblStyle w:val="8"/>
        <w:tblW w:w="9569" w:type="dxa"/>
        <w:tblInd w:w="28" w:type="dxa"/>
        <w:tblLayout w:type="fixed"/>
        <w:tblCellMar>
          <w:top w:w="0" w:type="dxa"/>
          <w:left w:w="28" w:type="dxa"/>
          <w:bottom w:w="0" w:type="dxa"/>
          <w:right w:w="28" w:type="dxa"/>
        </w:tblCellMar>
      </w:tblPr>
      <w:tblGrid>
        <w:gridCol w:w="3187"/>
        <w:gridCol w:w="3193"/>
        <w:gridCol w:w="3189"/>
      </w:tblGrid>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319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期初余额</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增值税</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7,846,515.09</w:t>
            </w: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5,848,686.09</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企业所得税</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27,803,035.28</w:t>
            </w: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8,044,604.37</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个人所得税</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1,428,982.34</w:t>
            </w: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3,485,289.80</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城市维护建设税</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506,403.19</w:t>
            </w: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459,600.51</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房产税</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78,711.90</w:t>
            </w: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教育费附加</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364,411.66</w:t>
            </w: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265,493.28</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土地使用税</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41,298.28</w:t>
            </w: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41,298.27</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印花税</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61,847.06</w:t>
            </w: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286,125.36</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其他</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323,700.50</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3193"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38,131,204.80</w:t>
            </w:r>
          </w:p>
        </w:tc>
        <w:tc>
          <w:tcPr>
            <w:tcW w:w="3189"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18,754,798.18</w:t>
            </w:r>
          </w:p>
        </w:tc>
      </w:tr>
    </w:tbl>
    <w:p>
      <w:pPr>
        <w:pStyle w:val="11"/>
        <w:outlineLvl w:val="2"/>
        <w:rPr>
          <w:bCs w:val="0"/>
          <w:szCs w:val="24"/>
        </w:rPr>
      </w:pPr>
      <w:r>
        <w:rPr>
          <w:bCs w:val="0"/>
          <w:szCs w:val="24"/>
        </w:rPr>
        <w:t>24</w:t>
      </w:r>
      <w:r>
        <w:rPr>
          <w:rFonts w:hint="eastAsia"/>
          <w:bCs w:val="0"/>
          <w:szCs w:val="24"/>
        </w:rPr>
        <w:t>、应付利息</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569" w:type="dxa"/>
        <w:tblInd w:w="28" w:type="dxa"/>
        <w:tblLayout w:type="fixed"/>
        <w:tblCellMar>
          <w:top w:w="0" w:type="dxa"/>
          <w:left w:w="28" w:type="dxa"/>
          <w:bottom w:w="0" w:type="dxa"/>
          <w:right w:w="28" w:type="dxa"/>
        </w:tblCellMar>
      </w:tblPr>
      <w:tblGrid>
        <w:gridCol w:w="3187"/>
        <w:gridCol w:w="3193"/>
        <w:gridCol w:w="3189"/>
      </w:tblGrid>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319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期初余额</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分期付息到期还本的长期借款利息</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79,693.15</w:t>
            </w: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31,018.50</w:t>
            </w:r>
          </w:p>
        </w:tc>
      </w:tr>
      <w:tr>
        <w:tblPrEx>
          <w:tblLayout w:type="fixed"/>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3193"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79,693.15</w:t>
            </w:r>
          </w:p>
        </w:tc>
        <w:tc>
          <w:tcPr>
            <w:tcW w:w="3189"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31,018.50</w:t>
            </w:r>
          </w:p>
        </w:tc>
      </w:tr>
    </w:tbl>
    <w:p>
      <w:pPr>
        <w:pStyle w:val="11"/>
        <w:outlineLvl w:val="2"/>
        <w:rPr>
          <w:bCs w:val="0"/>
          <w:szCs w:val="24"/>
        </w:rPr>
      </w:pPr>
      <w:r>
        <w:rPr>
          <w:bCs w:val="0"/>
          <w:szCs w:val="24"/>
        </w:rPr>
        <w:t>25</w:t>
      </w:r>
      <w:r>
        <w:rPr>
          <w:rFonts w:hint="eastAsia"/>
          <w:bCs w:val="0"/>
          <w:szCs w:val="24"/>
        </w:rPr>
        <w:t>、应付股利</w:t>
      </w:r>
    </w:p>
    <w:p>
      <w:pPr>
        <w:jc w:val="right"/>
        <w:rPr>
          <w:szCs w:val="24"/>
        </w:rPr>
      </w:pPr>
      <w:r>
        <w:rPr>
          <w:rFonts w:hint="eastAsia"/>
          <w:szCs w:val="24"/>
        </w:rPr>
        <w:t>单位：</w:t>
      </w:r>
      <w:r>
        <w:rPr>
          <w:szCs w:val="24"/>
        </w:rPr>
        <w:t xml:space="preserve"> </w:t>
      </w:r>
      <w:r>
        <w:rPr>
          <w:rFonts w:hint="eastAsia"/>
          <w:szCs w:val="24"/>
        </w:rPr>
        <w:t>元</w:t>
      </w:r>
    </w:p>
    <w:tbl>
      <w:tblPr>
        <w:tblStyle w:val="8"/>
        <w:tblW w:w="9569" w:type="dxa"/>
        <w:tblInd w:w="28" w:type="dxa"/>
        <w:tblLayout w:type="fixed"/>
        <w:tblCellMar>
          <w:top w:w="0" w:type="dxa"/>
          <w:left w:w="28" w:type="dxa"/>
          <w:bottom w:w="0" w:type="dxa"/>
          <w:right w:w="28" w:type="dxa"/>
        </w:tblCellMar>
      </w:tblPr>
      <w:tblGrid>
        <w:gridCol w:w="3187"/>
        <w:gridCol w:w="3193"/>
        <w:gridCol w:w="3189"/>
      </w:tblGrid>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319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期初余额</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杨慕燕</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8,050,500.00</w:t>
            </w: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43,093,501.68</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3193"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8,050,500.00</w:t>
            </w:r>
          </w:p>
        </w:tc>
        <w:tc>
          <w:tcPr>
            <w:tcW w:w="3189"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43,093,501.68</w:t>
            </w:r>
          </w:p>
        </w:tc>
      </w:tr>
    </w:tbl>
    <w:p>
      <w:pPr>
        <w:pStyle w:val="11"/>
        <w:outlineLvl w:val="2"/>
        <w:rPr>
          <w:bCs w:val="0"/>
          <w:szCs w:val="24"/>
        </w:rPr>
      </w:pPr>
      <w:r>
        <w:rPr>
          <w:bCs w:val="0"/>
          <w:szCs w:val="24"/>
        </w:rPr>
        <w:t>26</w:t>
      </w:r>
      <w:r>
        <w:rPr>
          <w:rFonts w:hint="eastAsia"/>
          <w:bCs w:val="0"/>
          <w:szCs w:val="24"/>
        </w:rPr>
        <w:t>、其他应付款</w:t>
      </w:r>
    </w:p>
    <w:p>
      <w:pPr>
        <w:pStyle w:val="11"/>
        <w:outlineLvl w:val="3"/>
        <w:rPr>
          <w:bCs w:val="0"/>
          <w:szCs w:val="24"/>
        </w:rPr>
      </w:pPr>
      <w:r>
        <w:rPr>
          <w:rFonts w:hint="eastAsia"/>
          <w:bCs w:val="0"/>
          <w:szCs w:val="24"/>
        </w:rPr>
        <w:t>（</w:t>
      </w:r>
      <w:r>
        <w:rPr>
          <w:bCs w:val="0"/>
          <w:szCs w:val="24"/>
        </w:rPr>
        <w:t>1</w:t>
      </w:r>
      <w:r>
        <w:rPr>
          <w:rFonts w:hint="eastAsia"/>
          <w:bCs w:val="0"/>
          <w:szCs w:val="24"/>
        </w:rPr>
        <w:t>）按款项性质列示其他应付款</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569" w:type="dxa"/>
        <w:tblInd w:w="28" w:type="dxa"/>
        <w:tblLayout w:type="fixed"/>
        <w:tblCellMar>
          <w:top w:w="0" w:type="dxa"/>
          <w:left w:w="28" w:type="dxa"/>
          <w:bottom w:w="0" w:type="dxa"/>
          <w:right w:w="28" w:type="dxa"/>
        </w:tblCellMar>
      </w:tblPr>
      <w:tblGrid>
        <w:gridCol w:w="3187"/>
        <w:gridCol w:w="3193"/>
        <w:gridCol w:w="3189"/>
      </w:tblGrid>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319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期初余额</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股权收购款</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9,611,900.28</w:t>
            </w: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待支付款项</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3,264,163.93</w:t>
            </w: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2,052,361.74</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关联方往来款</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2,505,932.35</w:t>
            </w: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2,218,419.76</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代扣代缴社保</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131,118.97</w:t>
            </w: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160,218.13</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服务费</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3,432,897.06</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咨询顾问费</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718,904.17</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江苏海兰人才团队</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100,000.00</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押金</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600.00</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其他</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96,163.37</w:t>
            </w: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23,177.69</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3193"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15,609,278.90</w:t>
            </w:r>
          </w:p>
        </w:tc>
        <w:tc>
          <w:tcPr>
            <w:tcW w:w="3189"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8,706,578.55</w:t>
            </w:r>
          </w:p>
        </w:tc>
      </w:tr>
    </w:tbl>
    <w:p>
      <w:pPr>
        <w:pStyle w:val="11"/>
        <w:outlineLvl w:val="3"/>
        <w:rPr>
          <w:bCs w:val="0"/>
          <w:szCs w:val="24"/>
        </w:rPr>
      </w:pPr>
      <w:r>
        <w:rPr>
          <w:rFonts w:hint="eastAsia"/>
          <w:bCs w:val="0"/>
          <w:szCs w:val="24"/>
        </w:rPr>
        <w:t>（</w:t>
      </w:r>
      <w:r>
        <w:rPr>
          <w:bCs w:val="0"/>
          <w:szCs w:val="24"/>
        </w:rPr>
        <w:t>2</w:t>
      </w:r>
      <w:r>
        <w:rPr>
          <w:rFonts w:hint="eastAsia"/>
          <w:bCs w:val="0"/>
          <w:szCs w:val="24"/>
        </w:rPr>
        <w:t>）账龄超过</w:t>
      </w:r>
      <w:r>
        <w:rPr>
          <w:bCs w:val="0"/>
          <w:szCs w:val="24"/>
        </w:rPr>
        <w:t>1</w:t>
      </w:r>
      <w:r>
        <w:rPr>
          <w:rFonts w:hint="eastAsia"/>
          <w:bCs w:val="0"/>
          <w:szCs w:val="24"/>
        </w:rPr>
        <w:t>年的重要其他应付款</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569" w:type="dxa"/>
        <w:tblInd w:w="28" w:type="dxa"/>
        <w:tblLayout w:type="fixed"/>
        <w:tblCellMar>
          <w:top w:w="0" w:type="dxa"/>
          <w:left w:w="28" w:type="dxa"/>
          <w:bottom w:w="0" w:type="dxa"/>
          <w:right w:w="28" w:type="dxa"/>
        </w:tblCellMar>
      </w:tblPr>
      <w:tblGrid>
        <w:gridCol w:w="3187"/>
        <w:gridCol w:w="3193"/>
        <w:gridCol w:w="3189"/>
      </w:tblGrid>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319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未偿还或结转的原因</w:t>
            </w:r>
          </w:p>
        </w:tc>
      </w:tr>
    </w:tbl>
    <w:p>
      <w:pPr>
        <w:jc w:val="left"/>
        <w:rPr>
          <w:sz w:val="21"/>
          <w:szCs w:val="21"/>
        </w:rPr>
      </w:pPr>
      <w:r>
        <w:rPr>
          <w:rFonts w:hint="eastAsia"/>
          <w:sz w:val="21"/>
          <w:szCs w:val="21"/>
        </w:rPr>
        <w:t>其他说明</w:t>
      </w:r>
    </w:p>
    <w:p>
      <w:pPr>
        <w:autoSpaceDE w:val="0"/>
        <w:autoSpaceDN w:val="0"/>
        <w:adjustRightInd w:val="0"/>
        <w:spacing w:before="240" w:after="240"/>
        <w:ind w:firstLine="440"/>
        <w:rPr>
          <w:rFonts w:eastAsia="Times New Roman"/>
          <w:kern w:val="0"/>
          <w:sz w:val="21"/>
          <w:szCs w:val="21"/>
          <w:lang w:val="zh-CN"/>
        </w:rPr>
      </w:pPr>
      <w:r>
        <w:rPr>
          <w:rFonts w:hint="eastAsia" w:ascii="宋体" w:hAnsi="宋体" w:cs="宋体"/>
          <w:kern w:val="0"/>
          <w:sz w:val="21"/>
          <w:szCs w:val="21"/>
          <w:lang w:val="zh-CN"/>
        </w:rPr>
        <w:t>本年无账龄超过</w:t>
      </w:r>
      <w:r>
        <w:rPr>
          <w:rFonts w:eastAsia="Times New Roman"/>
          <w:kern w:val="0"/>
          <w:sz w:val="21"/>
          <w:szCs w:val="21"/>
          <w:lang w:val="zh-CN"/>
        </w:rPr>
        <w:t>1</w:t>
      </w:r>
      <w:r>
        <w:rPr>
          <w:rFonts w:hint="eastAsia" w:ascii="宋体" w:hAnsi="宋体" w:cs="宋体"/>
          <w:kern w:val="0"/>
          <w:sz w:val="21"/>
          <w:szCs w:val="21"/>
          <w:lang w:val="zh-CN"/>
        </w:rPr>
        <w:t>年的重要其他应付款。</w:t>
      </w:r>
    </w:p>
    <w:p>
      <w:pPr>
        <w:pStyle w:val="11"/>
        <w:outlineLvl w:val="2"/>
        <w:rPr>
          <w:bCs w:val="0"/>
          <w:szCs w:val="24"/>
        </w:rPr>
      </w:pPr>
      <w:r>
        <w:rPr>
          <w:bCs w:val="0"/>
          <w:szCs w:val="24"/>
        </w:rPr>
        <w:t>27</w:t>
      </w:r>
      <w:r>
        <w:rPr>
          <w:rFonts w:hint="eastAsia"/>
          <w:bCs w:val="0"/>
          <w:szCs w:val="24"/>
        </w:rPr>
        <w:t>、长期借款</w:t>
      </w:r>
    </w:p>
    <w:p>
      <w:pPr>
        <w:pStyle w:val="11"/>
        <w:outlineLvl w:val="3"/>
        <w:rPr>
          <w:bCs w:val="0"/>
          <w:szCs w:val="24"/>
        </w:rPr>
      </w:pPr>
      <w:r>
        <w:rPr>
          <w:rFonts w:hint="eastAsia"/>
          <w:bCs w:val="0"/>
          <w:szCs w:val="24"/>
        </w:rPr>
        <w:t>（</w:t>
      </w:r>
      <w:r>
        <w:rPr>
          <w:bCs w:val="0"/>
          <w:szCs w:val="24"/>
        </w:rPr>
        <w:t>1</w:t>
      </w:r>
      <w:r>
        <w:rPr>
          <w:rFonts w:hint="eastAsia"/>
          <w:bCs w:val="0"/>
          <w:szCs w:val="24"/>
        </w:rPr>
        <w:t>）长期借款分类</w:t>
      </w:r>
    </w:p>
    <w:p>
      <w:pPr>
        <w:jc w:val="right"/>
        <w:rPr>
          <w:szCs w:val="24"/>
        </w:rPr>
      </w:pPr>
      <w:r>
        <w:rPr>
          <w:rFonts w:hint="eastAsia"/>
          <w:szCs w:val="24"/>
        </w:rPr>
        <w:t>单位：</w:t>
      </w:r>
      <w:r>
        <w:rPr>
          <w:szCs w:val="24"/>
        </w:rPr>
        <w:t xml:space="preserve"> </w:t>
      </w:r>
      <w:r>
        <w:rPr>
          <w:rFonts w:hint="eastAsia"/>
          <w:szCs w:val="24"/>
        </w:rPr>
        <w:t>元</w:t>
      </w:r>
    </w:p>
    <w:tbl>
      <w:tblPr>
        <w:tblStyle w:val="8"/>
        <w:tblW w:w="9569" w:type="dxa"/>
        <w:tblInd w:w="28" w:type="dxa"/>
        <w:tblLayout w:type="fixed"/>
        <w:tblCellMar>
          <w:top w:w="0" w:type="dxa"/>
          <w:left w:w="28" w:type="dxa"/>
          <w:bottom w:w="0" w:type="dxa"/>
          <w:right w:w="28" w:type="dxa"/>
        </w:tblCellMar>
      </w:tblPr>
      <w:tblGrid>
        <w:gridCol w:w="3187"/>
        <w:gridCol w:w="3193"/>
        <w:gridCol w:w="3189"/>
      </w:tblGrid>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319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期初余额</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保证借款</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25,826,745.00</w:t>
            </w: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24,000,000.00</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3193"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25,826,745.00</w:t>
            </w:r>
          </w:p>
        </w:tc>
        <w:tc>
          <w:tcPr>
            <w:tcW w:w="3189"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24,000,000.00</w:t>
            </w:r>
          </w:p>
        </w:tc>
      </w:tr>
    </w:tbl>
    <w:p>
      <w:pPr>
        <w:spacing w:line="360" w:lineRule="auto"/>
        <w:jc w:val="left"/>
        <w:rPr>
          <w:sz w:val="21"/>
          <w:szCs w:val="24"/>
        </w:rPr>
      </w:pPr>
      <w:r>
        <w:rPr>
          <w:rFonts w:hint="eastAsia"/>
          <w:sz w:val="21"/>
          <w:szCs w:val="24"/>
        </w:rPr>
        <w:t>长期借款分类的说明：</w:t>
      </w:r>
    </w:p>
    <w:p>
      <w:pPr>
        <w:spacing w:line="360" w:lineRule="auto"/>
        <w:jc w:val="left"/>
        <w:rPr>
          <w:sz w:val="21"/>
          <w:szCs w:val="24"/>
        </w:rPr>
      </w:pPr>
      <w:r>
        <w:rPr>
          <w:rFonts w:hint="eastAsia"/>
          <w:sz w:val="21"/>
          <w:szCs w:val="24"/>
        </w:rPr>
        <w:t>其他说明，包括利率区间：</w:t>
      </w:r>
    </w:p>
    <w:p>
      <w:pPr>
        <w:spacing w:line="360" w:lineRule="auto"/>
        <w:jc w:val="left"/>
        <w:rPr>
          <w:sz w:val="21"/>
          <w:szCs w:val="24"/>
        </w:rPr>
      </w:pPr>
      <w:r>
        <w:rPr>
          <w:sz w:val="21"/>
          <w:szCs w:val="24"/>
        </w:rPr>
        <w:t xml:space="preserve">    </w:t>
      </w:r>
      <w:r>
        <w:rPr>
          <w:rFonts w:hint="eastAsia"/>
          <w:sz w:val="21"/>
          <w:szCs w:val="24"/>
        </w:rPr>
        <w:t>注：本公司年末保证借款中</w:t>
      </w:r>
      <w:r>
        <w:rPr>
          <w:sz w:val="21"/>
          <w:szCs w:val="24"/>
        </w:rPr>
        <w:t>2,400</w:t>
      </w:r>
      <w:r>
        <w:rPr>
          <w:rFonts w:hint="eastAsia"/>
          <w:sz w:val="21"/>
          <w:szCs w:val="24"/>
        </w:rPr>
        <w:t>万元系应付国开发展基金有限公司的长期借款，由北京中关村科技融资担保有限公司提供第三方连带责任保证担保。同时由本公司以北京市海淀区环保科技园</w:t>
      </w:r>
      <w:r>
        <w:rPr>
          <w:sz w:val="21"/>
          <w:szCs w:val="24"/>
        </w:rPr>
        <w:t>7</w:t>
      </w:r>
      <w:r>
        <w:rPr>
          <w:rFonts w:hint="eastAsia"/>
          <w:sz w:val="21"/>
          <w:szCs w:val="24"/>
        </w:rPr>
        <w:t>号院</w:t>
      </w:r>
      <w:r>
        <w:rPr>
          <w:sz w:val="21"/>
          <w:szCs w:val="24"/>
        </w:rPr>
        <w:t>10</w:t>
      </w:r>
      <w:r>
        <w:rPr>
          <w:rFonts w:hint="eastAsia"/>
          <w:sz w:val="21"/>
          <w:szCs w:val="24"/>
        </w:rPr>
        <w:t>号楼的自有房产（</w:t>
      </w:r>
      <w:r>
        <w:rPr>
          <w:sz w:val="21"/>
          <w:szCs w:val="24"/>
        </w:rPr>
        <w:t>2016</w:t>
      </w:r>
      <w:r>
        <w:rPr>
          <w:rFonts w:hint="eastAsia"/>
          <w:sz w:val="21"/>
          <w:szCs w:val="24"/>
        </w:rPr>
        <w:t>年</w:t>
      </w:r>
      <w:r>
        <w:rPr>
          <w:sz w:val="21"/>
          <w:szCs w:val="24"/>
        </w:rPr>
        <w:t>12</w:t>
      </w:r>
      <w:r>
        <w:rPr>
          <w:rFonts w:hint="eastAsia"/>
          <w:sz w:val="21"/>
          <w:szCs w:val="24"/>
        </w:rPr>
        <w:t>月</w:t>
      </w:r>
      <w:r>
        <w:rPr>
          <w:sz w:val="21"/>
          <w:szCs w:val="24"/>
        </w:rPr>
        <w:t>31</w:t>
      </w:r>
      <w:r>
        <w:rPr>
          <w:rFonts w:hint="eastAsia"/>
          <w:sz w:val="21"/>
          <w:szCs w:val="24"/>
        </w:rPr>
        <w:t>日账面价值为</w:t>
      </w:r>
      <w:r>
        <w:rPr>
          <w:sz w:val="21"/>
          <w:szCs w:val="24"/>
        </w:rPr>
        <w:t>30,865,541.26</w:t>
      </w:r>
      <w:r>
        <w:rPr>
          <w:rFonts w:hint="eastAsia"/>
          <w:sz w:val="21"/>
          <w:szCs w:val="24"/>
        </w:rPr>
        <w:t>元）向北京中关村科技融资担保有限公司提供抵押反担保，担保金额</w:t>
      </w:r>
      <w:r>
        <w:rPr>
          <w:sz w:val="21"/>
          <w:szCs w:val="24"/>
        </w:rPr>
        <w:t>2,400</w:t>
      </w:r>
      <w:r>
        <w:rPr>
          <w:rFonts w:hint="eastAsia"/>
          <w:sz w:val="21"/>
          <w:szCs w:val="24"/>
        </w:rPr>
        <w:t>万元，担保期限为</w:t>
      </w:r>
      <w:r>
        <w:rPr>
          <w:sz w:val="21"/>
          <w:szCs w:val="24"/>
        </w:rPr>
        <w:t>10</w:t>
      </w:r>
      <w:r>
        <w:rPr>
          <w:rFonts w:hint="eastAsia"/>
          <w:sz w:val="21"/>
          <w:szCs w:val="24"/>
        </w:rPr>
        <w:t>年。截至本报告出具日，上述房产尚未办理抵押担保手续。</w:t>
      </w:r>
    </w:p>
    <w:p>
      <w:pPr>
        <w:pStyle w:val="11"/>
        <w:outlineLvl w:val="2"/>
        <w:rPr>
          <w:bCs w:val="0"/>
          <w:szCs w:val="24"/>
        </w:rPr>
      </w:pPr>
      <w:r>
        <w:rPr>
          <w:bCs w:val="0"/>
          <w:szCs w:val="24"/>
        </w:rPr>
        <w:t>28</w:t>
      </w:r>
      <w:r>
        <w:rPr>
          <w:rFonts w:hint="eastAsia"/>
          <w:bCs w:val="0"/>
          <w:szCs w:val="24"/>
        </w:rPr>
        <w:t>、长期应付款</w:t>
      </w:r>
    </w:p>
    <w:p>
      <w:pPr>
        <w:pStyle w:val="11"/>
        <w:outlineLvl w:val="3"/>
        <w:rPr>
          <w:bCs w:val="0"/>
          <w:szCs w:val="24"/>
        </w:rPr>
      </w:pPr>
      <w:r>
        <w:rPr>
          <w:rFonts w:hint="eastAsia"/>
          <w:bCs w:val="0"/>
          <w:szCs w:val="24"/>
        </w:rPr>
        <w:t>（</w:t>
      </w:r>
      <w:r>
        <w:rPr>
          <w:bCs w:val="0"/>
          <w:szCs w:val="24"/>
        </w:rPr>
        <w:t>1</w:t>
      </w:r>
      <w:r>
        <w:rPr>
          <w:rFonts w:hint="eastAsia"/>
          <w:bCs w:val="0"/>
          <w:szCs w:val="24"/>
        </w:rPr>
        <w:t>）按款项性质列示长期应付款</w:t>
      </w:r>
    </w:p>
    <w:p>
      <w:pPr>
        <w:jc w:val="right"/>
        <w:rPr>
          <w:szCs w:val="24"/>
        </w:rPr>
      </w:pPr>
      <w:r>
        <w:rPr>
          <w:rFonts w:hint="eastAsia"/>
          <w:szCs w:val="24"/>
        </w:rPr>
        <w:t>单位：</w:t>
      </w:r>
      <w:r>
        <w:rPr>
          <w:szCs w:val="24"/>
        </w:rPr>
        <w:t xml:space="preserve"> </w:t>
      </w:r>
      <w:r>
        <w:rPr>
          <w:rFonts w:hint="eastAsia"/>
          <w:szCs w:val="24"/>
        </w:rPr>
        <w:t>元</w:t>
      </w:r>
    </w:p>
    <w:tbl>
      <w:tblPr>
        <w:tblStyle w:val="8"/>
        <w:tblW w:w="9569" w:type="dxa"/>
        <w:tblInd w:w="28" w:type="dxa"/>
        <w:tblLayout w:type="fixed"/>
        <w:tblCellMar>
          <w:top w:w="0" w:type="dxa"/>
          <w:left w:w="28" w:type="dxa"/>
          <w:bottom w:w="0" w:type="dxa"/>
          <w:right w:w="28" w:type="dxa"/>
        </w:tblCellMar>
      </w:tblPr>
      <w:tblGrid>
        <w:gridCol w:w="3187"/>
        <w:gridCol w:w="3193"/>
        <w:gridCol w:w="3189"/>
      </w:tblGrid>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319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期初余额</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股权收购款（注）</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9,211,212.53</w:t>
            </w: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bl>
    <w:p>
      <w:pPr>
        <w:spacing w:line="360" w:lineRule="auto"/>
        <w:jc w:val="left"/>
        <w:rPr>
          <w:sz w:val="21"/>
          <w:szCs w:val="24"/>
        </w:rPr>
      </w:pPr>
      <w:r>
        <w:rPr>
          <w:rFonts w:hint="eastAsia"/>
          <w:sz w:val="21"/>
          <w:szCs w:val="24"/>
        </w:rPr>
        <w:t>其他说明：</w:t>
      </w:r>
    </w:p>
    <w:p>
      <w:pPr>
        <w:spacing w:line="360" w:lineRule="auto"/>
        <w:jc w:val="left"/>
        <w:rPr>
          <w:sz w:val="21"/>
          <w:szCs w:val="24"/>
        </w:rPr>
      </w:pPr>
      <w:r>
        <w:rPr>
          <w:rFonts w:hint="eastAsia"/>
          <w:sz w:val="21"/>
          <w:szCs w:val="24"/>
        </w:rPr>
        <w:t>注：</w:t>
      </w:r>
      <w:r>
        <w:rPr>
          <w:sz w:val="21"/>
          <w:szCs w:val="24"/>
        </w:rPr>
        <w:t>2016</w:t>
      </w:r>
      <w:r>
        <w:rPr>
          <w:rFonts w:hint="eastAsia"/>
          <w:sz w:val="21"/>
          <w:szCs w:val="24"/>
        </w:rPr>
        <w:t>年</w:t>
      </w:r>
      <w:r>
        <w:rPr>
          <w:sz w:val="21"/>
          <w:szCs w:val="24"/>
        </w:rPr>
        <w:t>12</w:t>
      </w:r>
      <w:r>
        <w:rPr>
          <w:rFonts w:hint="eastAsia"/>
          <w:sz w:val="21"/>
          <w:szCs w:val="24"/>
        </w:rPr>
        <w:t>月，本公司子公司上海海兰劳雷海洋科技有限公司（以下简称</w:t>
      </w:r>
      <w:r>
        <w:rPr>
          <w:sz w:val="21"/>
          <w:szCs w:val="24"/>
        </w:rPr>
        <w:t>“</w:t>
      </w:r>
      <w:r>
        <w:rPr>
          <w:rFonts w:hint="eastAsia"/>
          <w:sz w:val="21"/>
          <w:szCs w:val="24"/>
        </w:rPr>
        <w:t>上海劳雷</w:t>
      </w:r>
      <w:r>
        <w:rPr>
          <w:sz w:val="21"/>
          <w:szCs w:val="24"/>
        </w:rPr>
        <w:t>”</w:t>
      </w:r>
      <w:r>
        <w:rPr>
          <w:rFonts w:hint="eastAsia"/>
          <w:sz w:val="21"/>
          <w:szCs w:val="24"/>
        </w:rPr>
        <w:t>）与广东蓝图信息技术有限公司原股东签署股权转让协议，上海劳雷购买原股东</w:t>
      </w:r>
      <w:r>
        <w:rPr>
          <w:sz w:val="21"/>
          <w:szCs w:val="24"/>
        </w:rPr>
        <w:t>65%</w:t>
      </w:r>
      <w:r>
        <w:rPr>
          <w:rFonts w:hint="eastAsia"/>
          <w:sz w:val="21"/>
          <w:szCs w:val="24"/>
        </w:rPr>
        <w:t>的股权，交易对价</w:t>
      </w:r>
      <w:r>
        <w:rPr>
          <w:sz w:val="21"/>
          <w:szCs w:val="24"/>
        </w:rPr>
        <w:t>4,875</w:t>
      </w:r>
      <w:r>
        <w:rPr>
          <w:rFonts w:hint="eastAsia"/>
          <w:sz w:val="21"/>
          <w:szCs w:val="24"/>
        </w:rPr>
        <w:t>万元分三期支付，在</w:t>
      </w:r>
      <w:r>
        <w:rPr>
          <w:sz w:val="21"/>
          <w:szCs w:val="24"/>
        </w:rPr>
        <w:t>2016</w:t>
      </w:r>
      <w:r>
        <w:rPr>
          <w:rFonts w:hint="eastAsia"/>
          <w:sz w:val="21"/>
          <w:szCs w:val="24"/>
        </w:rPr>
        <w:t>年</w:t>
      </w:r>
      <w:r>
        <w:rPr>
          <w:sz w:val="21"/>
          <w:szCs w:val="24"/>
        </w:rPr>
        <w:t>12</w:t>
      </w:r>
      <w:r>
        <w:rPr>
          <w:rFonts w:hint="eastAsia"/>
          <w:sz w:val="21"/>
          <w:szCs w:val="24"/>
        </w:rPr>
        <w:t>月支付第一期转让款</w:t>
      </w:r>
      <w:r>
        <w:rPr>
          <w:sz w:val="21"/>
          <w:szCs w:val="24"/>
        </w:rPr>
        <w:t>2,925</w:t>
      </w:r>
      <w:r>
        <w:rPr>
          <w:rFonts w:hint="eastAsia"/>
          <w:sz w:val="21"/>
          <w:szCs w:val="24"/>
        </w:rPr>
        <w:t>万，第二期转让款</w:t>
      </w:r>
      <w:r>
        <w:rPr>
          <w:sz w:val="21"/>
          <w:szCs w:val="24"/>
        </w:rPr>
        <w:t>975</w:t>
      </w:r>
      <w:r>
        <w:rPr>
          <w:rFonts w:hint="eastAsia"/>
          <w:sz w:val="21"/>
          <w:szCs w:val="24"/>
        </w:rPr>
        <w:t>万元于广东蓝图信息技术有限公司</w:t>
      </w:r>
      <w:r>
        <w:rPr>
          <w:sz w:val="21"/>
          <w:szCs w:val="24"/>
        </w:rPr>
        <w:t>2016</w:t>
      </w:r>
      <w:r>
        <w:rPr>
          <w:rFonts w:hint="eastAsia"/>
          <w:sz w:val="21"/>
          <w:szCs w:val="24"/>
        </w:rPr>
        <w:t>年度审计报告出具后支付（最迟不得超过</w:t>
      </w:r>
      <w:r>
        <w:rPr>
          <w:sz w:val="21"/>
          <w:szCs w:val="24"/>
        </w:rPr>
        <w:t>2017</w:t>
      </w:r>
      <w:r>
        <w:rPr>
          <w:rFonts w:hint="eastAsia"/>
          <w:sz w:val="21"/>
          <w:szCs w:val="24"/>
        </w:rPr>
        <w:t>年</w:t>
      </w:r>
      <w:r>
        <w:rPr>
          <w:sz w:val="21"/>
          <w:szCs w:val="24"/>
        </w:rPr>
        <w:t>4</w:t>
      </w:r>
      <w:r>
        <w:rPr>
          <w:rFonts w:hint="eastAsia"/>
          <w:sz w:val="21"/>
          <w:szCs w:val="24"/>
        </w:rPr>
        <w:t>月</w:t>
      </w:r>
      <w:r>
        <w:rPr>
          <w:sz w:val="21"/>
          <w:szCs w:val="24"/>
        </w:rPr>
        <w:t>30</w:t>
      </w:r>
      <w:r>
        <w:rPr>
          <w:rFonts w:hint="eastAsia"/>
          <w:sz w:val="21"/>
          <w:szCs w:val="24"/>
        </w:rPr>
        <w:t>日），第三期转让款</w:t>
      </w:r>
      <w:r>
        <w:rPr>
          <w:sz w:val="21"/>
          <w:szCs w:val="24"/>
        </w:rPr>
        <w:t>975</w:t>
      </w:r>
      <w:r>
        <w:rPr>
          <w:rFonts w:hint="eastAsia"/>
          <w:sz w:val="21"/>
          <w:szCs w:val="24"/>
        </w:rPr>
        <w:t>万元于广东蓝图信息技术有限公司</w:t>
      </w:r>
      <w:r>
        <w:rPr>
          <w:sz w:val="21"/>
          <w:szCs w:val="24"/>
        </w:rPr>
        <w:t>2017</w:t>
      </w:r>
      <w:r>
        <w:rPr>
          <w:rFonts w:hint="eastAsia"/>
          <w:sz w:val="21"/>
          <w:szCs w:val="24"/>
        </w:rPr>
        <w:t>年度审计报告出具后支付（最迟不得超过</w:t>
      </w:r>
      <w:r>
        <w:rPr>
          <w:sz w:val="21"/>
          <w:szCs w:val="24"/>
        </w:rPr>
        <w:t>2018</w:t>
      </w:r>
      <w:r>
        <w:rPr>
          <w:rFonts w:hint="eastAsia"/>
          <w:sz w:val="21"/>
          <w:szCs w:val="24"/>
        </w:rPr>
        <w:t>年</w:t>
      </w:r>
      <w:r>
        <w:rPr>
          <w:sz w:val="21"/>
          <w:szCs w:val="24"/>
        </w:rPr>
        <w:t>4</w:t>
      </w:r>
      <w:r>
        <w:rPr>
          <w:rFonts w:hint="eastAsia"/>
          <w:sz w:val="21"/>
          <w:szCs w:val="24"/>
        </w:rPr>
        <w:t>月</w:t>
      </w:r>
      <w:r>
        <w:rPr>
          <w:sz w:val="21"/>
          <w:szCs w:val="24"/>
        </w:rPr>
        <w:t>30</w:t>
      </w:r>
      <w:r>
        <w:rPr>
          <w:rFonts w:hint="eastAsia"/>
          <w:sz w:val="21"/>
          <w:szCs w:val="24"/>
        </w:rPr>
        <w:t>日）。同时约定，广东蓝图信息技术有限公司在业绩承诺期间（</w:t>
      </w:r>
      <w:r>
        <w:rPr>
          <w:sz w:val="21"/>
          <w:szCs w:val="24"/>
        </w:rPr>
        <w:t>2016</w:t>
      </w:r>
      <w:r>
        <w:rPr>
          <w:rFonts w:hint="eastAsia"/>
          <w:sz w:val="21"/>
          <w:szCs w:val="24"/>
        </w:rPr>
        <w:t>年度至</w:t>
      </w:r>
      <w:r>
        <w:rPr>
          <w:sz w:val="21"/>
          <w:szCs w:val="24"/>
        </w:rPr>
        <w:t>2018</w:t>
      </w:r>
      <w:r>
        <w:rPr>
          <w:rFonts w:hint="eastAsia"/>
          <w:sz w:val="21"/>
          <w:szCs w:val="24"/>
        </w:rPr>
        <w:t>年度）的年度平均净利润大于</w:t>
      </w:r>
      <w:r>
        <w:rPr>
          <w:sz w:val="21"/>
          <w:szCs w:val="24"/>
        </w:rPr>
        <w:t>849.3</w:t>
      </w:r>
      <w:r>
        <w:rPr>
          <w:rFonts w:hint="eastAsia"/>
          <w:sz w:val="21"/>
          <w:szCs w:val="24"/>
        </w:rPr>
        <w:t>万元但小于或等于</w:t>
      </w:r>
      <w:r>
        <w:rPr>
          <w:sz w:val="21"/>
          <w:szCs w:val="24"/>
        </w:rPr>
        <w:t>1,000</w:t>
      </w:r>
      <w:r>
        <w:rPr>
          <w:rFonts w:hint="eastAsia"/>
          <w:sz w:val="21"/>
          <w:szCs w:val="24"/>
        </w:rPr>
        <w:t>万元，则上海劳雷按照其业绩承诺期内的实际年度平均净利润的</w:t>
      </w:r>
      <w:r>
        <w:rPr>
          <w:sz w:val="21"/>
          <w:szCs w:val="24"/>
        </w:rPr>
        <w:t>10</w:t>
      </w:r>
      <w:r>
        <w:rPr>
          <w:rFonts w:hint="eastAsia"/>
          <w:sz w:val="21"/>
          <w:szCs w:val="24"/>
        </w:rPr>
        <w:t>倍</w:t>
      </w:r>
      <w:r>
        <w:rPr>
          <w:sz w:val="21"/>
          <w:szCs w:val="24"/>
        </w:rPr>
        <w:t>PE</w:t>
      </w:r>
      <w:r>
        <w:rPr>
          <w:rFonts w:hint="eastAsia"/>
          <w:sz w:val="21"/>
          <w:szCs w:val="24"/>
        </w:rPr>
        <w:t>所对应的估值（即使年度平均净利润超过</w:t>
      </w:r>
      <w:r>
        <w:rPr>
          <w:sz w:val="21"/>
          <w:szCs w:val="24"/>
        </w:rPr>
        <w:t>1,000</w:t>
      </w:r>
      <w:r>
        <w:rPr>
          <w:rFonts w:hint="eastAsia"/>
          <w:sz w:val="21"/>
          <w:szCs w:val="24"/>
        </w:rPr>
        <w:t>万元，最高估值仍以</w:t>
      </w:r>
      <w:r>
        <w:rPr>
          <w:sz w:val="21"/>
          <w:szCs w:val="24"/>
        </w:rPr>
        <w:t>1</w:t>
      </w:r>
      <w:r>
        <w:rPr>
          <w:rFonts w:hint="eastAsia"/>
          <w:sz w:val="21"/>
          <w:szCs w:val="24"/>
        </w:rPr>
        <w:t>亿元为限），以现金向广东蓝图信息技术有限公司支付股权届时的估值与本次交易对价之差额。上海劳雷预计广东蓝图信息技术有限公司在</w:t>
      </w:r>
      <w:r>
        <w:rPr>
          <w:sz w:val="21"/>
          <w:szCs w:val="24"/>
        </w:rPr>
        <w:t>2016</w:t>
      </w:r>
      <w:r>
        <w:rPr>
          <w:rFonts w:hint="eastAsia"/>
          <w:sz w:val="21"/>
          <w:szCs w:val="24"/>
        </w:rPr>
        <w:t>年度至</w:t>
      </w:r>
      <w:r>
        <w:rPr>
          <w:sz w:val="21"/>
          <w:szCs w:val="24"/>
        </w:rPr>
        <w:t>2018</w:t>
      </w:r>
      <w:r>
        <w:rPr>
          <w:rFonts w:hint="eastAsia"/>
          <w:sz w:val="21"/>
          <w:szCs w:val="24"/>
        </w:rPr>
        <w:t>年度能够实现</w:t>
      </w:r>
      <w:r>
        <w:rPr>
          <w:sz w:val="21"/>
          <w:szCs w:val="24"/>
        </w:rPr>
        <w:t>1000</w:t>
      </w:r>
      <w:r>
        <w:rPr>
          <w:rFonts w:hint="eastAsia"/>
          <w:sz w:val="21"/>
          <w:szCs w:val="24"/>
        </w:rPr>
        <w:t>万元以上的净利润，故上海劳雷已将该或有对价作为合并对价并计提相应的预计负债。</w:t>
      </w:r>
    </w:p>
    <w:p>
      <w:pPr>
        <w:pStyle w:val="11"/>
        <w:outlineLvl w:val="2"/>
        <w:rPr>
          <w:bCs w:val="0"/>
          <w:szCs w:val="24"/>
        </w:rPr>
      </w:pPr>
      <w:r>
        <w:rPr>
          <w:bCs w:val="0"/>
          <w:szCs w:val="24"/>
        </w:rPr>
        <w:t>29</w:t>
      </w:r>
      <w:r>
        <w:rPr>
          <w:rFonts w:hint="eastAsia"/>
          <w:bCs w:val="0"/>
          <w:szCs w:val="24"/>
        </w:rPr>
        <w:t>、预计负债</w:t>
      </w:r>
    </w:p>
    <w:p>
      <w:pPr>
        <w:jc w:val="right"/>
        <w:rPr>
          <w:szCs w:val="24"/>
        </w:rPr>
      </w:pPr>
      <w:r>
        <w:rPr>
          <w:rFonts w:hint="eastAsia"/>
          <w:szCs w:val="24"/>
        </w:rPr>
        <w:t>单位：</w:t>
      </w:r>
      <w:r>
        <w:rPr>
          <w:szCs w:val="24"/>
        </w:rPr>
        <w:t xml:space="preserve"> </w:t>
      </w:r>
      <w:r>
        <w:rPr>
          <w:rFonts w:hint="eastAsia"/>
          <w:szCs w:val="24"/>
        </w:rPr>
        <w:t>元</w:t>
      </w:r>
    </w:p>
    <w:tbl>
      <w:tblPr>
        <w:tblStyle w:val="8"/>
        <w:tblW w:w="9568" w:type="dxa"/>
        <w:tblInd w:w="28" w:type="dxa"/>
        <w:tblLayout w:type="fixed"/>
        <w:tblCellMar>
          <w:top w:w="0" w:type="dxa"/>
          <w:left w:w="28" w:type="dxa"/>
          <w:bottom w:w="0" w:type="dxa"/>
          <w:right w:w="28" w:type="dxa"/>
        </w:tblCellMar>
      </w:tblPr>
      <w:tblGrid>
        <w:gridCol w:w="2389"/>
        <w:gridCol w:w="2395"/>
        <w:gridCol w:w="2392"/>
        <w:gridCol w:w="2392"/>
      </w:tblGrid>
      <w:tr>
        <w:tblPrEx>
          <w:tblLayout w:type="fixed"/>
          <w:tblCellMar>
            <w:top w:w="0" w:type="dxa"/>
            <w:left w:w="28" w:type="dxa"/>
            <w:bottom w:w="0" w:type="dxa"/>
            <w:right w:w="28" w:type="dxa"/>
          </w:tblCellMar>
        </w:tblPrEx>
        <w:tc>
          <w:tcPr>
            <w:tcW w:w="238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239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c>
          <w:tcPr>
            <w:tcW w:w="239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期初余额</w:t>
            </w:r>
          </w:p>
        </w:tc>
        <w:tc>
          <w:tcPr>
            <w:tcW w:w="239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形成原因</w:t>
            </w:r>
          </w:p>
        </w:tc>
      </w:tr>
      <w:tr>
        <w:tblPrEx>
          <w:tblLayout w:type="fixed"/>
          <w:tblCellMar>
            <w:top w:w="0" w:type="dxa"/>
            <w:left w:w="28" w:type="dxa"/>
            <w:bottom w:w="0" w:type="dxa"/>
            <w:right w:w="28" w:type="dxa"/>
          </w:tblCellMar>
        </w:tblPrEx>
        <w:tc>
          <w:tcPr>
            <w:tcW w:w="238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产品质量保证</w:t>
            </w:r>
          </w:p>
        </w:tc>
        <w:tc>
          <w:tcPr>
            <w:tcW w:w="239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2,619,037.60</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6,910,211.00</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预提产品质量保证金</w:t>
            </w:r>
          </w:p>
        </w:tc>
      </w:tr>
      <w:tr>
        <w:tblPrEx>
          <w:tblLayout w:type="fixed"/>
          <w:tblCellMar>
            <w:top w:w="0" w:type="dxa"/>
            <w:left w:w="28" w:type="dxa"/>
            <w:bottom w:w="0" w:type="dxa"/>
            <w:right w:w="28" w:type="dxa"/>
          </w:tblCellMar>
        </w:tblPrEx>
        <w:tc>
          <w:tcPr>
            <w:tcW w:w="23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股权收购款（注）</w:t>
            </w:r>
          </w:p>
        </w:tc>
        <w:tc>
          <w:tcPr>
            <w:tcW w:w="239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14,711,321.11</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股权转让协议约定</w:t>
            </w:r>
          </w:p>
        </w:tc>
      </w:tr>
      <w:tr>
        <w:tblPrEx>
          <w:tblLayout w:type="fixed"/>
          <w:tblCellMar>
            <w:top w:w="0" w:type="dxa"/>
            <w:left w:w="28" w:type="dxa"/>
            <w:bottom w:w="0" w:type="dxa"/>
            <w:right w:w="28" w:type="dxa"/>
          </w:tblCellMar>
        </w:tblPrEx>
        <w:tc>
          <w:tcPr>
            <w:tcW w:w="238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2395"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17,330,358.71</w:t>
            </w:r>
          </w:p>
        </w:tc>
        <w:tc>
          <w:tcPr>
            <w:tcW w:w="2392"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6,910,211.00</w:t>
            </w:r>
          </w:p>
        </w:tc>
        <w:tc>
          <w:tcPr>
            <w:tcW w:w="239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sz w:val="21"/>
                <w:szCs w:val="21"/>
              </w:rPr>
              <w:t>--</w:t>
            </w:r>
          </w:p>
        </w:tc>
      </w:tr>
    </w:tbl>
    <w:p>
      <w:pPr>
        <w:spacing w:line="360" w:lineRule="auto"/>
        <w:jc w:val="left"/>
        <w:rPr>
          <w:sz w:val="21"/>
          <w:szCs w:val="24"/>
        </w:rPr>
      </w:pPr>
      <w:r>
        <w:rPr>
          <w:rFonts w:hint="eastAsia"/>
          <w:sz w:val="21"/>
          <w:szCs w:val="24"/>
        </w:rPr>
        <w:t>注：</w:t>
      </w:r>
      <w:r>
        <w:rPr>
          <w:sz w:val="21"/>
          <w:szCs w:val="24"/>
        </w:rPr>
        <w:t>2016</w:t>
      </w:r>
      <w:r>
        <w:rPr>
          <w:rFonts w:hint="eastAsia"/>
          <w:sz w:val="21"/>
          <w:szCs w:val="24"/>
        </w:rPr>
        <w:t>年</w:t>
      </w:r>
      <w:r>
        <w:rPr>
          <w:sz w:val="21"/>
          <w:szCs w:val="24"/>
        </w:rPr>
        <w:t>12</w:t>
      </w:r>
      <w:r>
        <w:rPr>
          <w:rFonts w:hint="eastAsia"/>
          <w:sz w:val="21"/>
          <w:szCs w:val="24"/>
        </w:rPr>
        <w:t>月，本公司子公司上海海兰劳雷海洋科技有限公司与广东蓝图信息技术有限公司原股东签署股权转让协议，上海海兰劳雷海洋科技有限公司购买原股东</w:t>
      </w:r>
      <w:r>
        <w:rPr>
          <w:sz w:val="21"/>
          <w:szCs w:val="24"/>
        </w:rPr>
        <w:t>65%</w:t>
      </w:r>
      <w:r>
        <w:rPr>
          <w:rFonts w:hint="eastAsia"/>
          <w:sz w:val="21"/>
          <w:szCs w:val="24"/>
        </w:rPr>
        <w:t>的股权，交易对价</w:t>
      </w:r>
      <w:r>
        <w:rPr>
          <w:sz w:val="21"/>
          <w:szCs w:val="24"/>
        </w:rPr>
        <w:t>4,875</w:t>
      </w:r>
      <w:r>
        <w:rPr>
          <w:rFonts w:hint="eastAsia"/>
          <w:sz w:val="21"/>
          <w:szCs w:val="24"/>
        </w:rPr>
        <w:t>万元分三期支付，在</w:t>
      </w:r>
      <w:r>
        <w:rPr>
          <w:sz w:val="21"/>
          <w:szCs w:val="24"/>
        </w:rPr>
        <w:t>2016</w:t>
      </w:r>
      <w:r>
        <w:rPr>
          <w:rFonts w:hint="eastAsia"/>
          <w:sz w:val="21"/>
          <w:szCs w:val="24"/>
        </w:rPr>
        <w:t>年</w:t>
      </w:r>
      <w:r>
        <w:rPr>
          <w:sz w:val="21"/>
          <w:szCs w:val="24"/>
        </w:rPr>
        <w:t>12</w:t>
      </w:r>
      <w:r>
        <w:rPr>
          <w:rFonts w:hint="eastAsia"/>
          <w:sz w:val="21"/>
          <w:szCs w:val="24"/>
        </w:rPr>
        <w:t>月支付第一期转让款</w:t>
      </w:r>
      <w:r>
        <w:rPr>
          <w:sz w:val="21"/>
          <w:szCs w:val="24"/>
        </w:rPr>
        <w:t>2,925</w:t>
      </w:r>
      <w:r>
        <w:rPr>
          <w:rFonts w:hint="eastAsia"/>
          <w:sz w:val="21"/>
          <w:szCs w:val="24"/>
        </w:rPr>
        <w:t>万，第二期转让款</w:t>
      </w:r>
      <w:r>
        <w:rPr>
          <w:sz w:val="21"/>
          <w:szCs w:val="24"/>
        </w:rPr>
        <w:t>975</w:t>
      </w:r>
      <w:r>
        <w:rPr>
          <w:rFonts w:hint="eastAsia"/>
          <w:sz w:val="21"/>
          <w:szCs w:val="24"/>
        </w:rPr>
        <w:t>万元于广东蓝图信息技术有限公司</w:t>
      </w:r>
      <w:r>
        <w:rPr>
          <w:sz w:val="21"/>
          <w:szCs w:val="24"/>
        </w:rPr>
        <w:t>2016</w:t>
      </w:r>
      <w:r>
        <w:rPr>
          <w:rFonts w:hint="eastAsia"/>
          <w:sz w:val="21"/>
          <w:szCs w:val="24"/>
        </w:rPr>
        <w:t>年度审计报告出具后支付（最迟不得超过</w:t>
      </w:r>
      <w:r>
        <w:rPr>
          <w:sz w:val="21"/>
          <w:szCs w:val="24"/>
        </w:rPr>
        <w:t>2017</w:t>
      </w:r>
      <w:r>
        <w:rPr>
          <w:rFonts w:hint="eastAsia"/>
          <w:sz w:val="21"/>
          <w:szCs w:val="24"/>
        </w:rPr>
        <w:t>年</w:t>
      </w:r>
      <w:r>
        <w:rPr>
          <w:sz w:val="21"/>
          <w:szCs w:val="24"/>
        </w:rPr>
        <w:t>4</w:t>
      </w:r>
      <w:r>
        <w:rPr>
          <w:rFonts w:hint="eastAsia"/>
          <w:sz w:val="21"/>
          <w:szCs w:val="24"/>
        </w:rPr>
        <w:t>月</w:t>
      </w:r>
      <w:r>
        <w:rPr>
          <w:sz w:val="21"/>
          <w:szCs w:val="24"/>
        </w:rPr>
        <w:t>30</w:t>
      </w:r>
      <w:r>
        <w:rPr>
          <w:rFonts w:hint="eastAsia"/>
          <w:sz w:val="21"/>
          <w:szCs w:val="24"/>
        </w:rPr>
        <w:t>日），第三期转让款</w:t>
      </w:r>
      <w:r>
        <w:rPr>
          <w:sz w:val="21"/>
          <w:szCs w:val="24"/>
        </w:rPr>
        <w:t>975</w:t>
      </w:r>
      <w:r>
        <w:rPr>
          <w:rFonts w:hint="eastAsia"/>
          <w:sz w:val="21"/>
          <w:szCs w:val="24"/>
        </w:rPr>
        <w:t>万元于广东蓝图信息技术有限公司</w:t>
      </w:r>
      <w:r>
        <w:rPr>
          <w:sz w:val="21"/>
          <w:szCs w:val="24"/>
        </w:rPr>
        <w:t>2017</w:t>
      </w:r>
      <w:r>
        <w:rPr>
          <w:rFonts w:hint="eastAsia"/>
          <w:sz w:val="21"/>
          <w:szCs w:val="24"/>
        </w:rPr>
        <w:t>年度审计报告出具后支付（最迟不得超过</w:t>
      </w:r>
      <w:r>
        <w:rPr>
          <w:sz w:val="21"/>
          <w:szCs w:val="24"/>
        </w:rPr>
        <w:t>2018</w:t>
      </w:r>
      <w:r>
        <w:rPr>
          <w:rFonts w:hint="eastAsia"/>
          <w:sz w:val="21"/>
          <w:szCs w:val="24"/>
        </w:rPr>
        <w:t>年</w:t>
      </w:r>
      <w:r>
        <w:rPr>
          <w:sz w:val="21"/>
          <w:szCs w:val="24"/>
        </w:rPr>
        <w:t>4</w:t>
      </w:r>
      <w:r>
        <w:rPr>
          <w:rFonts w:hint="eastAsia"/>
          <w:sz w:val="21"/>
          <w:szCs w:val="24"/>
        </w:rPr>
        <w:t>月</w:t>
      </w:r>
      <w:r>
        <w:rPr>
          <w:sz w:val="21"/>
          <w:szCs w:val="24"/>
        </w:rPr>
        <w:t>30</w:t>
      </w:r>
      <w:r>
        <w:rPr>
          <w:rFonts w:hint="eastAsia"/>
          <w:sz w:val="21"/>
          <w:szCs w:val="24"/>
        </w:rPr>
        <w:t>日）。同时约定，广东蓝图信息技术有限公司在业绩承诺期间（</w:t>
      </w:r>
      <w:r>
        <w:rPr>
          <w:sz w:val="21"/>
          <w:szCs w:val="24"/>
        </w:rPr>
        <w:t>2016</w:t>
      </w:r>
      <w:r>
        <w:rPr>
          <w:rFonts w:hint="eastAsia"/>
          <w:sz w:val="21"/>
          <w:szCs w:val="24"/>
        </w:rPr>
        <w:t>年度至</w:t>
      </w:r>
      <w:r>
        <w:rPr>
          <w:sz w:val="21"/>
          <w:szCs w:val="24"/>
        </w:rPr>
        <w:t>2018</w:t>
      </w:r>
      <w:r>
        <w:rPr>
          <w:rFonts w:hint="eastAsia"/>
          <w:sz w:val="21"/>
          <w:szCs w:val="24"/>
        </w:rPr>
        <w:t>年度）的年度平均净利润大于</w:t>
      </w:r>
      <w:r>
        <w:rPr>
          <w:sz w:val="21"/>
          <w:szCs w:val="24"/>
        </w:rPr>
        <w:t>849.3</w:t>
      </w:r>
      <w:r>
        <w:rPr>
          <w:rFonts w:hint="eastAsia"/>
          <w:sz w:val="21"/>
          <w:szCs w:val="24"/>
        </w:rPr>
        <w:t>万元但小于或等于</w:t>
      </w:r>
      <w:r>
        <w:rPr>
          <w:sz w:val="21"/>
          <w:szCs w:val="24"/>
        </w:rPr>
        <w:t>1,000</w:t>
      </w:r>
      <w:r>
        <w:rPr>
          <w:rFonts w:hint="eastAsia"/>
          <w:sz w:val="21"/>
          <w:szCs w:val="24"/>
        </w:rPr>
        <w:t>万元，则上海海兰劳雷海洋科技有限公司按照其业绩承诺期内的实际年度平均净利润的</w:t>
      </w:r>
      <w:r>
        <w:rPr>
          <w:sz w:val="21"/>
          <w:szCs w:val="24"/>
        </w:rPr>
        <w:t>10</w:t>
      </w:r>
      <w:r>
        <w:rPr>
          <w:rFonts w:hint="eastAsia"/>
          <w:sz w:val="21"/>
          <w:szCs w:val="24"/>
        </w:rPr>
        <w:t>倍</w:t>
      </w:r>
      <w:r>
        <w:rPr>
          <w:sz w:val="21"/>
          <w:szCs w:val="24"/>
        </w:rPr>
        <w:t>PE</w:t>
      </w:r>
      <w:r>
        <w:rPr>
          <w:rFonts w:hint="eastAsia"/>
          <w:sz w:val="21"/>
          <w:szCs w:val="24"/>
        </w:rPr>
        <w:t>所对应的估值（即使年度平均净利润超过</w:t>
      </w:r>
      <w:r>
        <w:rPr>
          <w:sz w:val="21"/>
          <w:szCs w:val="24"/>
        </w:rPr>
        <w:t>1,000</w:t>
      </w:r>
      <w:r>
        <w:rPr>
          <w:rFonts w:hint="eastAsia"/>
          <w:sz w:val="21"/>
          <w:szCs w:val="24"/>
        </w:rPr>
        <w:t>万元，最高估值仍以</w:t>
      </w:r>
      <w:r>
        <w:rPr>
          <w:sz w:val="21"/>
          <w:szCs w:val="24"/>
        </w:rPr>
        <w:t>1</w:t>
      </w:r>
      <w:r>
        <w:rPr>
          <w:rFonts w:hint="eastAsia"/>
          <w:sz w:val="21"/>
          <w:szCs w:val="24"/>
        </w:rPr>
        <w:t>亿元为限），以现金向广东蓝图信息技术有限公司支付股权届时的估值与本次交易对价之差额。上海海兰劳雷海洋科技有限公司预计广东蓝图信息技术有限公司在</w:t>
      </w:r>
      <w:r>
        <w:rPr>
          <w:sz w:val="21"/>
          <w:szCs w:val="24"/>
        </w:rPr>
        <w:t>2016</w:t>
      </w:r>
      <w:r>
        <w:rPr>
          <w:rFonts w:hint="eastAsia"/>
          <w:sz w:val="21"/>
          <w:szCs w:val="24"/>
        </w:rPr>
        <w:t>年度至</w:t>
      </w:r>
      <w:r>
        <w:rPr>
          <w:sz w:val="21"/>
          <w:szCs w:val="24"/>
        </w:rPr>
        <w:t>2018</w:t>
      </w:r>
      <w:r>
        <w:rPr>
          <w:rFonts w:hint="eastAsia"/>
          <w:sz w:val="21"/>
          <w:szCs w:val="24"/>
        </w:rPr>
        <w:t>年度能够实现</w:t>
      </w:r>
      <w:r>
        <w:rPr>
          <w:sz w:val="21"/>
          <w:szCs w:val="24"/>
        </w:rPr>
        <w:t>1000</w:t>
      </w:r>
      <w:r>
        <w:rPr>
          <w:rFonts w:hint="eastAsia"/>
          <w:sz w:val="21"/>
          <w:szCs w:val="24"/>
        </w:rPr>
        <w:t>万元以上的净利润，故上海海兰劳雷海洋科技有限公司已将该或有对价作为合并对价并计提相应的预计负债。</w:t>
      </w:r>
    </w:p>
    <w:p>
      <w:pPr>
        <w:pStyle w:val="11"/>
        <w:outlineLvl w:val="2"/>
        <w:rPr>
          <w:bCs w:val="0"/>
          <w:szCs w:val="24"/>
        </w:rPr>
      </w:pPr>
      <w:r>
        <w:rPr>
          <w:bCs w:val="0"/>
          <w:szCs w:val="24"/>
        </w:rPr>
        <w:t>30</w:t>
      </w:r>
      <w:r>
        <w:rPr>
          <w:rFonts w:hint="eastAsia"/>
          <w:bCs w:val="0"/>
          <w:szCs w:val="24"/>
        </w:rPr>
        <w:t>、递延收益</w:t>
      </w:r>
    </w:p>
    <w:p>
      <w:pPr>
        <w:jc w:val="right"/>
        <w:rPr>
          <w:szCs w:val="24"/>
        </w:rPr>
      </w:pPr>
      <w:r>
        <w:rPr>
          <w:rFonts w:hint="eastAsia"/>
          <w:szCs w:val="24"/>
        </w:rPr>
        <w:t>单位：</w:t>
      </w:r>
      <w:r>
        <w:rPr>
          <w:szCs w:val="24"/>
        </w:rPr>
        <w:t xml:space="preserve"> </w:t>
      </w:r>
      <w:r>
        <w:rPr>
          <w:rFonts w:hint="eastAsia"/>
          <w:szCs w:val="24"/>
        </w:rPr>
        <w:t>元</w:t>
      </w:r>
    </w:p>
    <w:tbl>
      <w:tblPr>
        <w:tblStyle w:val="8"/>
        <w:tblW w:w="9694" w:type="dxa"/>
        <w:tblInd w:w="0" w:type="dxa"/>
        <w:tblLayout w:type="fixed"/>
        <w:tblCellMar>
          <w:top w:w="0" w:type="dxa"/>
          <w:left w:w="28" w:type="dxa"/>
          <w:bottom w:w="0" w:type="dxa"/>
          <w:right w:w="28" w:type="dxa"/>
        </w:tblCellMar>
      </w:tblPr>
      <w:tblGrid>
        <w:gridCol w:w="1616"/>
        <w:gridCol w:w="1618"/>
        <w:gridCol w:w="1615"/>
        <w:gridCol w:w="1615"/>
        <w:gridCol w:w="1615"/>
        <w:gridCol w:w="1615"/>
      </w:tblGrid>
      <w:tr>
        <w:tblPrEx>
          <w:tblLayout w:type="fixed"/>
          <w:tblCellMar>
            <w:top w:w="0" w:type="dxa"/>
            <w:left w:w="28" w:type="dxa"/>
            <w:bottom w:w="0" w:type="dxa"/>
            <w:right w:w="28" w:type="dxa"/>
          </w:tblCellMar>
        </w:tblPrEx>
        <w:tc>
          <w:tcPr>
            <w:tcW w:w="161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1618"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期初余额</w:t>
            </w:r>
          </w:p>
        </w:tc>
        <w:tc>
          <w:tcPr>
            <w:tcW w:w="161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本期增加</w:t>
            </w:r>
          </w:p>
        </w:tc>
        <w:tc>
          <w:tcPr>
            <w:tcW w:w="161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本期减少</w:t>
            </w:r>
          </w:p>
        </w:tc>
        <w:tc>
          <w:tcPr>
            <w:tcW w:w="161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c>
          <w:tcPr>
            <w:tcW w:w="161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形成原因</w:t>
            </w:r>
          </w:p>
        </w:tc>
      </w:tr>
      <w:tr>
        <w:tblPrEx>
          <w:tblLayout w:type="fixed"/>
          <w:tblCellMar>
            <w:top w:w="0" w:type="dxa"/>
            <w:left w:w="28" w:type="dxa"/>
            <w:bottom w:w="0" w:type="dxa"/>
            <w:right w:w="28" w:type="dxa"/>
          </w:tblCellMar>
        </w:tblPrEx>
        <w:tc>
          <w:tcPr>
            <w:tcW w:w="161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政府补助</w:t>
            </w:r>
          </w:p>
        </w:tc>
        <w:tc>
          <w:tcPr>
            <w:tcW w:w="161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22,838,523.33</w:t>
            </w:r>
          </w:p>
        </w:tc>
        <w:tc>
          <w:tcPr>
            <w:tcW w:w="161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19,400,000.00</w:t>
            </w:r>
          </w:p>
        </w:tc>
        <w:tc>
          <w:tcPr>
            <w:tcW w:w="161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18,700,756.73</w:t>
            </w:r>
          </w:p>
        </w:tc>
        <w:tc>
          <w:tcPr>
            <w:tcW w:w="161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23,537,766.60</w:t>
            </w:r>
          </w:p>
        </w:tc>
        <w:tc>
          <w:tcPr>
            <w:tcW w:w="161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与资产</w:t>
            </w:r>
            <w:r>
              <w:rPr>
                <w:sz w:val="21"/>
                <w:szCs w:val="21"/>
              </w:rPr>
              <w:t>/</w:t>
            </w:r>
            <w:r>
              <w:rPr>
                <w:rFonts w:hint="eastAsia"/>
                <w:sz w:val="21"/>
                <w:szCs w:val="21"/>
              </w:rPr>
              <w:t>收益相关</w:t>
            </w:r>
          </w:p>
        </w:tc>
      </w:tr>
      <w:tr>
        <w:tblPrEx>
          <w:tblLayout w:type="fixed"/>
          <w:tblCellMar>
            <w:top w:w="0" w:type="dxa"/>
            <w:left w:w="28" w:type="dxa"/>
            <w:bottom w:w="0" w:type="dxa"/>
            <w:right w:w="28" w:type="dxa"/>
          </w:tblCellMar>
        </w:tblPrEx>
        <w:tc>
          <w:tcPr>
            <w:tcW w:w="161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运营维护服务</w:t>
            </w:r>
          </w:p>
        </w:tc>
        <w:tc>
          <w:tcPr>
            <w:tcW w:w="161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1,820,512.84</w:t>
            </w:r>
          </w:p>
        </w:tc>
        <w:tc>
          <w:tcPr>
            <w:tcW w:w="161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61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1,365,384.63</w:t>
            </w:r>
          </w:p>
        </w:tc>
        <w:tc>
          <w:tcPr>
            <w:tcW w:w="161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455,128.21</w:t>
            </w:r>
          </w:p>
        </w:tc>
        <w:tc>
          <w:tcPr>
            <w:tcW w:w="161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与收益相关</w:t>
            </w:r>
          </w:p>
        </w:tc>
      </w:tr>
      <w:tr>
        <w:tblPrEx>
          <w:tblLayout w:type="fixed"/>
          <w:tblCellMar>
            <w:top w:w="0" w:type="dxa"/>
            <w:left w:w="28" w:type="dxa"/>
            <w:bottom w:w="0" w:type="dxa"/>
            <w:right w:w="28" w:type="dxa"/>
          </w:tblCellMar>
        </w:tblPrEx>
        <w:tc>
          <w:tcPr>
            <w:tcW w:w="161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1618"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24,659,036.17</w:t>
            </w:r>
          </w:p>
        </w:tc>
        <w:tc>
          <w:tcPr>
            <w:tcW w:w="161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19,400,000.00</w:t>
            </w:r>
          </w:p>
        </w:tc>
        <w:tc>
          <w:tcPr>
            <w:tcW w:w="161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20,066,141.36</w:t>
            </w:r>
          </w:p>
        </w:tc>
        <w:tc>
          <w:tcPr>
            <w:tcW w:w="1615"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23,992,894.81</w:t>
            </w:r>
          </w:p>
        </w:tc>
        <w:tc>
          <w:tcPr>
            <w:tcW w:w="161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sz w:val="21"/>
                <w:szCs w:val="21"/>
              </w:rPr>
              <w:t>--</w:t>
            </w:r>
          </w:p>
        </w:tc>
      </w:tr>
    </w:tbl>
    <w:p>
      <w:pPr>
        <w:jc w:val="left"/>
        <w:rPr>
          <w:sz w:val="21"/>
          <w:szCs w:val="21"/>
        </w:rPr>
      </w:pPr>
      <w:r>
        <w:rPr>
          <w:rFonts w:hint="eastAsia"/>
          <w:sz w:val="21"/>
          <w:szCs w:val="21"/>
        </w:rPr>
        <w:t>涉及政府补助的项目：</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694" w:type="dxa"/>
        <w:tblInd w:w="0" w:type="dxa"/>
        <w:tblLayout w:type="fixed"/>
        <w:tblCellMar>
          <w:top w:w="0" w:type="dxa"/>
          <w:left w:w="28" w:type="dxa"/>
          <w:bottom w:w="0" w:type="dxa"/>
          <w:right w:w="28" w:type="dxa"/>
        </w:tblCellMar>
      </w:tblPr>
      <w:tblGrid>
        <w:gridCol w:w="1385"/>
        <w:gridCol w:w="1387"/>
        <w:gridCol w:w="1385"/>
        <w:gridCol w:w="1385"/>
        <w:gridCol w:w="1384"/>
        <w:gridCol w:w="1384"/>
        <w:gridCol w:w="1384"/>
      </w:tblGrid>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负债项目</w:t>
            </w:r>
          </w:p>
        </w:tc>
        <w:tc>
          <w:tcPr>
            <w:tcW w:w="138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期初余额</w:t>
            </w:r>
          </w:p>
        </w:tc>
        <w:tc>
          <w:tcPr>
            <w:tcW w:w="138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本期新增补助金额</w:t>
            </w:r>
          </w:p>
        </w:tc>
        <w:tc>
          <w:tcPr>
            <w:tcW w:w="138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本期计入营业外收入金额</w:t>
            </w:r>
          </w:p>
        </w:tc>
        <w:tc>
          <w:tcPr>
            <w:tcW w:w="138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其他变动</w:t>
            </w:r>
          </w:p>
        </w:tc>
        <w:tc>
          <w:tcPr>
            <w:tcW w:w="138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c>
          <w:tcPr>
            <w:tcW w:w="138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与资产相关</w:t>
            </w:r>
            <w:r>
              <w:rPr>
                <w:sz w:val="21"/>
                <w:szCs w:val="21"/>
              </w:rPr>
              <w:t>/</w:t>
            </w:r>
            <w:r>
              <w:rPr>
                <w:rFonts w:hint="eastAsia"/>
                <w:sz w:val="21"/>
                <w:szCs w:val="21"/>
              </w:rPr>
              <w:t>与收益相关</w:t>
            </w: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2012</w:t>
            </w:r>
            <w:r>
              <w:rPr>
                <w:rFonts w:hint="eastAsia"/>
                <w:sz w:val="21"/>
                <w:szCs w:val="21"/>
              </w:rPr>
              <w:t>年度海淀区促进企业国际化发展专项资金协议书</w:t>
            </w:r>
            <w:r>
              <w:rPr>
                <w:sz w:val="21"/>
                <w:szCs w:val="21"/>
              </w:rPr>
              <w:t>--</w:t>
            </w:r>
            <w:r>
              <w:rPr>
                <w:rFonts w:hint="eastAsia"/>
                <w:sz w:val="21"/>
                <w:szCs w:val="21"/>
              </w:rPr>
              <w:t>船舶导航雷达关键技术开发及应用</w:t>
            </w:r>
          </w:p>
        </w:tc>
        <w:tc>
          <w:tcPr>
            <w:tcW w:w="13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120,881.42</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120,881.42</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与资产相关</w:t>
            </w: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船舶导航信息技术北京市工程实验室创新能力建设项目</w:t>
            </w:r>
          </w:p>
        </w:tc>
        <w:tc>
          <w:tcPr>
            <w:tcW w:w="13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8,840,000.00</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2,040,000.00</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6,800,000.00</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与资产相关</w:t>
            </w: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船舶电气系统集成生产建设项目</w:t>
            </w:r>
          </w:p>
        </w:tc>
        <w:tc>
          <w:tcPr>
            <w:tcW w:w="13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6,868,500.00</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180,750.00</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6,687,750.00</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与资产相关</w:t>
            </w: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北京市高精尖产业发展资金拨款项目</w:t>
            </w:r>
            <w:r>
              <w:rPr>
                <w:sz w:val="21"/>
                <w:szCs w:val="21"/>
              </w:rPr>
              <w:t>-</w:t>
            </w:r>
            <w:r>
              <w:rPr>
                <w:rFonts w:hint="eastAsia"/>
                <w:sz w:val="21"/>
                <w:szCs w:val="21"/>
              </w:rPr>
              <w:t>智慧桥综合船舶导航系统（</w:t>
            </w:r>
            <w:r>
              <w:rPr>
                <w:sz w:val="21"/>
                <w:szCs w:val="21"/>
              </w:rPr>
              <w:t>INS</w:t>
            </w:r>
            <w:r>
              <w:rPr>
                <w:rFonts w:hint="eastAsia"/>
                <w:sz w:val="21"/>
                <w:szCs w:val="21"/>
              </w:rPr>
              <w:t>）关键技术研发及产业化项目</w:t>
            </w:r>
          </w:p>
        </w:tc>
        <w:tc>
          <w:tcPr>
            <w:tcW w:w="13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10,000,000.00</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3,340,358.33</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6,659,641.67</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与资产相关</w:t>
            </w: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科技部国际合作项目</w:t>
            </w:r>
            <w:r>
              <w:rPr>
                <w:sz w:val="21"/>
                <w:szCs w:val="21"/>
              </w:rPr>
              <w:t>-</w:t>
            </w:r>
            <w:r>
              <w:rPr>
                <w:rFonts w:hint="eastAsia"/>
                <w:sz w:val="21"/>
                <w:szCs w:val="21"/>
              </w:rPr>
              <w:t>极小目标探测雷达系统联合研发</w:t>
            </w:r>
          </w:p>
        </w:tc>
        <w:tc>
          <w:tcPr>
            <w:tcW w:w="13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999,999.97</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2,200,000.00</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1,415,466.71</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1,784,533.26</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与收益相关</w:t>
            </w: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雷达系统技术研发及产业化项目</w:t>
            </w:r>
          </w:p>
        </w:tc>
        <w:tc>
          <w:tcPr>
            <w:tcW w:w="13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1,160,000.00</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696,000.00</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464,000.00</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与资产相关</w:t>
            </w: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北京市科技计划课题任务书</w:t>
            </w:r>
            <w:r>
              <w:rPr>
                <w:sz w:val="21"/>
                <w:szCs w:val="21"/>
              </w:rPr>
              <w:t>--</w:t>
            </w:r>
            <w:r>
              <w:rPr>
                <w:rFonts w:hint="eastAsia"/>
                <w:sz w:val="21"/>
                <w:szCs w:val="21"/>
              </w:rPr>
              <w:t>船舶全航迹综合控制系统研制</w:t>
            </w:r>
          </w:p>
        </w:tc>
        <w:tc>
          <w:tcPr>
            <w:tcW w:w="13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1,745,749.98</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1,419,083.31</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326,666.67</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与收益相关</w:t>
            </w: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重大投资项目节点奖励</w:t>
            </w:r>
          </w:p>
        </w:tc>
        <w:tc>
          <w:tcPr>
            <w:tcW w:w="13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300,000.00</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300,000.00</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与收益相关</w:t>
            </w: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海洋信息资源利用关键技术研究与智慧海南综合服务应用示范</w:t>
            </w:r>
          </w:p>
        </w:tc>
        <w:tc>
          <w:tcPr>
            <w:tcW w:w="13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300,000.00</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300,000.00</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与收益相关</w:t>
            </w: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远洋船舶通导电子系统技术外贸公共服务平台</w:t>
            </w:r>
          </w:p>
        </w:tc>
        <w:tc>
          <w:tcPr>
            <w:tcW w:w="13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731,595.00</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516,420.00</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215,175.00</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与资产相关</w:t>
            </w: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2011</w:t>
            </w:r>
            <w:r>
              <w:rPr>
                <w:rFonts w:hint="eastAsia"/>
                <w:sz w:val="21"/>
                <w:szCs w:val="21"/>
              </w:rPr>
              <w:t>年海淀区促进重点创新性企业发展专项资金项目合同书</w:t>
            </w:r>
            <w:r>
              <w:rPr>
                <w:sz w:val="21"/>
                <w:szCs w:val="21"/>
              </w:rPr>
              <w:t>--</w:t>
            </w:r>
            <w:r>
              <w:rPr>
                <w:rFonts w:hint="eastAsia"/>
                <w:sz w:val="21"/>
                <w:szCs w:val="21"/>
              </w:rPr>
              <w:t>雷达项目的研发</w:t>
            </w:r>
          </w:p>
        </w:tc>
        <w:tc>
          <w:tcPr>
            <w:tcW w:w="13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37,181.66</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37,181.66</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与资产相关</w:t>
            </w: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船舶电子集成系统技术升级及产业化项目</w:t>
            </w:r>
            <w:r>
              <w:rPr>
                <w:sz w:val="21"/>
                <w:szCs w:val="21"/>
              </w:rPr>
              <w:t>-VEIS</w:t>
            </w:r>
          </w:p>
        </w:tc>
        <w:tc>
          <w:tcPr>
            <w:tcW w:w="13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600,000.00</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600,000.00</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与资产相关</w:t>
            </w: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节能型船舶航行辅助决策和航迹控制系统</w:t>
            </w:r>
          </w:p>
        </w:tc>
        <w:tc>
          <w:tcPr>
            <w:tcW w:w="13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203,333.43</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203,333.43</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与资产相关</w:t>
            </w: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北京市工业发展资金拨款项目合同书</w:t>
            </w:r>
            <w:r>
              <w:rPr>
                <w:sz w:val="21"/>
                <w:szCs w:val="21"/>
              </w:rPr>
              <w:t>--</w:t>
            </w:r>
            <w:r>
              <w:rPr>
                <w:rFonts w:hint="eastAsia"/>
                <w:sz w:val="21"/>
                <w:szCs w:val="21"/>
              </w:rPr>
              <w:t>船舶航迹控制设备技术升级及产业化</w:t>
            </w:r>
          </w:p>
        </w:tc>
        <w:tc>
          <w:tcPr>
            <w:tcW w:w="13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399,999.84</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399,999.84</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与资产相关</w:t>
            </w: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国际研发合作项目专项资金申请书</w:t>
            </w:r>
            <w:r>
              <w:rPr>
                <w:sz w:val="21"/>
                <w:szCs w:val="21"/>
              </w:rPr>
              <w:t>--</w:t>
            </w:r>
            <w:r>
              <w:rPr>
                <w:rFonts w:hint="eastAsia"/>
                <w:sz w:val="21"/>
                <w:szCs w:val="21"/>
              </w:rPr>
              <w:t>船舶导航雷达关键技术开发及应用</w:t>
            </w:r>
          </w:p>
        </w:tc>
        <w:tc>
          <w:tcPr>
            <w:tcW w:w="13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146,666.71</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146,666.71</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与资产相关</w:t>
            </w: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高技术船舶科研项目</w:t>
            </w:r>
            <w:r>
              <w:rPr>
                <w:sz w:val="21"/>
                <w:szCs w:val="21"/>
              </w:rPr>
              <w:t>-</w:t>
            </w:r>
            <w:r>
              <w:rPr>
                <w:rFonts w:hint="eastAsia"/>
                <w:sz w:val="21"/>
                <w:szCs w:val="21"/>
              </w:rPr>
              <w:t>高性能船舶导航雷达系统关键技术研究项目</w:t>
            </w:r>
          </w:p>
        </w:tc>
        <w:tc>
          <w:tcPr>
            <w:tcW w:w="13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1,950,000.00</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1,950,000.00</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与收益相关</w:t>
            </w: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海兰信远洋智能船联网公共服务平台</w:t>
            </w:r>
          </w:p>
        </w:tc>
        <w:tc>
          <w:tcPr>
            <w:tcW w:w="13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2,950,000.00</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2,950,000.00</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与收益相关</w:t>
            </w: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拓展境外市场项目</w:t>
            </w:r>
            <w:r>
              <w:rPr>
                <w:sz w:val="21"/>
                <w:szCs w:val="21"/>
              </w:rPr>
              <w:t>-</w:t>
            </w:r>
            <w:r>
              <w:rPr>
                <w:rFonts w:hint="eastAsia"/>
                <w:sz w:val="21"/>
                <w:szCs w:val="21"/>
              </w:rPr>
              <w:t>境外并购中介费用补贴</w:t>
            </w:r>
            <w:r>
              <w:rPr>
                <w:sz w:val="21"/>
                <w:szCs w:val="21"/>
              </w:rPr>
              <w:t>-</w:t>
            </w:r>
            <w:r>
              <w:rPr>
                <w:rFonts w:hint="eastAsia"/>
                <w:sz w:val="21"/>
                <w:szCs w:val="21"/>
              </w:rPr>
              <w:t>劳雷</w:t>
            </w:r>
          </w:p>
        </w:tc>
        <w:tc>
          <w:tcPr>
            <w:tcW w:w="13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2,000,000.00</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2,000,000.00</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与收益相关</w:t>
            </w: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极小目标雷达探测系统技术升级及产业化项目</w:t>
            </w:r>
          </w:p>
        </w:tc>
        <w:tc>
          <w:tcPr>
            <w:tcW w:w="13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500,000.00</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500,000.00</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与收益相关</w:t>
            </w: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水质污染源核心控制因子在线监测物联系统</w:t>
            </w:r>
          </w:p>
        </w:tc>
        <w:tc>
          <w:tcPr>
            <w:tcW w:w="13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184,615.32</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184,615.32</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与收益相关</w:t>
            </w:r>
          </w:p>
        </w:tc>
      </w:tr>
      <w:tr>
        <w:tblPrEx>
          <w:tblLayout w:type="fixed"/>
          <w:tblCellMar>
            <w:top w:w="0" w:type="dxa"/>
            <w:left w:w="28" w:type="dxa"/>
            <w:bottom w:w="0" w:type="dxa"/>
            <w:right w:w="28" w:type="dxa"/>
          </w:tblCellMar>
        </w:tblPrEx>
        <w:tc>
          <w:tcPr>
            <w:tcW w:w="138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1387"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22,838,523.33</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19,400,000.00</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18,700,756.73</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23,537,766.60</w:t>
            </w:r>
          </w:p>
        </w:tc>
        <w:tc>
          <w:tcPr>
            <w:tcW w:w="138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sz w:val="21"/>
                <w:szCs w:val="21"/>
              </w:rPr>
              <w:t>--</w:t>
            </w:r>
          </w:p>
        </w:tc>
      </w:tr>
    </w:tbl>
    <w:p>
      <w:pPr>
        <w:pStyle w:val="11"/>
        <w:outlineLvl w:val="2"/>
        <w:rPr>
          <w:bCs w:val="0"/>
          <w:szCs w:val="24"/>
        </w:rPr>
      </w:pPr>
      <w:r>
        <w:rPr>
          <w:bCs w:val="0"/>
          <w:szCs w:val="24"/>
        </w:rPr>
        <w:t>31</w:t>
      </w:r>
      <w:r>
        <w:rPr>
          <w:rFonts w:hint="eastAsia"/>
          <w:bCs w:val="0"/>
          <w:szCs w:val="24"/>
        </w:rPr>
        <w:t>、股本</w:t>
      </w:r>
    </w:p>
    <w:p>
      <w:pPr>
        <w:jc w:val="right"/>
        <w:rPr>
          <w:sz w:val="21"/>
          <w:szCs w:val="21"/>
        </w:rPr>
      </w:pPr>
      <w:r>
        <w:rPr>
          <w:rFonts w:hint="eastAsia"/>
          <w:sz w:val="21"/>
          <w:szCs w:val="21"/>
        </w:rPr>
        <w:t>单位：元</w:t>
      </w:r>
    </w:p>
    <w:tbl>
      <w:tblPr>
        <w:tblStyle w:val="8"/>
        <w:tblW w:w="9694" w:type="dxa"/>
        <w:tblInd w:w="0" w:type="dxa"/>
        <w:tblLayout w:type="fixed"/>
        <w:tblCellMar>
          <w:top w:w="0" w:type="dxa"/>
          <w:left w:w="28" w:type="dxa"/>
          <w:bottom w:w="0" w:type="dxa"/>
          <w:right w:w="28" w:type="dxa"/>
        </w:tblCellMar>
      </w:tblPr>
      <w:tblGrid>
        <w:gridCol w:w="1157"/>
        <w:gridCol w:w="1369"/>
        <w:gridCol w:w="1159"/>
        <w:gridCol w:w="1160"/>
        <w:gridCol w:w="1160"/>
        <w:gridCol w:w="1160"/>
        <w:gridCol w:w="1160"/>
        <w:gridCol w:w="1369"/>
      </w:tblGrid>
      <w:tr>
        <w:tblPrEx>
          <w:tblLayout w:type="fixed"/>
          <w:tblCellMar>
            <w:top w:w="0" w:type="dxa"/>
            <w:left w:w="28" w:type="dxa"/>
            <w:bottom w:w="0" w:type="dxa"/>
            <w:right w:w="28" w:type="dxa"/>
          </w:tblCellMar>
        </w:tblPrEx>
        <w:tc>
          <w:tcPr>
            <w:tcW w:w="1157"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p>
        </w:tc>
        <w:tc>
          <w:tcPr>
            <w:tcW w:w="1369"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期初余额</w:t>
            </w:r>
          </w:p>
        </w:tc>
        <w:tc>
          <w:tcPr>
            <w:tcW w:w="5799" w:type="dxa"/>
            <w:gridSpan w:val="5"/>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本次变动增减（</w:t>
            </w:r>
            <w:r>
              <w:rPr>
                <w:sz w:val="21"/>
                <w:szCs w:val="21"/>
              </w:rPr>
              <w:t>+</w:t>
            </w:r>
            <w:r>
              <w:rPr>
                <w:rFonts w:hint="eastAsia"/>
                <w:sz w:val="21"/>
                <w:szCs w:val="21"/>
              </w:rPr>
              <w:t>、</w:t>
            </w:r>
            <w:r>
              <w:rPr>
                <w:sz w:val="21"/>
                <w:szCs w:val="21"/>
              </w:rPr>
              <w:t>—</w:t>
            </w:r>
            <w:r>
              <w:rPr>
                <w:rFonts w:hint="eastAsia"/>
                <w:sz w:val="21"/>
                <w:szCs w:val="21"/>
              </w:rPr>
              <w:t>）</w:t>
            </w:r>
          </w:p>
        </w:tc>
        <w:tc>
          <w:tcPr>
            <w:tcW w:w="1369"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r>
      <w:tr>
        <w:tblPrEx>
          <w:tblLayout w:type="fixed"/>
          <w:tblCellMar>
            <w:top w:w="0" w:type="dxa"/>
            <w:left w:w="28" w:type="dxa"/>
            <w:bottom w:w="0" w:type="dxa"/>
            <w:right w:w="28" w:type="dxa"/>
          </w:tblCellMar>
        </w:tblPrEx>
        <w:tc>
          <w:tcPr>
            <w:tcW w:w="1157"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369"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15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发行新股</w:t>
            </w:r>
          </w:p>
        </w:tc>
        <w:tc>
          <w:tcPr>
            <w:tcW w:w="116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送股</w:t>
            </w:r>
          </w:p>
        </w:tc>
        <w:tc>
          <w:tcPr>
            <w:tcW w:w="116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公积金转股</w:t>
            </w:r>
          </w:p>
        </w:tc>
        <w:tc>
          <w:tcPr>
            <w:tcW w:w="116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其他</w:t>
            </w:r>
          </w:p>
        </w:tc>
        <w:tc>
          <w:tcPr>
            <w:tcW w:w="116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小计</w:t>
            </w:r>
          </w:p>
        </w:tc>
        <w:tc>
          <w:tcPr>
            <w:tcW w:w="1369"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r>
      <w:tr>
        <w:tblPrEx>
          <w:tblLayout w:type="fixed"/>
          <w:tblCellMar>
            <w:top w:w="0" w:type="dxa"/>
            <w:left w:w="28" w:type="dxa"/>
            <w:bottom w:w="0" w:type="dxa"/>
            <w:right w:w="28" w:type="dxa"/>
          </w:tblCellMar>
        </w:tblPrEx>
        <w:tc>
          <w:tcPr>
            <w:tcW w:w="115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股份总数</w:t>
            </w:r>
          </w:p>
        </w:tc>
        <w:tc>
          <w:tcPr>
            <w:tcW w:w="1369"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241,560,648.00</w:t>
            </w: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16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16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16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16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241,560,648.00</w:t>
            </w:r>
          </w:p>
        </w:tc>
      </w:tr>
    </w:tbl>
    <w:p>
      <w:pPr>
        <w:pStyle w:val="11"/>
        <w:outlineLvl w:val="2"/>
        <w:rPr>
          <w:bCs w:val="0"/>
          <w:szCs w:val="24"/>
        </w:rPr>
      </w:pPr>
      <w:r>
        <w:rPr>
          <w:bCs w:val="0"/>
          <w:szCs w:val="24"/>
        </w:rPr>
        <w:t>32</w:t>
      </w:r>
      <w:r>
        <w:rPr>
          <w:rFonts w:hint="eastAsia"/>
          <w:bCs w:val="0"/>
          <w:szCs w:val="24"/>
        </w:rPr>
        <w:t>、资本公积</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570" w:type="dxa"/>
        <w:tblInd w:w="28" w:type="dxa"/>
        <w:tblLayout w:type="fixed"/>
        <w:tblCellMar>
          <w:top w:w="0" w:type="dxa"/>
          <w:left w:w="28" w:type="dxa"/>
          <w:bottom w:w="0" w:type="dxa"/>
          <w:right w:w="28" w:type="dxa"/>
        </w:tblCellMar>
      </w:tblPr>
      <w:tblGrid>
        <w:gridCol w:w="1912"/>
        <w:gridCol w:w="1916"/>
        <w:gridCol w:w="1914"/>
        <w:gridCol w:w="1914"/>
        <w:gridCol w:w="1914"/>
      </w:tblGrid>
      <w:tr>
        <w:tblPrEx>
          <w:tblLayout w:type="fixed"/>
          <w:tblCellMar>
            <w:top w:w="0" w:type="dxa"/>
            <w:left w:w="28" w:type="dxa"/>
            <w:bottom w:w="0" w:type="dxa"/>
            <w:right w:w="28" w:type="dxa"/>
          </w:tblCellMar>
        </w:tblPrEx>
        <w:tc>
          <w:tcPr>
            <w:tcW w:w="191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191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期初余额</w:t>
            </w:r>
          </w:p>
        </w:tc>
        <w:tc>
          <w:tcPr>
            <w:tcW w:w="191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本期增加</w:t>
            </w:r>
          </w:p>
        </w:tc>
        <w:tc>
          <w:tcPr>
            <w:tcW w:w="191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本期减少</w:t>
            </w:r>
          </w:p>
        </w:tc>
        <w:tc>
          <w:tcPr>
            <w:tcW w:w="191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r>
      <w:tr>
        <w:tblPrEx>
          <w:tblLayout w:type="fixed"/>
          <w:tblCellMar>
            <w:top w:w="0" w:type="dxa"/>
            <w:left w:w="28" w:type="dxa"/>
            <w:bottom w:w="0" w:type="dxa"/>
            <w:right w:w="28" w:type="dxa"/>
          </w:tblCellMar>
        </w:tblPrEx>
        <w:tc>
          <w:tcPr>
            <w:tcW w:w="191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资本溢价（股本溢价）</w:t>
            </w:r>
          </w:p>
        </w:tc>
        <w:tc>
          <w:tcPr>
            <w:tcW w:w="191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788,800,103.08</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788,800,103.08</w:t>
            </w:r>
          </w:p>
        </w:tc>
      </w:tr>
      <w:tr>
        <w:tblPrEx>
          <w:tblLayout w:type="fixed"/>
          <w:tblCellMar>
            <w:top w:w="0" w:type="dxa"/>
            <w:left w:w="28" w:type="dxa"/>
            <w:bottom w:w="0" w:type="dxa"/>
            <w:right w:w="28" w:type="dxa"/>
          </w:tblCellMar>
        </w:tblPrEx>
        <w:tc>
          <w:tcPr>
            <w:tcW w:w="191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其他资本公积</w:t>
            </w:r>
          </w:p>
        </w:tc>
        <w:tc>
          <w:tcPr>
            <w:tcW w:w="191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4,699,711.10</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151,234.83</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3,073,660.50</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1,777,285.43</w:t>
            </w:r>
          </w:p>
        </w:tc>
      </w:tr>
      <w:tr>
        <w:tblPrEx>
          <w:tblLayout w:type="fixed"/>
          <w:tblCellMar>
            <w:top w:w="0" w:type="dxa"/>
            <w:left w:w="28" w:type="dxa"/>
            <w:bottom w:w="0" w:type="dxa"/>
            <w:right w:w="28" w:type="dxa"/>
          </w:tblCellMar>
        </w:tblPrEx>
        <w:tc>
          <w:tcPr>
            <w:tcW w:w="191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p>
        </w:tc>
        <w:tc>
          <w:tcPr>
            <w:tcW w:w="191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91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1916"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793,499,814.18</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151,234.83</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3,073,660.50</w:t>
            </w:r>
          </w:p>
        </w:tc>
        <w:tc>
          <w:tcPr>
            <w:tcW w:w="1914"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790,577,388.51</w:t>
            </w:r>
          </w:p>
        </w:tc>
      </w:tr>
    </w:tbl>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其他说明，包括本期增减变动情况、变动原因说明：</w:t>
      </w:r>
    </w:p>
    <w:p>
      <w:pPr>
        <w:autoSpaceDE w:val="0"/>
        <w:autoSpaceDN w:val="0"/>
        <w:adjustRightInd w:val="0"/>
        <w:spacing w:before="0" w:after="0" w:line="360" w:lineRule="auto"/>
        <w:ind w:firstLine="420" w:firstLineChars="200"/>
        <w:jc w:val="left"/>
        <w:rPr>
          <w:rFonts w:ascii="宋体" w:cs="宋体"/>
          <w:kern w:val="0"/>
          <w:sz w:val="21"/>
          <w:szCs w:val="24"/>
          <w:lang w:val="zh-CN"/>
        </w:rPr>
      </w:pPr>
      <w:r>
        <w:rPr>
          <w:rFonts w:hint="eastAsia" w:ascii="宋体" w:hAnsi="宋体" w:cs="宋体"/>
          <w:kern w:val="0"/>
          <w:sz w:val="21"/>
          <w:szCs w:val="24"/>
          <w:lang w:val="zh-CN"/>
        </w:rPr>
        <w:t>注：本年减少</w:t>
      </w:r>
      <w:r>
        <w:rPr>
          <w:rFonts w:ascii="宋体" w:hAnsi="宋体" w:cs="宋体"/>
          <w:kern w:val="0"/>
          <w:sz w:val="21"/>
          <w:szCs w:val="24"/>
          <w:lang w:val="zh-CN"/>
        </w:rPr>
        <w:t>3,073,660.50</w:t>
      </w:r>
      <w:r>
        <w:rPr>
          <w:rFonts w:hint="eastAsia" w:ascii="宋体" w:hAnsi="宋体" w:cs="宋体"/>
          <w:kern w:val="0"/>
          <w:sz w:val="21"/>
          <w:szCs w:val="24"/>
          <w:lang w:val="zh-CN"/>
        </w:rPr>
        <w:t>元系本公司之子公司江苏海兰信船舶设备有限公司购买本公司之子公司江苏海兰船舶电气系统科技有限公司少数股东</w:t>
      </w:r>
      <w:r>
        <w:rPr>
          <w:rFonts w:ascii="宋体" w:hAnsi="宋体" w:cs="宋体"/>
          <w:kern w:val="0"/>
          <w:sz w:val="21"/>
          <w:szCs w:val="24"/>
          <w:lang w:val="zh-CN"/>
        </w:rPr>
        <w:t>10%</w:t>
      </w:r>
      <w:r>
        <w:rPr>
          <w:rFonts w:hint="eastAsia" w:ascii="宋体" w:hAnsi="宋体" w:cs="宋体"/>
          <w:kern w:val="0"/>
          <w:sz w:val="21"/>
          <w:szCs w:val="24"/>
          <w:lang w:val="zh-CN"/>
        </w:rPr>
        <w:t>的股权，收购价款与少数股东享有的净资产之间的差额冲减资本公积所致。本年增加为本公司权益法核算的北京蓝鲸众合投资管理有限公司引入新股东，新股东增资导致本公司享有的净资产增加</w:t>
      </w:r>
      <w:r>
        <w:rPr>
          <w:rFonts w:ascii="宋体" w:hAnsi="宋体" w:cs="宋体"/>
          <w:kern w:val="0"/>
          <w:sz w:val="21"/>
          <w:szCs w:val="24"/>
          <w:lang w:val="zh-CN"/>
        </w:rPr>
        <w:t>151,234.83</w:t>
      </w:r>
      <w:r>
        <w:rPr>
          <w:rFonts w:hint="eastAsia" w:ascii="宋体" w:hAnsi="宋体" w:cs="宋体"/>
          <w:kern w:val="0"/>
          <w:sz w:val="21"/>
          <w:szCs w:val="24"/>
          <w:lang w:val="zh-CN"/>
        </w:rPr>
        <w:t>元。</w:t>
      </w:r>
    </w:p>
    <w:p>
      <w:pPr>
        <w:pStyle w:val="11"/>
        <w:outlineLvl w:val="2"/>
        <w:rPr>
          <w:bCs w:val="0"/>
          <w:szCs w:val="24"/>
        </w:rPr>
      </w:pPr>
      <w:r>
        <w:rPr>
          <w:bCs w:val="0"/>
          <w:szCs w:val="24"/>
        </w:rPr>
        <w:t>33</w:t>
      </w:r>
      <w:r>
        <w:rPr>
          <w:rFonts w:hint="eastAsia"/>
          <w:bCs w:val="0"/>
          <w:szCs w:val="24"/>
        </w:rPr>
        <w:t>、其他综合收益</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694" w:type="dxa"/>
        <w:tblInd w:w="0" w:type="dxa"/>
        <w:tblLayout w:type="fixed"/>
        <w:tblCellMar>
          <w:top w:w="0" w:type="dxa"/>
          <w:left w:w="28" w:type="dxa"/>
          <w:bottom w:w="0" w:type="dxa"/>
          <w:right w:w="28" w:type="dxa"/>
        </w:tblCellMar>
      </w:tblPr>
      <w:tblGrid>
        <w:gridCol w:w="2515"/>
        <w:gridCol w:w="1151"/>
        <w:gridCol w:w="1151"/>
        <w:gridCol w:w="836"/>
        <w:gridCol w:w="617"/>
        <w:gridCol w:w="1159"/>
        <w:gridCol w:w="1001"/>
        <w:gridCol w:w="1264"/>
      </w:tblGrid>
      <w:tr>
        <w:tblPrEx>
          <w:tblLayout w:type="fixed"/>
        </w:tblPrEx>
        <w:tc>
          <w:tcPr>
            <w:tcW w:w="2515"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1151"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期初余额</w:t>
            </w:r>
          </w:p>
        </w:tc>
        <w:tc>
          <w:tcPr>
            <w:tcW w:w="4764" w:type="dxa"/>
            <w:gridSpan w:val="5"/>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本期发生额</w:t>
            </w:r>
          </w:p>
        </w:tc>
        <w:tc>
          <w:tcPr>
            <w:tcW w:w="1264"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r>
      <w:tr>
        <w:tblPrEx>
          <w:tblLayout w:type="fixed"/>
          <w:tblCellMar>
            <w:top w:w="0" w:type="dxa"/>
            <w:left w:w="28" w:type="dxa"/>
            <w:bottom w:w="0" w:type="dxa"/>
            <w:right w:w="28" w:type="dxa"/>
          </w:tblCellMar>
        </w:tblPrEx>
        <w:tc>
          <w:tcPr>
            <w:tcW w:w="2515"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151"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15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本期所得税前发生额</w:t>
            </w:r>
          </w:p>
        </w:tc>
        <w:tc>
          <w:tcPr>
            <w:tcW w:w="83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减：前期计入其他综合收益当期转入损益</w:t>
            </w:r>
          </w:p>
        </w:tc>
        <w:tc>
          <w:tcPr>
            <w:tcW w:w="61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减：所得税费用</w:t>
            </w:r>
          </w:p>
        </w:tc>
        <w:tc>
          <w:tcPr>
            <w:tcW w:w="115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税后归属于母公司</w:t>
            </w:r>
          </w:p>
        </w:tc>
        <w:tc>
          <w:tcPr>
            <w:tcW w:w="100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税后归属于少数股东</w:t>
            </w:r>
          </w:p>
        </w:tc>
        <w:tc>
          <w:tcPr>
            <w:tcW w:w="1264"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r>
      <w:tr>
        <w:tblPrEx>
          <w:tblLayout w:type="fixed"/>
          <w:tblCellMar>
            <w:top w:w="0" w:type="dxa"/>
            <w:left w:w="28" w:type="dxa"/>
            <w:bottom w:w="0" w:type="dxa"/>
            <w:right w:w="28" w:type="dxa"/>
          </w:tblCellMar>
        </w:tblPrEx>
        <w:tc>
          <w:tcPr>
            <w:tcW w:w="251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二、以后将重分类进损益的其他综合收益</w:t>
            </w:r>
          </w:p>
        </w:tc>
        <w:tc>
          <w:tcPr>
            <w:tcW w:w="115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4,112,440.91</w:t>
            </w:r>
          </w:p>
        </w:tc>
        <w:tc>
          <w:tcPr>
            <w:tcW w:w="115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7,114,149.02</w:t>
            </w:r>
          </w:p>
        </w:tc>
        <w:tc>
          <w:tcPr>
            <w:tcW w:w="83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61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159"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6,488,245.37</w:t>
            </w:r>
          </w:p>
        </w:tc>
        <w:tc>
          <w:tcPr>
            <w:tcW w:w="10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625,903.65</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10,600,686.28</w:t>
            </w:r>
          </w:p>
        </w:tc>
      </w:tr>
      <w:tr>
        <w:tblPrEx>
          <w:tblLayout w:type="fixed"/>
          <w:tblCellMar>
            <w:top w:w="0" w:type="dxa"/>
            <w:left w:w="28" w:type="dxa"/>
            <w:bottom w:w="0" w:type="dxa"/>
            <w:right w:w="28" w:type="dxa"/>
          </w:tblCellMar>
        </w:tblPrEx>
        <w:tc>
          <w:tcPr>
            <w:tcW w:w="251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外币财务报表折算差额</w:t>
            </w:r>
          </w:p>
        </w:tc>
        <w:tc>
          <w:tcPr>
            <w:tcW w:w="115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4,112,440.91</w:t>
            </w:r>
          </w:p>
        </w:tc>
        <w:tc>
          <w:tcPr>
            <w:tcW w:w="115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7,114,149.02</w:t>
            </w:r>
          </w:p>
        </w:tc>
        <w:tc>
          <w:tcPr>
            <w:tcW w:w="83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61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159"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6,488,245.37</w:t>
            </w:r>
          </w:p>
        </w:tc>
        <w:tc>
          <w:tcPr>
            <w:tcW w:w="10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625,903.65</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10,600,686.28</w:t>
            </w:r>
          </w:p>
        </w:tc>
      </w:tr>
      <w:tr>
        <w:tblPrEx>
          <w:tblLayout w:type="fixed"/>
          <w:tblCellMar>
            <w:top w:w="0" w:type="dxa"/>
            <w:left w:w="28" w:type="dxa"/>
            <w:bottom w:w="0" w:type="dxa"/>
            <w:right w:w="28" w:type="dxa"/>
          </w:tblCellMar>
        </w:tblPrEx>
        <w:tc>
          <w:tcPr>
            <w:tcW w:w="251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其他综合收益合计</w:t>
            </w:r>
          </w:p>
        </w:tc>
        <w:tc>
          <w:tcPr>
            <w:tcW w:w="1151"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4,112,440.91</w:t>
            </w:r>
          </w:p>
        </w:tc>
        <w:tc>
          <w:tcPr>
            <w:tcW w:w="115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7,114,149.02</w:t>
            </w:r>
          </w:p>
        </w:tc>
        <w:tc>
          <w:tcPr>
            <w:tcW w:w="83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61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159"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6,488,245.37</w:t>
            </w:r>
          </w:p>
        </w:tc>
        <w:tc>
          <w:tcPr>
            <w:tcW w:w="1001"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625,903.65</w:t>
            </w:r>
          </w:p>
        </w:tc>
        <w:tc>
          <w:tcPr>
            <w:tcW w:w="1264"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10,600,686.28</w:t>
            </w:r>
          </w:p>
        </w:tc>
      </w:tr>
    </w:tbl>
    <w:p>
      <w:pPr>
        <w:pStyle w:val="11"/>
        <w:outlineLvl w:val="2"/>
        <w:rPr>
          <w:bCs w:val="0"/>
          <w:szCs w:val="24"/>
        </w:rPr>
      </w:pPr>
      <w:r>
        <w:rPr>
          <w:bCs w:val="0"/>
          <w:szCs w:val="24"/>
        </w:rPr>
        <w:t>34</w:t>
      </w:r>
      <w:r>
        <w:rPr>
          <w:rFonts w:hint="eastAsia"/>
          <w:bCs w:val="0"/>
          <w:szCs w:val="24"/>
        </w:rPr>
        <w:t>、盈余公积</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570" w:type="dxa"/>
        <w:tblInd w:w="28" w:type="dxa"/>
        <w:tblLayout w:type="fixed"/>
        <w:tblCellMar>
          <w:top w:w="0" w:type="dxa"/>
          <w:left w:w="28" w:type="dxa"/>
          <w:bottom w:w="0" w:type="dxa"/>
          <w:right w:w="28" w:type="dxa"/>
        </w:tblCellMar>
      </w:tblPr>
      <w:tblGrid>
        <w:gridCol w:w="1912"/>
        <w:gridCol w:w="1916"/>
        <w:gridCol w:w="1914"/>
        <w:gridCol w:w="1914"/>
        <w:gridCol w:w="1914"/>
      </w:tblGrid>
      <w:tr>
        <w:tblPrEx>
          <w:tblLayout w:type="fixed"/>
          <w:tblCellMar>
            <w:top w:w="0" w:type="dxa"/>
            <w:left w:w="28" w:type="dxa"/>
            <w:bottom w:w="0" w:type="dxa"/>
            <w:right w:w="28" w:type="dxa"/>
          </w:tblCellMar>
        </w:tblPrEx>
        <w:tc>
          <w:tcPr>
            <w:tcW w:w="191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191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期初余额</w:t>
            </w:r>
          </w:p>
        </w:tc>
        <w:tc>
          <w:tcPr>
            <w:tcW w:w="191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本期增加</w:t>
            </w:r>
          </w:p>
        </w:tc>
        <w:tc>
          <w:tcPr>
            <w:tcW w:w="191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本期减少</w:t>
            </w:r>
          </w:p>
        </w:tc>
        <w:tc>
          <w:tcPr>
            <w:tcW w:w="191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r>
      <w:tr>
        <w:tblPrEx>
          <w:tblLayout w:type="fixed"/>
          <w:tblCellMar>
            <w:top w:w="0" w:type="dxa"/>
            <w:left w:w="28" w:type="dxa"/>
            <w:bottom w:w="0" w:type="dxa"/>
            <w:right w:w="28" w:type="dxa"/>
          </w:tblCellMar>
        </w:tblPrEx>
        <w:tc>
          <w:tcPr>
            <w:tcW w:w="191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法定盈余公积</w:t>
            </w:r>
          </w:p>
        </w:tc>
        <w:tc>
          <w:tcPr>
            <w:tcW w:w="191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13,974,525.93</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4,281,941.84</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18,256,467.77</w:t>
            </w:r>
          </w:p>
        </w:tc>
      </w:tr>
      <w:tr>
        <w:tblPrEx>
          <w:tblLayout w:type="fixed"/>
          <w:tblCellMar>
            <w:top w:w="0" w:type="dxa"/>
            <w:left w:w="28" w:type="dxa"/>
            <w:bottom w:w="0" w:type="dxa"/>
            <w:right w:w="28" w:type="dxa"/>
          </w:tblCellMar>
        </w:tblPrEx>
        <w:tc>
          <w:tcPr>
            <w:tcW w:w="191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1916"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13,974,525.93</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4,281,941.84</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914"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18,256,467.77</w:t>
            </w:r>
          </w:p>
        </w:tc>
      </w:tr>
    </w:tbl>
    <w:p>
      <w:pPr>
        <w:jc w:val="left"/>
        <w:rPr>
          <w:sz w:val="21"/>
          <w:szCs w:val="21"/>
        </w:rPr>
      </w:pPr>
      <w:r>
        <w:rPr>
          <w:rFonts w:hint="eastAsia"/>
          <w:sz w:val="21"/>
          <w:szCs w:val="21"/>
        </w:rPr>
        <w:t>盈余公积说明，包括本期增减变动情况、变动原因说明：</w:t>
      </w:r>
    </w:p>
    <w:p>
      <w:pPr>
        <w:pStyle w:val="11"/>
        <w:outlineLvl w:val="2"/>
        <w:rPr>
          <w:bCs w:val="0"/>
          <w:szCs w:val="24"/>
        </w:rPr>
      </w:pPr>
      <w:r>
        <w:rPr>
          <w:bCs w:val="0"/>
          <w:szCs w:val="24"/>
        </w:rPr>
        <w:t>35</w:t>
      </w:r>
      <w:r>
        <w:rPr>
          <w:rFonts w:hint="eastAsia"/>
          <w:bCs w:val="0"/>
          <w:szCs w:val="24"/>
        </w:rPr>
        <w:t>、未分配利润</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694" w:type="dxa"/>
        <w:tblInd w:w="0" w:type="dxa"/>
        <w:tblLayout w:type="fixed"/>
        <w:tblCellMar>
          <w:top w:w="0" w:type="dxa"/>
          <w:left w:w="28" w:type="dxa"/>
          <w:bottom w:w="0" w:type="dxa"/>
          <w:right w:w="28" w:type="dxa"/>
        </w:tblCellMar>
      </w:tblPr>
      <w:tblGrid>
        <w:gridCol w:w="3775"/>
        <w:gridCol w:w="2962"/>
        <w:gridCol w:w="2957"/>
      </w:tblGrid>
      <w:tr>
        <w:tblPrEx>
          <w:tblLayout w:type="fixed"/>
          <w:tblCellMar>
            <w:top w:w="0" w:type="dxa"/>
            <w:left w:w="28" w:type="dxa"/>
            <w:bottom w:w="0" w:type="dxa"/>
            <w:right w:w="28" w:type="dxa"/>
          </w:tblCellMar>
        </w:tblPrEx>
        <w:tc>
          <w:tcPr>
            <w:tcW w:w="377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296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w:t>
            </w:r>
          </w:p>
        </w:tc>
        <w:tc>
          <w:tcPr>
            <w:tcW w:w="295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上期</w:t>
            </w:r>
          </w:p>
        </w:tc>
      </w:tr>
      <w:tr>
        <w:tblPrEx>
          <w:tblLayout w:type="fixed"/>
          <w:tblCellMar>
            <w:top w:w="0" w:type="dxa"/>
            <w:left w:w="28" w:type="dxa"/>
            <w:bottom w:w="0" w:type="dxa"/>
            <w:right w:w="28" w:type="dxa"/>
          </w:tblCellMar>
        </w:tblPrEx>
        <w:tc>
          <w:tcPr>
            <w:tcW w:w="377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调整前上期末未分配利润</w:t>
            </w:r>
          </w:p>
        </w:tc>
        <w:tc>
          <w:tcPr>
            <w:tcW w:w="296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129,390,199.83</w:t>
            </w:r>
          </w:p>
        </w:tc>
        <w:tc>
          <w:tcPr>
            <w:tcW w:w="295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85,952,030.35</w:t>
            </w:r>
          </w:p>
        </w:tc>
      </w:tr>
      <w:tr>
        <w:tblPrEx>
          <w:tblLayout w:type="fixed"/>
          <w:tblCellMar>
            <w:top w:w="0" w:type="dxa"/>
            <w:left w:w="28" w:type="dxa"/>
            <w:bottom w:w="0" w:type="dxa"/>
            <w:right w:w="28" w:type="dxa"/>
          </w:tblCellMar>
        </w:tblPrEx>
        <w:tc>
          <w:tcPr>
            <w:tcW w:w="377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调整后期初未分配利润</w:t>
            </w:r>
          </w:p>
        </w:tc>
        <w:tc>
          <w:tcPr>
            <w:tcW w:w="2962"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129,390,199.83</w:t>
            </w:r>
          </w:p>
        </w:tc>
        <w:tc>
          <w:tcPr>
            <w:tcW w:w="295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85,952,030.35</w:t>
            </w:r>
          </w:p>
        </w:tc>
      </w:tr>
      <w:tr>
        <w:tblPrEx>
          <w:tblLayout w:type="fixed"/>
          <w:tblCellMar>
            <w:top w:w="0" w:type="dxa"/>
            <w:left w:w="28" w:type="dxa"/>
            <w:bottom w:w="0" w:type="dxa"/>
            <w:right w:w="28" w:type="dxa"/>
          </w:tblCellMar>
        </w:tblPrEx>
        <w:tc>
          <w:tcPr>
            <w:tcW w:w="377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加：本期归属于母公司所有者的净利润</w:t>
            </w:r>
          </w:p>
        </w:tc>
        <w:tc>
          <w:tcPr>
            <w:tcW w:w="296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81,983,493.18</w:t>
            </w:r>
          </w:p>
        </w:tc>
        <w:tc>
          <w:tcPr>
            <w:tcW w:w="295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35,429,529.71</w:t>
            </w:r>
          </w:p>
        </w:tc>
      </w:tr>
      <w:tr>
        <w:tblPrEx>
          <w:tblLayout w:type="fixed"/>
          <w:tblCellMar>
            <w:top w:w="0" w:type="dxa"/>
            <w:left w:w="28" w:type="dxa"/>
            <w:bottom w:w="0" w:type="dxa"/>
            <w:right w:w="28" w:type="dxa"/>
          </w:tblCellMar>
        </w:tblPrEx>
        <w:tc>
          <w:tcPr>
            <w:tcW w:w="377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减：提取法定盈余公积</w:t>
            </w:r>
          </w:p>
        </w:tc>
        <w:tc>
          <w:tcPr>
            <w:tcW w:w="296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4,281,941.84</w:t>
            </w:r>
          </w:p>
        </w:tc>
        <w:tc>
          <w:tcPr>
            <w:tcW w:w="295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3,428,150.01</w:t>
            </w:r>
          </w:p>
        </w:tc>
      </w:tr>
      <w:tr>
        <w:tblPrEx>
          <w:tblLayout w:type="fixed"/>
          <w:tblCellMar>
            <w:top w:w="0" w:type="dxa"/>
            <w:left w:w="28" w:type="dxa"/>
            <w:bottom w:w="0" w:type="dxa"/>
            <w:right w:w="28" w:type="dxa"/>
          </w:tblCellMar>
        </w:tblPrEx>
        <w:tc>
          <w:tcPr>
            <w:tcW w:w="377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应付普通股股利</w:t>
            </w:r>
          </w:p>
        </w:tc>
        <w:tc>
          <w:tcPr>
            <w:tcW w:w="296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7,246,819.43</w:t>
            </w:r>
          </w:p>
        </w:tc>
        <w:tc>
          <w:tcPr>
            <w:tcW w:w="295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6,315,178.20</w:t>
            </w:r>
          </w:p>
        </w:tc>
      </w:tr>
      <w:tr>
        <w:tblPrEx>
          <w:tblLayout w:type="fixed"/>
          <w:tblCellMar>
            <w:top w:w="0" w:type="dxa"/>
            <w:left w:w="28" w:type="dxa"/>
            <w:bottom w:w="0" w:type="dxa"/>
            <w:right w:w="28" w:type="dxa"/>
          </w:tblCellMar>
        </w:tblPrEx>
        <w:tc>
          <w:tcPr>
            <w:tcW w:w="377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期末未分配利润</w:t>
            </w:r>
          </w:p>
        </w:tc>
        <w:tc>
          <w:tcPr>
            <w:tcW w:w="2962"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199,844,931.74</w:t>
            </w:r>
          </w:p>
        </w:tc>
        <w:tc>
          <w:tcPr>
            <w:tcW w:w="295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129,390,199.83</w:t>
            </w:r>
          </w:p>
        </w:tc>
      </w:tr>
    </w:tbl>
    <w:p>
      <w:pPr>
        <w:pStyle w:val="11"/>
        <w:outlineLvl w:val="2"/>
        <w:rPr>
          <w:bCs w:val="0"/>
          <w:szCs w:val="24"/>
        </w:rPr>
      </w:pPr>
      <w:r>
        <w:rPr>
          <w:bCs w:val="0"/>
          <w:szCs w:val="24"/>
        </w:rPr>
        <w:t>36</w:t>
      </w:r>
      <w:r>
        <w:rPr>
          <w:rFonts w:hint="eastAsia"/>
          <w:bCs w:val="0"/>
          <w:szCs w:val="24"/>
        </w:rPr>
        <w:t>、营业收入和营业成本</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694" w:type="dxa"/>
        <w:tblInd w:w="0" w:type="dxa"/>
        <w:tblLayout w:type="fixed"/>
        <w:tblCellMar>
          <w:top w:w="0" w:type="dxa"/>
          <w:left w:w="28" w:type="dxa"/>
          <w:bottom w:w="0" w:type="dxa"/>
          <w:right w:w="28" w:type="dxa"/>
        </w:tblCellMar>
      </w:tblPr>
      <w:tblGrid>
        <w:gridCol w:w="1936"/>
        <w:gridCol w:w="1941"/>
        <w:gridCol w:w="1939"/>
        <w:gridCol w:w="1939"/>
        <w:gridCol w:w="1939"/>
      </w:tblGrid>
      <w:tr>
        <w:tblPrEx>
          <w:tblLayout w:type="fixed"/>
          <w:tblCellMar>
            <w:top w:w="0" w:type="dxa"/>
            <w:left w:w="28" w:type="dxa"/>
            <w:bottom w:w="0" w:type="dxa"/>
            <w:right w:w="28" w:type="dxa"/>
          </w:tblCellMar>
        </w:tblPrEx>
        <w:tc>
          <w:tcPr>
            <w:tcW w:w="1936"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3880"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本期发生额</w:t>
            </w:r>
          </w:p>
        </w:tc>
        <w:tc>
          <w:tcPr>
            <w:tcW w:w="3878"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上期发生额</w:t>
            </w:r>
          </w:p>
        </w:tc>
      </w:tr>
      <w:tr>
        <w:tblPrEx>
          <w:tblLayout w:type="fixed"/>
          <w:tblCellMar>
            <w:top w:w="0" w:type="dxa"/>
            <w:left w:w="28" w:type="dxa"/>
            <w:bottom w:w="0" w:type="dxa"/>
            <w:right w:w="28" w:type="dxa"/>
          </w:tblCellMar>
        </w:tblPrEx>
        <w:tc>
          <w:tcPr>
            <w:tcW w:w="1936"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94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收入</w:t>
            </w:r>
          </w:p>
        </w:tc>
        <w:tc>
          <w:tcPr>
            <w:tcW w:w="193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成本</w:t>
            </w:r>
          </w:p>
        </w:tc>
        <w:tc>
          <w:tcPr>
            <w:tcW w:w="193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收入</w:t>
            </w:r>
          </w:p>
        </w:tc>
        <w:tc>
          <w:tcPr>
            <w:tcW w:w="193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成本</w:t>
            </w:r>
          </w:p>
        </w:tc>
      </w:tr>
      <w:tr>
        <w:tblPrEx>
          <w:tblLayout w:type="fixed"/>
          <w:tblCellMar>
            <w:top w:w="0" w:type="dxa"/>
            <w:left w:w="28" w:type="dxa"/>
            <w:bottom w:w="0" w:type="dxa"/>
            <w:right w:w="28" w:type="dxa"/>
          </w:tblCellMar>
        </w:tblPrEx>
        <w:tc>
          <w:tcPr>
            <w:tcW w:w="193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主营业务</w:t>
            </w:r>
          </w:p>
        </w:tc>
        <w:tc>
          <w:tcPr>
            <w:tcW w:w="194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707,517,826.39</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433,929,832.71</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324,251,392.69</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215,978,357.52</w:t>
            </w:r>
          </w:p>
        </w:tc>
      </w:tr>
      <w:tr>
        <w:tblPrEx>
          <w:tblLayout w:type="fixed"/>
          <w:tblCellMar>
            <w:top w:w="0" w:type="dxa"/>
            <w:left w:w="28" w:type="dxa"/>
            <w:bottom w:w="0" w:type="dxa"/>
            <w:right w:w="28" w:type="dxa"/>
          </w:tblCellMar>
        </w:tblPrEx>
        <w:tc>
          <w:tcPr>
            <w:tcW w:w="193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其他业务</w:t>
            </w:r>
          </w:p>
        </w:tc>
        <w:tc>
          <w:tcPr>
            <w:tcW w:w="194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9,052,102.77</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1,343,192.06</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3,561,117.80</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1,109,151.97</w:t>
            </w:r>
          </w:p>
        </w:tc>
      </w:tr>
      <w:tr>
        <w:tblPrEx>
          <w:tblLayout w:type="fixed"/>
          <w:tblCellMar>
            <w:top w:w="0" w:type="dxa"/>
            <w:left w:w="28" w:type="dxa"/>
            <w:bottom w:w="0" w:type="dxa"/>
            <w:right w:w="28" w:type="dxa"/>
          </w:tblCellMar>
        </w:tblPrEx>
        <w:tc>
          <w:tcPr>
            <w:tcW w:w="193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194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716,569,929.16</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435,273,024.77</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327,812,510.49</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217,087,509.49</w:t>
            </w:r>
          </w:p>
        </w:tc>
      </w:tr>
    </w:tbl>
    <w:p>
      <w:pPr>
        <w:pStyle w:val="11"/>
        <w:outlineLvl w:val="2"/>
        <w:rPr>
          <w:bCs w:val="0"/>
          <w:szCs w:val="24"/>
        </w:rPr>
      </w:pPr>
      <w:r>
        <w:rPr>
          <w:bCs w:val="0"/>
          <w:szCs w:val="24"/>
        </w:rPr>
        <w:t>37</w:t>
      </w:r>
      <w:r>
        <w:rPr>
          <w:rFonts w:hint="eastAsia"/>
          <w:bCs w:val="0"/>
          <w:szCs w:val="24"/>
        </w:rPr>
        <w:t>、税金及附加</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569" w:type="dxa"/>
        <w:tblInd w:w="28" w:type="dxa"/>
        <w:tblLayout w:type="fixed"/>
        <w:tblCellMar>
          <w:top w:w="0" w:type="dxa"/>
          <w:left w:w="28" w:type="dxa"/>
          <w:bottom w:w="0" w:type="dxa"/>
          <w:right w:w="28" w:type="dxa"/>
        </w:tblCellMar>
      </w:tblPr>
      <w:tblGrid>
        <w:gridCol w:w="3187"/>
        <w:gridCol w:w="3193"/>
        <w:gridCol w:w="3189"/>
      </w:tblGrid>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319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本期发生额</w:t>
            </w:r>
          </w:p>
        </w:tc>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上期发生额</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城市维护建设税</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1,152,779.79</w:t>
            </w: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730,337.62</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教育费附加</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495,838.09</w:t>
            </w: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314,613.33</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房产税</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243,877.22</w:t>
            </w: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土地使用税</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113,528.84</w:t>
            </w: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印花税</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162,338.76</w:t>
            </w: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地方教育费附加</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330,108.70</w:t>
            </w: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209,742.20</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营业税</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67,167.76</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3193"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2,498,471.40</w:t>
            </w:r>
          </w:p>
        </w:tc>
        <w:tc>
          <w:tcPr>
            <w:tcW w:w="3189"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1,321,860.91</w:t>
            </w:r>
          </w:p>
        </w:tc>
      </w:tr>
    </w:tbl>
    <w:p>
      <w:pPr>
        <w:pStyle w:val="11"/>
        <w:outlineLvl w:val="2"/>
        <w:rPr>
          <w:bCs w:val="0"/>
          <w:szCs w:val="24"/>
        </w:rPr>
      </w:pPr>
      <w:r>
        <w:rPr>
          <w:bCs w:val="0"/>
          <w:szCs w:val="24"/>
        </w:rPr>
        <w:t>38</w:t>
      </w:r>
      <w:r>
        <w:rPr>
          <w:rFonts w:hint="eastAsia"/>
          <w:bCs w:val="0"/>
          <w:szCs w:val="24"/>
        </w:rPr>
        <w:t>、销售费用</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694" w:type="dxa"/>
        <w:tblInd w:w="0" w:type="dxa"/>
        <w:tblLayout w:type="fixed"/>
        <w:tblCellMar>
          <w:top w:w="0" w:type="dxa"/>
          <w:left w:w="28" w:type="dxa"/>
          <w:bottom w:w="0" w:type="dxa"/>
          <w:right w:w="28" w:type="dxa"/>
        </w:tblCellMar>
      </w:tblPr>
      <w:tblGrid>
        <w:gridCol w:w="3230"/>
        <w:gridCol w:w="3232"/>
        <w:gridCol w:w="3232"/>
      </w:tblGrid>
      <w:tr>
        <w:tblPrEx>
          <w:tblLayout w:type="fixed"/>
          <w:tblCellMar>
            <w:top w:w="0" w:type="dxa"/>
            <w:left w:w="28" w:type="dxa"/>
            <w:bottom w:w="0" w:type="dxa"/>
            <w:right w:w="28" w:type="dxa"/>
          </w:tblCellMar>
        </w:tblPrEx>
        <w:tc>
          <w:tcPr>
            <w:tcW w:w="323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323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本期发生额</w:t>
            </w:r>
          </w:p>
        </w:tc>
        <w:tc>
          <w:tcPr>
            <w:tcW w:w="323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上期发生额</w:t>
            </w:r>
          </w:p>
        </w:tc>
      </w:tr>
      <w:tr>
        <w:tblPrEx>
          <w:tblLayout w:type="fixed"/>
          <w:tblCellMar>
            <w:top w:w="0" w:type="dxa"/>
            <w:left w:w="28" w:type="dxa"/>
            <w:bottom w:w="0" w:type="dxa"/>
            <w:right w:w="28" w:type="dxa"/>
          </w:tblCellMar>
        </w:tblPrEx>
        <w:tc>
          <w:tcPr>
            <w:tcW w:w="323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职工薪酬</w:t>
            </w:r>
          </w:p>
        </w:tc>
        <w:tc>
          <w:tcPr>
            <w:tcW w:w="323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24,989,593.29</w:t>
            </w:r>
          </w:p>
        </w:tc>
        <w:tc>
          <w:tcPr>
            <w:tcW w:w="323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9,924,568.18</w:t>
            </w:r>
          </w:p>
        </w:tc>
      </w:tr>
      <w:tr>
        <w:tblPrEx>
          <w:tblLayout w:type="fixed"/>
          <w:tblCellMar>
            <w:top w:w="0" w:type="dxa"/>
            <w:left w:w="28" w:type="dxa"/>
            <w:bottom w:w="0" w:type="dxa"/>
            <w:right w:w="28" w:type="dxa"/>
          </w:tblCellMar>
        </w:tblPrEx>
        <w:tc>
          <w:tcPr>
            <w:tcW w:w="323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售后维护费</w:t>
            </w:r>
          </w:p>
        </w:tc>
        <w:tc>
          <w:tcPr>
            <w:tcW w:w="323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15,428,733.25</w:t>
            </w:r>
          </w:p>
        </w:tc>
        <w:tc>
          <w:tcPr>
            <w:tcW w:w="323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6,367,004.20</w:t>
            </w:r>
          </w:p>
        </w:tc>
      </w:tr>
      <w:tr>
        <w:tblPrEx>
          <w:tblLayout w:type="fixed"/>
          <w:tblCellMar>
            <w:top w:w="0" w:type="dxa"/>
            <w:left w:w="28" w:type="dxa"/>
            <w:bottom w:w="0" w:type="dxa"/>
            <w:right w:w="28" w:type="dxa"/>
          </w:tblCellMar>
        </w:tblPrEx>
        <w:tc>
          <w:tcPr>
            <w:tcW w:w="323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咨询费</w:t>
            </w:r>
          </w:p>
        </w:tc>
        <w:tc>
          <w:tcPr>
            <w:tcW w:w="323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11,967,693.65</w:t>
            </w:r>
          </w:p>
        </w:tc>
        <w:tc>
          <w:tcPr>
            <w:tcW w:w="323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609,571.70</w:t>
            </w:r>
          </w:p>
        </w:tc>
      </w:tr>
      <w:tr>
        <w:tblPrEx>
          <w:tblLayout w:type="fixed"/>
          <w:tblCellMar>
            <w:top w:w="0" w:type="dxa"/>
            <w:left w:w="28" w:type="dxa"/>
            <w:bottom w:w="0" w:type="dxa"/>
            <w:right w:w="28" w:type="dxa"/>
          </w:tblCellMar>
        </w:tblPrEx>
        <w:tc>
          <w:tcPr>
            <w:tcW w:w="323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运输费、邮电费、报关费</w:t>
            </w:r>
          </w:p>
        </w:tc>
        <w:tc>
          <w:tcPr>
            <w:tcW w:w="323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9,479,391.45</w:t>
            </w:r>
          </w:p>
        </w:tc>
        <w:tc>
          <w:tcPr>
            <w:tcW w:w="323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2,367,010.96</w:t>
            </w:r>
          </w:p>
        </w:tc>
      </w:tr>
      <w:tr>
        <w:tblPrEx>
          <w:tblLayout w:type="fixed"/>
          <w:tblCellMar>
            <w:top w:w="0" w:type="dxa"/>
            <w:left w:w="28" w:type="dxa"/>
            <w:bottom w:w="0" w:type="dxa"/>
            <w:right w:w="28" w:type="dxa"/>
          </w:tblCellMar>
        </w:tblPrEx>
        <w:tc>
          <w:tcPr>
            <w:tcW w:w="323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差旅费</w:t>
            </w:r>
          </w:p>
        </w:tc>
        <w:tc>
          <w:tcPr>
            <w:tcW w:w="323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9,433,205.37</w:t>
            </w:r>
          </w:p>
        </w:tc>
        <w:tc>
          <w:tcPr>
            <w:tcW w:w="323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3,973,885.62</w:t>
            </w:r>
          </w:p>
        </w:tc>
      </w:tr>
      <w:tr>
        <w:tblPrEx>
          <w:tblLayout w:type="fixed"/>
          <w:tblCellMar>
            <w:top w:w="0" w:type="dxa"/>
            <w:left w:w="28" w:type="dxa"/>
            <w:bottom w:w="0" w:type="dxa"/>
            <w:right w:w="28" w:type="dxa"/>
          </w:tblCellMar>
        </w:tblPrEx>
        <w:tc>
          <w:tcPr>
            <w:tcW w:w="323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业务招待费</w:t>
            </w:r>
          </w:p>
        </w:tc>
        <w:tc>
          <w:tcPr>
            <w:tcW w:w="323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4,253,536.84</w:t>
            </w:r>
          </w:p>
        </w:tc>
        <w:tc>
          <w:tcPr>
            <w:tcW w:w="323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3,131,191.82</w:t>
            </w:r>
          </w:p>
        </w:tc>
      </w:tr>
      <w:tr>
        <w:tblPrEx>
          <w:tblLayout w:type="fixed"/>
          <w:tblCellMar>
            <w:top w:w="0" w:type="dxa"/>
            <w:left w:w="28" w:type="dxa"/>
            <w:bottom w:w="0" w:type="dxa"/>
            <w:right w:w="28" w:type="dxa"/>
          </w:tblCellMar>
        </w:tblPrEx>
        <w:tc>
          <w:tcPr>
            <w:tcW w:w="323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办公费</w:t>
            </w:r>
          </w:p>
        </w:tc>
        <w:tc>
          <w:tcPr>
            <w:tcW w:w="323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2,719,573.58</w:t>
            </w:r>
          </w:p>
        </w:tc>
        <w:tc>
          <w:tcPr>
            <w:tcW w:w="323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1,126,258.13</w:t>
            </w:r>
          </w:p>
        </w:tc>
      </w:tr>
      <w:tr>
        <w:tblPrEx>
          <w:tblLayout w:type="fixed"/>
          <w:tblCellMar>
            <w:top w:w="0" w:type="dxa"/>
            <w:left w:w="28" w:type="dxa"/>
            <w:bottom w:w="0" w:type="dxa"/>
            <w:right w:w="28" w:type="dxa"/>
          </w:tblCellMar>
        </w:tblPrEx>
        <w:tc>
          <w:tcPr>
            <w:tcW w:w="323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认证检验费</w:t>
            </w:r>
          </w:p>
        </w:tc>
        <w:tc>
          <w:tcPr>
            <w:tcW w:w="323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162,528.31</w:t>
            </w:r>
          </w:p>
        </w:tc>
        <w:tc>
          <w:tcPr>
            <w:tcW w:w="323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24,743.49</w:t>
            </w:r>
          </w:p>
        </w:tc>
      </w:tr>
      <w:tr>
        <w:tblPrEx>
          <w:tblLayout w:type="fixed"/>
          <w:tblCellMar>
            <w:top w:w="0" w:type="dxa"/>
            <w:left w:w="28" w:type="dxa"/>
            <w:bottom w:w="0" w:type="dxa"/>
            <w:right w:w="28" w:type="dxa"/>
          </w:tblCellMar>
        </w:tblPrEx>
        <w:tc>
          <w:tcPr>
            <w:tcW w:w="323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会务费</w:t>
            </w:r>
          </w:p>
        </w:tc>
        <w:tc>
          <w:tcPr>
            <w:tcW w:w="323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899,142.48</w:t>
            </w:r>
          </w:p>
        </w:tc>
        <w:tc>
          <w:tcPr>
            <w:tcW w:w="323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654,772.05</w:t>
            </w:r>
          </w:p>
        </w:tc>
      </w:tr>
      <w:tr>
        <w:tblPrEx>
          <w:tblLayout w:type="fixed"/>
          <w:tblCellMar>
            <w:top w:w="0" w:type="dxa"/>
            <w:left w:w="28" w:type="dxa"/>
            <w:bottom w:w="0" w:type="dxa"/>
            <w:right w:w="28" w:type="dxa"/>
          </w:tblCellMar>
        </w:tblPrEx>
        <w:tc>
          <w:tcPr>
            <w:tcW w:w="323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折旧费</w:t>
            </w:r>
          </w:p>
        </w:tc>
        <w:tc>
          <w:tcPr>
            <w:tcW w:w="323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577,690.98</w:t>
            </w:r>
          </w:p>
        </w:tc>
        <w:tc>
          <w:tcPr>
            <w:tcW w:w="323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674,652.55</w:t>
            </w:r>
          </w:p>
        </w:tc>
      </w:tr>
      <w:tr>
        <w:tblPrEx>
          <w:tblLayout w:type="fixed"/>
          <w:tblCellMar>
            <w:top w:w="0" w:type="dxa"/>
            <w:left w:w="28" w:type="dxa"/>
            <w:bottom w:w="0" w:type="dxa"/>
            <w:right w:w="28" w:type="dxa"/>
          </w:tblCellMar>
        </w:tblPrEx>
        <w:tc>
          <w:tcPr>
            <w:tcW w:w="323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宣传展览费</w:t>
            </w:r>
          </w:p>
        </w:tc>
        <w:tc>
          <w:tcPr>
            <w:tcW w:w="323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555,414.80</w:t>
            </w:r>
          </w:p>
        </w:tc>
        <w:tc>
          <w:tcPr>
            <w:tcW w:w="323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1,182,229.64</w:t>
            </w:r>
          </w:p>
        </w:tc>
      </w:tr>
      <w:tr>
        <w:tblPrEx>
          <w:tblLayout w:type="fixed"/>
          <w:tblCellMar>
            <w:top w:w="0" w:type="dxa"/>
            <w:left w:w="28" w:type="dxa"/>
            <w:bottom w:w="0" w:type="dxa"/>
            <w:right w:w="28" w:type="dxa"/>
          </w:tblCellMar>
        </w:tblPrEx>
        <w:tc>
          <w:tcPr>
            <w:tcW w:w="323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销售佣金</w:t>
            </w:r>
          </w:p>
        </w:tc>
        <w:tc>
          <w:tcPr>
            <w:tcW w:w="323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554,022.50</w:t>
            </w:r>
          </w:p>
        </w:tc>
        <w:tc>
          <w:tcPr>
            <w:tcW w:w="323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592,214.30</w:t>
            </w:r>
          </w:p>
        </w:tc>
      </w:tr>
      <w:tr>
        <w:tblPrEx>
          <w:tblLayout w:type="fixed"/>
          <w:tblCellMar>
            <w:top w:w="0" w:type="dxa"/>
            <w:left w:w="28" w:type="dxa"/>
            <w:bottom w:w="0" w:type="dxa"/>
            <w:right w:w="28" w:type="dxa"/>
          </w:tblCellMar>
        </w:tblPrEx>
        <w:tc>
          <w:tcPr>
            <w:tcW w:w="323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房租物业费</w:t>
            </w:r>
          </w:p>
        </w:tc>
        <w:tc>
          <w:tcPr>
            <w:tcW w:w="323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549,309.90</w:t>
            </w:r>
          </w:p>
        </w:tc>
        <w:tc>
          <w:tcPr>
            <w:tcW w:w="323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269,342.59</w:t>
            </w:r>
          </w:p>
        </w:tc>
      </w:tr>
      <w:tr>
        <w:tblPrEx>
          <w:tblLayout w:type="fixed"/>
          <w:tblCellMar>
            <w:top w:w="0" w:type="dxa"/>
            <w:left w:w="28" w:type="dxa"/>
            <w:bottom w:w="0" w:type="dxa"/>
            <w:right w:w="28" w:type="dxa"/>
          </w:tblCellMar>
        </w:tblPrEx>
        <w:tc>
          <w:tcPr>
            <w:tcW w:w="323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其他</w:t>
            </w:r>
          </w:p>
        </w:tc>
        <w:tc>
          <w:tcPr>
            <w:tcW w:w="323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4,238,507.70</w:t>
            </w:r>
          </w:p>
        </w:tc>
        <w:tc>
          <w:tcPr>
            <w:tcW w:w="323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1,215,997.21</w:t>
            </w:r>
          </w:p>
        </w:tc>
      </w:tr>
      <w:tr>
        <w:tblPrEx>
          <w:tblLayout w:type="fixed"/>
          <w:tblCellMar>
            <w:top w:w="0" w:type="dxa"/>
            <w:left w:w="28" w:type="dxa"/>
            <w:bottom w:w="0" w:type="dxa"/>
            <w:right w:w="28" w:type="dxa"/>
          </w:tblCellMar>
        </w:tblPrEx>
        <w:tc>
          <w:tcPr>
            <w:tcW w:w="323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3232"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85,808,344.10</w:t>
            </w:r>
          </w:p>
        </w:tc>
        <w:tc>
          <w:tcPr>
            <w:tcW w:w="3232"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32,113,442.44</w:t>
            </w:r>
          </w:p>
        </w:tc>
      </w:tr>
    </w:tbl>
    <w:p>
      <w:pPr>
        <w:jc w:val="left"/>
        <w:rPr>
          <w:sz w:val="21"/>
          <w:szCs w:val="21"/>
        </w:rPr>
      </w:pPr>
      <w:r>
        <w:rPr>
          <w:rFonts w:hint="eastAsia"/>
          <w:sz w:val="21"/>
          <w:szCs w:val="21"/>
        </w:rPr>
        <w:t>其他说明：</w:t>
      </w:r>
    </w:p>
    <w:p>
      <w:pPr>
        <w:pStyle w:val="11"/>
        <w:outlineLvl w:val="2"/>
        <w:rPr>
          <w:bCs w:val="0"/>
          <w:szCs w:val="24"/>
        </w:rPr>
      </w:pPr>
      <w:r>
        <w:rPr>
          <w:bCs w:val="0"/>
          <w:szCs w:val="24"/>
        </w:rPr>
        <w:t>39</w:t>
      </w:r>
      <w:r>
        <w:rPr>
          <w:rFonts w:hint="eastAsia"/>
          <w:bCs w:val="0"/>
          <w:szCs w:val="24"/>
        </w:rPr>
        <w:t>、管理费用</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569" w:type="dxa"/>
        <w:tblInd w:w="28" w:type="dxa"/>
        <w:tblLayout w:type="fixed"/>
        <w:tblCellMar>
          <w:top w:w="0" w:type="dxa"/>
          <w:left w:w="28" w:type="dxa"/>
          <w:bottom w:w="0" w:type="dxa"/>
          <w:right w:w="28" w:type="dxa"/>
        </w:tblCellMar>
      </w:tblPr>
      <w:tblGrid>
        <w:gridCol w:w="3189"/>
        <w:gridCol w:w="3190"/>
        <w:gridCol w:w="3190"/>
      </w:tblGrid>
      <w:tr>
        <w:tblPrEx>
          <w:tblLayout w:type="fixed"/>
          <w:tblCellMar>
            <w:top w:w="0" w:type="dxa"/>
            <w:left w:w="28" w:type="dxa"/>
            <w:bottom w:w="0" w:type="dxa"/>
            <w:right w:w="28" w:type="dxa"/>
          </w:tblCellMar>
        </w:tblPrEx>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319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本期发生额</w:t>
            </w:r>
          </w:p>
        </w:tc>
        <w:tc>
          <w:tcPr>
            <w:tcW w:w="319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上期发生额</w:t>
            </w:r>
          </w:p>
        </w:tc>
      </w:tr>
      <w:tr>
        <w:tblPrEx>
          <w:tblLayout w:type="fixed"/>
          <w:tblCellMar>
            <w:top w:w="0" w:type="dxa"/>
            <w:left w:w="28" w:type="dxa"/>
            <w:bottom w:w="0" w:type="dxa"/>
            <w:right w:w="28" w:type="dxa"/>
          </w:tblCellMar>
        </w:tblPrEx>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职工薪酬</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23,066,167.12</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16,664,332.93</w:t>
            </w:r>
          </w:p>
        </w:tc>
      </w:tr>
      <w:tr>
        <w:tblPrEx>
          <w:tblLayout w:type="fixed"/>
          <w:tblCellMar>
            <w:top w:w="0" w:type="dxa"/>
            <w:left w:w="28" w:type="dxa"/>
            <w:bottom w:w="0" w:type="dxa"/>
            <w:right w:w="28" w:type="dxa"/>
          </w:tblCellMar>
        </w:tblPrEx>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研发费</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19,281,865.38</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24,576,959.24</w:t>
            </w:r>
          </w:p>
        </w:tc>
      </w:tr>
      <w:tr>
        <w:tblPrEx>
          <w:tblLayout w:type="fixed"/>
          <w:tblCellMar>
            <w:top w:w="0" w:type="dxa"/>
            <w:left w:w="28" w:type="dxa"/>
            <w:bottom w:w="0" w:type="dxa"/>
            <w:right w:w="28" w:type="dxa"/>
          </w:tblCellMar>
        </w:tblPrEx>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折旧费</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7,262,664.20</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3,201,719.04</w:t>
            </w:r>
          </w:p>
        </w:tc>
      </w:tr>
      <w:tr>
        <w:tblPrEx>
          <w:tblLayout w:type="fixed"/>
          <w:tblCellMar>
            <w:top w:w="0" w:type="dxa"/>
            <w:left w:w="28" w:type="dxa"/>
            <w:bottom w:w="0" w:type="dxa"/>
            <w:right w:w="28" w:type="dxa"/>
          </w:tblCellMar>
        </w:tblPrEx>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中介费用</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5,821,193.61</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2,630,879.21</w:t>
            </w:r>
          </w:p>
        </w:tc>
      </w:tr>
      <w:tr>
        <w:tblPrEx>
          <w:tblLayout w:type="fixed"/>
          <w:tblCellMar>
            <w:top w:w="0" w:type="dxa"/>
            <w:left w:w="28" w:type="dxa"/>
            <w:bottom w:w="0" w:type="dxa"/>
            <w:right w:w="28" w:type="dxa"/>
          </w:tblCellMar>
        </w:tblPrEx>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房租物业费</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7,181,632.14</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4,695,912.71</w:t>
            </w:r>
          </w:p>
        </w:tc>
      </w:tr>
      <w:tr>
        <w:tblPrEx>
          <w:tblLayout w:type="fixed"/>
          <w:tblCellMar>
            <w:top w:w="0" w:type="dxa"/>
            <w:left w:w="28" w:type="dxa"/>
            <w:bottom w:w="0" w:type="dxa"/>
            <w:right w:w="28" w:type="dxa"/>
          </w:tblCellMar>
        </w:tblPrEx>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办公费</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6,374,545.36</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4,254,868.68</w:t>
            </w:r>
          </w:p>
        </w:tc>
      </w:tr>
      <w:tr>
        <w:tblPrEx>
          <w:tblLayout w:type="fixed"/>
          <w:tblCellMar>
            <w:top w:w="0" w:type="dxa"/>
            <w:left w:w="28" w:type="dxa"/>
            <w:bottom w:w="0" w:type="dxa"/>
            <w:right w:w="28" w:type="dxa"/>
          </w:tblCellMar>
        </w:tblPrEx>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差旅费</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2,335,522.25</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1,703,126.99</w:t>
            </w:r>
          </w:p>
        </w:tc>
      </w:tr>
      <w:tr>
        <w:tblPrEx>
          <w:tblLayout w:type="fixed"/>
          <w:tblCellMar>
            <w:top w:w="0" w:type="dxa"/>
            <w:left w:w="28" w:type="dxa"/>
            <w:bottom w:w="0" w:type="dxa"/>
            <w:right w:w="28" w:type="dxa"/>
          </w:tblCellMar>
        </w:tblPrEx>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业务招待费</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1,747,936.41</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1,289,321.18</w:t>
            </w:r>
          </w:p>
        </w:tc>
      </w:tr>
      <w:tr>
        <w:tblPrEx>
          <w:tblLayout w:type="fixed"/>
          <w:tblCellMar>
            <w:top w:w="0" w:type="dxa"/>
            <w:left w:w="28" w:type="dxa"/>
            <w:bottom w:w="0" w:type="dxa"/>
            <w:right w:w="28" w:type="dxa"/>
          </w:tblCellMar>
        </w:tblPrEx>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其他</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5,013,141.85</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3,416,286.30</w:t>
            </w:r>
          </w:p>
        </w:tc>
      </w:tr>
      <w:tr>
        <w:tblPrEx>
          <w:tblLayout w:type="fixed"/>
          <w:tblCellMar>
            <w:top w:w="0" w:type="dxa"/>
            <w:left w:w="28" w:type="dxa"/>
            <w:bottom w:w="0" w:type="dxa"/>
            <w:right w:w="28" w:type="dxa"/>
          </w:tblCellMar>
        </w:tblPrEx>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3190"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78,084,668.32</w:t>
            </w:r>
          </w:p>
        </w:tc>
        <w:tc>
          <w:tcPr>
            <w:tcW w:w="3190"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62,433,406.28</w:t>
            </w:r>
          </w:p>
        </w:tc>
      </w:tr>
    </w:tbl>
    <w:p>
      <w:pPr>
        <w:pStyle w:val="11"/>
        <w:outlineLvl w:val="2"/>
        <w:rPr>
          <w:bCs w:val="0"/>
          <w:szCs w:val="24"/>
        </w:rPr>
      </w:pPr>
      <w:r>
        <w:rPr>
          <w:bCs w:val="0"/>
          <w:szCs w:val="24"/>
        </w:rPr>
        <w:t>40</w:t>
      </w:r>
      <w:r>
        <w:rPr>
          <w:rFonts w:hint="eastAsia"/>
          <w:bCs w:val="0"/>
          <w:szCs w:val="24"/>
        </w:rPr>
        <w:t>、财务费用</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569" w:type="dxa"/>
        <w:tblInd w:w="28" w:type="dxa"/>
        <w:tblLayout w:type="fixed"/>
        <w:tblCellMar>
          <w:top w:w="0" w:type="dxa"/>
          <w:left w:w="28" w:type="dxa"/>
          <w:bottom w:w="0" w:type="dxa"/>
          <w:right w:w="28" w:type="dxa"/>
        </w:tblCellMar>
      </w:tblPr>
      <w:tblGrid>
        <w:gridCol w:w="3189"/>
        <w:gridCol w:w="3190"/>
        <w:gridCol w:w="3190"/>
      </w:tblGrid>
      <w:tr>
        <w:tblPrEx>
          <w:tblLayout w:type="fixed"/>
          <w:tblCellMar>
            <w:top w:w="0" w:type="dxa"/>
            <w:left w:w="28" w:type="dxa"/>
            <w:bottom w:w="0" w:type="dxa"/>
            <w:right w:w="28" w:type="dxa"/>
          </w:tblCellMar>
        </w:tblPrEx>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319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本期发生额</w:t>
            </w:r>
          </w:p>
        </w:tc>
        <w:tc>
          <w:tcPr>
            <w:tcW w:w="319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上期发生额</w:t>
            </w:r>
          </w:p>
        </w:tc>
      </w:tr>
      <w:tr>
        <w:tblPrEx>
          <w:tblLayout w:type="fixed"/>
          <w:tblCellMar>
            <w:top w:w="0" w:type="dxa"/>
            <w:left w:w="28" w:type="dxa"/>
            <w:bottom w:w="0" w:type="dxa"/>
            <w:right w:w="28" w:type="dxa"/>
          </w:tblCellMar>
        </w:tblPrEx>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利息支出</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1,813,918.11</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1,907,498.76</w:t>
            </w:r>
          </w:p>
        </w:tc>
      </w:tr>
      <w:tr>
        <w:tblPrEx>
          <w:tblLayout w:type="fixed"/>
          <w:tblCellMar>
            <w:top w:w="0" w:type="dxa"/>
            <w:left w:w="28" w:type="dxa"/>
            <w:bottom w:w="0" w:type="dxa"/>
            <w:right w:w="28" w:type="dxa"/>
          </w:tblCellMar>
        </w:tblPrEx>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减：利息收入</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3,307,085.74</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1,922,845.48</w:t>
            </w:r>
          </w:p>
        </w:tc>
      </w:tr>
      <w:tr>
        <w:tblPrEx>
          <w:tblLayout w:type="fixed"/>
          <w:tblCellMar>
            <w:top w:w="0" w:type="dxa"/>
            <w:left w:w="28" w:type="dxa"/>
            <w:bottom w:w="0" w:type="dxa"/>
            <w:right w:w="28" w:type="dxa"/>
          </w:tblCellMar>
        </w:tblPrEx>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加：汇兑损失</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6,105,384.54</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-457,343.52</w:t>
            </w:r>
          </w:p>
        </w:tc>
      </w:tr>
      <w:tr>
        <w:tblPrEx>
          <w:tblLayout w:type="fixed"/>
          <w:tblCellMar>
            <w:top w:w="0" w:type="dxa"/>
            <w:left w:w="28" w:type="dxa"/>
            <w:bottom w:w="0" w:type="dxa"/>
            <w:right w:w="28" w:type="dxa"/>
          </w:tblCellMar>
        </w:tblPrEx>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加：银行手续费</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1,744,210.67</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392,857.19</w:t>
            </w:r>
          </w:p>
        </w:tc>
      </w:tr>
      <w:tr>
        <w:tblPrEx>
          <w:tblLayout w:type="fixed"/>
          <w:tblCellMar>
            <w:top w:w="0" w:type="dxa"/>
            <w:left w:w="28" w:type="dxa"/>
            <w:bottom w:w="0" w:type="dxa"/>
            <w:right w:w="28" w:type="dxa"/>
          </w:tblCellMar>
        </w:tblPrEx>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加：未确认融资费用</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120,400.15</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3190"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6,476,827.73</w:t>
            </w:r>
          </w:p>
        </w:tc>
        <w:tc>
          <w:tcPr>
            <w:tcW w:w="3190"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-79,833.05</w:t>
            </w:r>
          </w:p>
        </w:tc>
      </w:tr>
    </w:tbl>
    <w:p>
      <w:pPr>
        <w:pStyle w:val="11"/>
        <w:outlineLvl w:val="2"/>
        <w:rPr>
          <w:bCs w:val="0"/>
          <w:szCs w:val="24"/>
        </w:rPr>
      </w:pPr>
      <w:r>
        <w:rPr>
          <w:bCs w:val="0"/>
          <w:szCs w:val="24"/>
        </w:rPr>
        <w:t>41</w:t>
      </w:r>
      <w:r>
        <w:rPr>
          <w:rFonts w:hint="eastAsia"/>
          <w:bCs w:val="0"/>
          <w:szCs w:val="24"/>
        </w:rPr>
        <w:t>、资产减值损失</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694" w:type="dxa"/>
        <w:tblInd w:w="0" w:type="dxa"/>
        <w:tblLayout w:type="fixed"/>
        <w:tblCellMar>
          <w:top w:w="0" w:type="dxa"/>
          <w:left w:w="28" w:type="dxa"/>
          <w:bottom w:w="0" w:type="dxa"/>
          <w:right w:w="28" w:type="dxa"/>
        </w:tblCellMar>
      </w:tblPr>
      <w:tblGrid>
        <w:gridCol w:w="3228"/>
        <w:gridCol w:w="3236"/>
        <w:gridCol w:w="3230"/>
      </w:tblGrid>
      <w:tr>
        <w:tblPrEx>
          <w:tblLayout w:type="fixed"/>
          <w:tblCellMar>
            <w:top w:w="0" w:type="dxa"/>
            <w:left w:w="28" w:type="dxa"/>
            <w:bottom w:w="0" w:type="dxa"/>
            <w:right w:w="28" w:type="dxa"/>
          </w:tblCellMar>
        </w:tblPrEx>
        <w:tc>
          <w:tcPr>
            <w:tcW w:w="3228"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323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本期发生额</w:t>
            </w:r>
          </w:p>
        </w:tc>
        <w:tc>
          <w:tcPr>
            <w:tcW w:w="323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上期发生额</w:t>
            </w:r>
          </w:p>
        </w:tc>
      </w:tr>
      <w:tr>
        <w:tblPrEx>
          <w:tblLayout w:type="fixed"/>
          <w:tblCellMar>
            <w:top w:w="0" w:type="dxa"/>
            <w:left w:w="28" w:type="dxa"/>
            <w:bottom w:w="0" w:type="dxa"/>
            <w:right w:w="28" w:type="dxa"/>
          </w:tblCellMar>
        </w:tblPrEx>
        <w:tc>
          <w:tcPr>
            <w:tcW w:w="3228"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一、坏账损失</w:t>
            </w:r>
          </w:p>
        </w:tc>
        <w:tc>
          <w:tcPr>
            <w:tcW w:w="323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2,734,866.76</w:t>
            </w:r>
          </w:p>
        </w:tc>
        <w:tc>
          <w:tcPr>
            <w:tcW w:w="323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12,598,629.21</w:t>
            </w:r>
          </w:p>
        </w:tc>
      </w:tr>
      <w:tr>
        <w:tblPrEx>
          <w:tblLayout w:type="fixed"/>
          <w:tblCellMar>
            <w:top w:w="0" w:type="dxa"/>
            <w:left w:w="28" w:type="dxa"/>
            <w:bottom w:w="0" w:type="dxa"/>
            <w:right w:w="28" w:type="dxa"/>
          </w:tblCellMar>
        </w:tblPrEx>
        <w:tc>
          <w:tcPr>
            <w:tcW w:w="3228"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3236"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2,734,866.76</w:t>
            </w:r>
          </w:p>
        </w:tc>
        <w:tc>
          <w:tcPr>
            <w:tcW w:w="3230"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12,598,629.21</w:t>
            </w:r>
          </w:p>
        </w:tc>
      </w:tr>
    </w:tbl>
    <w:p>
      <w:pPr>
        <w:pStyle w:val="11"/>
        <w:outlineLvl w:val="2"/>
        <w:rPr>
          <w:bCs w:val="0"/>
          <w:szCs w:val="24"/>
        </w:rPr>
      </w:pPr>
      <w:r>
        <w:rPr>
          <w:bCs w:val="0"/>
          <w:szCs w:val="24"/>
        </w:rPr>
        <w:t>41</w:t>
      </w:r>
      <w:r>
        <w:rPr>
          <w:rFonts w:hint="eastAsia"/>
          <w:bCs w:val="0"/>
          <w:szCs w:val="24"/>
        </w:rPr>
        <w:t>、投资收益</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568" w:type="dxa"/>
        <w:tblInd w:w="28" w:type="dxa"/>
        <w:tblLayout w:type="fixed"/>
        <w:tblCellMar>
          <w:top w:w="0" w:type="dxa"/>
          <w:left w:w="28" w:type="dxa"/>
          <w:bottom w:w="0" w:type="dxa"/>
          <w:right w:w="28" w:type="dxa"/>
        </w:tblCellMar>
      </w:tblPr>
      <w:tblGrid>
        <w:gridCol w:w="3460"/>
        <w:gridCol w:w="3190"/>
        <w:gridCol w:w="2918"/>
      </w:tblGrid>
      <w:tr>
        <w:tblPrEx>
          <w:tblLayout w:type="fixed"/>
          <w:tblCellMar>
            <w:top w:w="0" w:type="dxa"/>
            <w:left w:w="28" w:type="dxa"/>
            <w:bottom w:w="0" w:type="dxa"/>
            <w:right w:w="28" w:type="dxa"/>
          </w:tblCellMar>
        </w:tblPrEx>
        <w:tc>
          <w:tcPr>
            <w:tcW w:w="346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319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本期发生额</w:t>
            </w:r>
          </w:p>
        </w:tc>
        <w:tc>
          <w:tcPr>
            <w:tcW w:w="2918"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上期发生额</w:t>
            </w:r>
          </w:p>
        </w:tc>
      </w:tr>
      <w:tr>
        <w:tblPrEx>
          <w:tblLayout w:type="fixed"/>
          <w:tblCellMar>
            <w:top w:w="0" w:type="dxa"/>
            <w:left w:w="28" w:type="dxa"/>
            <w:bottom w:w="0" w:type="dxa"/>
            <w:right w:w="28" w:type="dxa"/>
          </w:tblCellMar>
        </w:tblPrEx>
        <w:tc>
          <w:tcPr>
            <w:tcW w:w="346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权益法核算的长期股权投资收益</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-1,666,720.84</w:t>
            </w:r>
          </w:p>
        </w:tc>
        <w:tc>
          <w:tcPr>
            <w:tcW w:w="291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4,120,039.71</w:t>
            </w:r>
          </w:p>
        </w:tc>
      </w:tr>
      <w:tr>
        <w:tblPrEx>
          <w:tblLayout w:type="fixed"/>
          <w:tblCellMar>
            <w:top w:w="0" w:type="dxa"/>
            <w:left w:w="28" w:type="dxa"/>
            <w:bottom w:w="0" w:type="dxa"/>
            <w:right w:w="28" w:type="dxa"/>
          </w:tblCellMar>
        </w:tblPrEx>
        <w:tc>
          <w:tcPr>
            <w:tcW w:w="346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处置长期股权投资产生的投资收益</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291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9,527,153.02</w:t>
            </w:r>
          </w:p>
        </w:tc>
      </w:tr>
      <w:tr>
        <w:tblPrEx>
          <w:tblLayout w:type="fixed"/>
          <w:tblCellMar>
            <w:top w:w="0" w:type="dxa"/>
            <w:left w:w="28" w:type="dxa"/>
            <w:bottom w:w="0" w:type="dxa"/>
            <w:right w:w="28" w:type="dxa"/>
          </w:tblCellMar>
        </w:tblPrEx>
        <w:tc>
          <w:tcPr>
            <w:tcW w:w="346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理财产品收益</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2,538,025.75</w:t>
            </w:r>
          </w:p>
        </w:tc>
        <w:tc>
          <w:tcPr>
            <w:tcW w:w="291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346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其他</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291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106,142.18</w:t>
            </w:r>
          </w:p>
        </w:tc>
      </w:tr>
      <w:tr>
        <w:tblPrEx>
          <w:tblLayout w:type="fixed"/>
          <w:tblCellMar>
            <w:top w:w="0" w:type="dxa"/>
            <w:left w:w="28" w:type="dxa"/>
            <w:bottom w:w="0" w:type="dxa"/>
            <w:right w:w="28" w:type="dxa"/>
          </w:tblCellMar>
        </w:tblPrEx>
        <w:tc>
          <w:tcPr>
            <w:tcW w:w="346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3190"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871,304.91</w:t>
            </w:r>
          </w:p>
        </w:tc>
        <w:tc>
          <w:tcPr>
            <w:tcW w:w="2918"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13,753,334.91</w:t>
            </w:r>
          </w:p>
        </w:tc>
      </w:tr>
    </w:tbl>
    <w:p>
      <w:pPr>
        <w:pStyle w:val="11"/>
        <w:outlineLvl w:val="2"/>
        <w:rPr>
          <w:bCs w:val="0"/>
          <w:szCs w:val="24"/>
        </w:rPr>
      </w:pPr>
      <w:r>
        <w:rPr>
          <w:bCs w:val="0"/>
          <w:szCs w:val="24"/>
        </w:rPr>
        <w:t>42</w:t>
      </w:r>
      <w:r>
        <w:rPr>
          <w:rFonts w:hint="eastAsia"/>
          <w:bCs w:val="0"/>
          <w:szCs w:val="24"/>
        </w:rPr>
        <w:t>、营业外收入</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568" w:type="dxa"/>
        <w:tblInd w:w="28" w:type="dxa"/>
        <w:tblLayout w:type="fixed"/>
        <w:tblCellMar>
          <w:top w:w="0" w:type="dxa"/>
          <w:left w:w="28" w:type="dxa"/>
          <w:bottom w:w="0" w:type="dxa"/>
          <w:right w:w="28" w:type="dxa"/>
        </w:tblCellMar>
      </w:tblPr>
      <w:tblGrid>
        <w:gridCol w:w="2389"/>
        <w:gridCol w:w="2395"/>
        <w:gridCol w:w="2392"/>
        <w:gridCol w:w="2392"/>
      </w:tblGrid>
      <w:tr>
        <w:tblPrEx>
          <w:tblLayout w:type="fixed"/>
          <w:tblCellMar>
            <w:top w:w="0" w:type="dxa"/>
            <w:left w:w="28" w:type="dxa"/>
            <w:bottom w:w="0" w:type="dxa"/>
            <w:right w:w="28" w:type="dxa"/>
          </w:tblCellMar>
        </w:tblPrEx>
        <w:tc>
          <w:tcPr>
            <w:tcW w:w="238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239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本期发生额</w:t>
            </w:r>
          </w:p>
        </w:tc>
        <w:tc>
          <w:tcPr>
            <w:tcW w:w="239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上期发生额</w:t>
            </w:r>
          </w:p>
        </w:tc>
        <w:tc>
          <w:tcPr>
            <w:tcW w:w="239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计入当期非经常性损益的金额</w:t>
            </w:r>
          </w:p>
        </w:tc>
      </w:tr>
      <w:tr>
        <w:tblPrEx>
          <w:tblLayout w:type="fixed"/>
          <w:tblCellMar>
            <w:top w:w="0" w:type="dxa"/>
            <w:left w:w="28" w:type="dxa"/>
            <w:bottom w:w="0" w:type="dxa"/>
            <w:right w:w="28" w:type="dxa"/>
          </w:tblCellMar>
        </w:tblPrEx>
        <w:tc>
          <w:tcPr>
            <w:tcW w:w="238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非流动资产处置利得合计</w:t>
            </w:r>
          </w:p>
        </w:tc>
        <w:tc>
          <w:tcPr>
            <w:tcW w:w="2395"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120,145.38</w:t>
            </w:r>
          </w:p>
        </w:tc>
        <w:tc>
          <w:tcPr>
            <w:tcW w:w="2392"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153,628.86</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120,145.38</w:t>
            </w:r>
          </w:p>
        </w:tc>
      </w:tr>
      <w:tr>
        <w:tblPrEx>
          <w:tblLayout w:type="fixed"/>
          <w:tblCellMar>
            <w:top w:w="0" w:type="dxa"/>
            <w:left w:w="28" w:type="dxa"/>
            <w:bottom w:w="0" w:type="dxa"/>
            <w:right w:w="28" w:type="dxa"/>
          </w:tblCellMar>
        </w:tblPrEx>
        <w:tc>
          <w:tcPr>
            <w:tcW w:w="238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其中：固定资产处置利得</w:t>
            </w:r>
          </w:p>
        </w:tc>
        <w:tc>
          <w:tcPr>
            <w:tcW w:w="239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120,145.38</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153,628.86</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120,145.38</w:t>
            </w:r>
          </w:p>
        </w:tc>
      </w:tr>
      <w:tr>
        <w:tblPrEx>
          <w:tblLayout w:type="fixed"/>
          <w:tblCellMar>
            <w:top w:w="0" w:type="dxa"/>
            <w:left w:w="28" w:type="dxa"/>
            <w:bottom w:w="0" w:type="dxa"/>
            <w:right w:w="28" w:type="dxa"/>
          </w:tblCellMar>
        </w:tblPrEx>
        <w:tc>
          <w:tcPr>
            <w:tcW w:w="238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政府补助</w:t>
            </w:r>
          </w:p>
        </w:tc>
        <w:tc>
          <w:tcPr>
            <w:tcW w:w="239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24,151,889.48</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18,726,997.31</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24,151,889.48</w:t>
            </w:r>
          </w:p>
        </w:tc>
      </w:tr>
      <w:tr>
        <w:tblPrEx>
          <w:tblLayout w:type="fixed"/>
          <w:tblCellMar>
            <w:top w:w="0" w:type="dxa"/>
            <w:left w:w="28" w:type="dxa"/>
            <w:bottom w:w="0" w:type="dxa"/>
            <w:right w:w="28" w:type="dxa"/>
          </w:tblCellMar>
        </w:tblPrEx>
        <w:tc>
          <w:tcPr>
            <w:tcW w:w="23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税收返还</w:t>
            </w:r>
          </w:p>
        </w:tc>
        <w:tc>
          <w:tcPr>
            <w:tcW w:w="239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6,151,833.87</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6,009,228.46</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3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返还个税手续费</w:t>
            </w:r>
          </w:p>
        </w:tc>
        <w:tc>
          <w:tcPr>
            <w:tcW w:w="239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153,523.68</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153,523.68</w:t>
            </w:r>
          </w:p>
        </w:tc>
      </w:tr>
      <w:tr>
        <w:tblPrEx>
          <w:tblLayout w:type="fixed"/>
          <w:tblCellMar>
            <w:top w:w="0" w:type="dxa"/>
            <w:left w:w="28" w:type="dxa"/>
            <w:bottom w:w="0" w:type="dxa"/>
            <w:right w:w="28" w:type="dxa"/>
          </w:tblCellMar>
        </w:tblPrEx>
        <w:tc>
          <w:tcPr>
            <w:tcW w:w="23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其他</w:t>
            </w:r>
          </w:p>
        </w:tc>
        <w:tc>
          <w:tcPr>
            <w:tcW w:w="239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206,904.70</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4,830.19</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206,904.70</w:t>
            </w:r>
          </w:p>
        </w:tc>
      </w:tr>
      <w:tr>
        <w:tblPrEx>
          <w:tblLayout w:type="fixed"/>
          <w:tblCellMar>
            <w:top w:w="0" w:type="dxa"/>
            <w:left w:w="28" w:type="dxa"/>
            <w:bottom w:w="0" w:type="dxa"/>
            <w:right w:w="28" w:type="dxa"/>
          </w:tblCellMar>
        </w:tblPrEx>
        <w:tc>
          <w:tcPr>
            <w:tcW w:w="238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2395"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30,784,297.11</w:t>
            </w:r>
          </w:p>
        </w:tc>
        <w:tc>
          <w:tcPr>
            <w:tcW w:w="2392"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24,894,684.82</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24,632,463.24</w:t>
            </w:r>
          </w:p>
        </w:tc>
      </w:tr>
    </w:tbl>
    <w:p>
      <w:pPr>
        <w:jc w:val="left"/>
        <w:rPr>
          <w:sz w:val="21"/>
          <w:szCs w:val="21"/>
        </w:rPr>
      </w:pPr>
      <w:r>
        <w:rPr>
          <w:rFonts w:hint="eastAsia"/>
          <w:sz w:val="21"/>
          <w:szCs w:val="21"/>
        </w:rPr>
        <w:t>计入当期损益的政府补助：</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694" w:type="dxa"/>
        <w:tblInd w:w="0" w:type="dxa"/>
        <w:tblLayout w:type="fixed"/>
        <w:tblCellMar>
          <w:top w:w="0" w:type="dxa"/>
          <w:left w:w="28" w:type="dxa"/>
          <w:bottom w:w="0" w:type="dxa"/>
          <w:right w:w="28" w:type="dxa"/>
        </w:tblCellMar>
      </w:tblPr>
      <w:tblGrid>
        <w:gridCol w:w="1025"/>
        <w:gridCol w:w="1023"/>
        <w:gridCol w:w="1023"/>
        <w:gridCol w:w="1023"/>
        <w:gridCol w:w="1024"/>
        <w:gridCol w:w="1024"/>
        <w:gridCol w:w="1264"/>
        <w:gridCol w:w="1264"/>
        <w:gridCol w:w="1024"/>
      </w:tblGrid>
      <w:tr>
        <w:tblPrEx>
          <w:tblLayout w:type="fixed"/>
          <w:tblCellMar>
            <w:top w:w="0" w:type="dxa"/>
            <w:left w:w="28" w:type="dxa"/>
            <w:bottom w:w="0" w:type="dxa"/>
            <w:right w:w="28" w:type="dxa"/>
          </w:tblCellMar>
        </w:tblPrEx>
        <w:tc>
          <w:tcPr>
            <w:tcW w:w="102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补助项目</w:t>
            </w:r>
          </w:p>
        </w:tc>
        <w:tc>
          <w:tcPr>
            <w:tcW w:w="102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发放主体</w:t>
            </w:r>
          </w:p>
        </w:tc>
        <w:tc>
          <w:tcPr>
            <w:tcW w:w="102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发放原因</w:t>
            </w:r>
          </w:p>
        </w:tc>
        <w:tc>
          <w:tcPr>
            <w:tcW w:w="102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性质类型</w:t>
            </w:r>
          </w:p>
        </w:tc>
        <w:tc>
          <w:tcPr>
            <w:tcW w:w="102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补贴是否影响当年盈亏</w:t>
            </w:r>
          </w:p>
        </w:tc>
        <w:tc>
          <w:tcPr>
            <w:tcW w:w="102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是否特殊补贴</w:t>
            </w:r>
          </w:p>
        </w:tc>
        <w:tc>
          <w:tcPr>
            <w:tcW w:w="126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本期发生金额</w:t>
            </w:r>
          </w:p>
        </w:tc>
        <w:tc>
          <w:tcPr>
            <w:tcW w:w="126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上期发生金额</w:t>
            </w:r>
          </w:p>
        </w:tc>
        <w:tc>
          <w:tcPr>
            <w:tcW w:w="102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与资产相关</w:t>
            </w:r>
            <w:r>
              <w:rPr>
                <w:sz w:val="21"/>
                <w:szCs w:val="21"/>
              </w:rPr>
              <w:t>/</w:t>
            </w:r>
            <w:r>
              <w:rPr>
                <w:rFonts w:hint="eastAsia"/>
                <w:sz w:val="21"/>
                <w:szCs w:val="21"/>
              </w:rPr>
              <w:t>与收益相关</w:t>
            </w:r>
          </w:p>
        </w:tc>
      </w:tr>
      <w:tr>
        <w:tblPrEx>
          <w:tblLayout w:type="fixed"/>
          <w:tblCellMar>
            <w:top w:w="0" w:type="dxa"/>
            <w:left w:w="28" w:type="dxa"/>
            <w:bottom w:w="0" w:type="dxa"/>
            <w:right w:w="28" w:type="dxa"/>
          </w:tblCellMar>
        </w:tblPrEx>
        <w:tc>
          <w:tcPr>
            <w:tcW w:w="102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智慧桥综合船舶导航系统（</w:t>
            </w:r>
            <w:r>
              <w:rPr>
                <w:sz w:val="21"/>
                <w:szCs w:val="21"/>
              </w:rPr>
              <w:t>INS</w:t>
            </w:r>
            <w:r>
              <w:rPr>
                <w:rFonts w:hint="eastAsia"/>
                <w:sz w:val="21"/>
                <w:szCs w:val="21"/>
              </w:rPr>
              <w:t>）关键技术研发及产业化项目</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北京市经济和信息化委员会工信部</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补助</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因研究开发、技术更新及改造等获得的补助</w:t>
            </w: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是</w:t>
            </w: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否</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3,340,358.33</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与资产相关</w:t>
            </w:r>
          </w:p>
        </w:tc>
      </w:tr>
      <w:tr>
        <w:tblPrEx>
          <w:tblLayout w:type="fixed"/>
          <w:tblCellMar>
            <w:top w:w="0" w:type="dxa"/>
            <w:left w:w="28" w:type="dxa"/>
            <w:bottom w:w="0" w:type="dxa"/>
            <w:right w:w="28" w:type="dxa"/>
          </w:tblCellMar>
        </w:tblPrEx>
        <w:tc>
          <w:tcPr>
            <w:tcW w:w="102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海兰信远洋智能船联网公共服务平台</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北京市经济和信息化委员会工信部</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补助</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因研究开发、技术更新及改造等获得的补助</w:t>
            </w: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是</w:t>
            </w: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否</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2,950,000.00</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与收益相关</w:t>
            </w:r>
          </w:p>
        </w:tc>
      </w:tr>
      <w:tr>
        <w:tblPrEx>
          <w:tblLayout w:type="fixed"/>
          <w:tblCellMar>
            <w:top w:w="0" w:type="dxa"/>
            <w:left w:w="28" w:type="dxa"/>
            <w:bottom w:w="0" w:type="dxa"/>
            <w:right w:w="28" w:type="dxa"/>
          </w:tblCellMar>
        </w:tblPrEx>
        <w:tc>
          <w:tcPr>
            <w:tcW w:w="102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苏通园区第一笔土地返还款</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江苏南通苏通科技产业园区财政局</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补助</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因符合地方政府招商引资等地方性扶持政策而获得的补助</w:t>
            </w: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是</w:t>
            </w: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否</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2,704,500.00</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与收益相关</w:t>
            </w:r>
          </w:p>
        </w:tc>
      </w:tr>
      <w:tr>
        <w:tblPrEx>
          <w:tblLayout w:type="fixed"/>
          <w:tblCellMar>
            <w:top w:w="0" w:type="dxa"/>
            <w:left w:w="28" w:type="dxa"/>
            <w:bottom w:w="0" w:type="dxa"/>
            <w:right w:w="28" w:type="dxa"/>
          </w:tblCellMar>
        </w:tblPrEx>
        <w:tc>
          <w:tcPr>
            <w:tcW w:w="102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船舶导航信息技术北京市工程实验室创新能力建设项目</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海淀区财政局</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补助</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因研究开发、技术更新及改造等获得的补助</w:t>
            </w: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是</w:t>
            </w: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否</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2,040,000.00</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1,360,000.00</w:t>
            </w: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与资产相关</w:t>
            </w:r>
          </w:p>
        </w:tc>
      </w:tr>
      <w:tr>
        <w:tblPrEx>
          <w:tblLayout w:type="fixed"/>
          <w:tblCellMar>
            <w:top w:w="0" w:type="dxa"/>
            <w:left w:w="28" w:type="dxa"/>
            <w:bottom w:w="0" w:type="dxa"/>
            <w:right w:w="28" w:type="dxa"/>
          </w:tblCellMar>
        </w:tblPrEx>
        <w:tc>
          <w:tcPr>
            <w:tcW w:w="102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拓展境外市场项目</w:t>
            </w:r>
            <w:r>
              <w:rPr>
                <w:sz w:val="21"/>
                <w:szCs w:val="21"/>
              </w:rPr>
              <w:t>-</w:t>
            </w:r>
            <w:r>
              <w:rPr>
                <w:rFonts w:hint="eastAsia"/>
                <w:sz w:val="21"/>
                <w:szCs w:val="21"/>
              </w:rPr>
              <w:t>境外并购中介费用补贴</w:t>
            </w:r>
            <w:r>
              <w:rPr>
                <w:sz w:val="21"/>
                <w:szCs w:val="21"/>
              </w:rPr>
              <w:t>-</w:t>
            </w:r>
            <w:r>
              <w:rPr>
                <w:rFonts w:hint="eastAsia"/>
                <w:sz w:val="21"/>
                <w:szCs w:val="21"/>
              </w:rPr>
              <w:t>劳雷</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海淀园管理委员会</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补助</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因从事国家鼓励和扶持特定行业、产业而获得的补助（按国家级政策规定依法取得）</w:t>
            </w: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是</w:t>
            </w: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否</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2,000,000.00</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与收益相关</w:t>
            </w:r>
          </w:p>
        </w:tc>
      </w:tr>
      <w:tr>
        <w:tblPrEx>
          <w:tblLayout w:type="fixed"/>
          <w:tblCellMar>
            <w:top w:w="0" w:type="dxa"/>
            <w:left w:w="28" w:type="dxa"/>
            <w:bottom w:w="0" w:type="dxa"/>
            <w:right w:w="28" w:type="dxa"/>
          </w:tblCellMar>
        </w:tblPrEx>
        <w:tc>
          <w:tcPr>
            <w:tcW w:w="102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高性能船舶导航雷达系统关键技术研究</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中关村科技园区海淀园管理委员会</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补助</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因研究开发、技术更新及改造等获得的补助</w:t>
            </w: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是</w:t>
            </w: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否</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1,950,000.00</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2,600,000.00</w:t>
            </w: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与收益相关</w:t>
            </w:r>
          </w:p>
        </w:tc>
      </w:tr>
      <w:tr>
        <w:tblPrEx>
          <w:tblLayout w:type="fixed"/>
          <w:tblCellMar>
            <w:top w:w="0" w:type="dxa"/>
            <w:left w:w="28" w:type="dxa"/>
            <w:bottom w:w="0" w:type="dxa"/>
            <w:right w:w="28" w:type="dxa"/>
          </w:tblCellMar>
        </w:tblPrEx>
        <w:tc>
          <w:tcPr>
            <w:tcW w:w="102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北京市科技计划课题任务书</w:t>
            </w:r>
            <w:r>
              <w:rPr>
                <w:sz w:val="21"/>
                <w:szCs w:val="21"/>
              </w:rPr>
              <w:t>--</w:t>
            </w:r>
            <w:r>
              <w:rPr>
                <w:rFonts w:hint="eastAsia"/>
                <w:sz w:val="21"/>
                <w:szCs w:val="21"/>
              </w:rPr>
              <w:t>船舶全航迹综合控制系统研制</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北京市财政局</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补助</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因研究开发、技术更新及改造等获得的补助</w:t>
            </w: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是</w:t>
            </w: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否</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1,419,083.31</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与资产相关</w:t>
            </w:r>
            <w:r>
              <w:rPr>
                <w:sz w:val="21"/>
                <w:szCs w:val="21"/>
              </w:rPr>
              <w:t>/</w:t>
            </w:r>
            <w:r>
              <w:rPr>
                <w:rFonts w:hint="eastAsia"/>
                <w:sz w:val="21"/>
                <w:szCs w:val="21"/>
              </w:rPr>
              <w:t>与收益相关</w:t>
            </w:r>
          </w:p>
        </w:tc>
      </w:tr>
      <w:tr>
        <w:tblPrEx>
          <w:tblLayout w:type="fixed"/>
          <w:tblCellMar>
            <w:top w:w="0" w:type="dxa"/>
            <w:left w:w="28" w:type="dxa"/>
            <w:bottom w:w="0" w:type="dxa"/>
            <w:right w:w="28" w:type="dxa"/>
          </w:tblCellMar>
        </w:tblPrEx>
        <w:tc>
          <w:tcPr>
            <w:tcW w:w="102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科技部国际合作项目</w:t>
            </w:r>
            <w:r>
              <w:rPr>
                <w:sz w:val="21"/>
                <w:szCs w:val="21"/>
              </w:rPr>
              <w:t>-</w:t>
            </w:r>
            <w:r>
              <w:rPr>
                <w:rFonts w:hint="eastAsia"/>
                <w:sz w:val="21"/>
                <w:szCs w:val="21"/>
              </w:rPr>
              <w:t>极小目标探测雷达系统联合研发</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科学技术部资源配置与管理司</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补助</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因研究开发、技术更新及改造等获得的补助</w:t>
            </w: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是</w:t>
            </w: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否</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1,415,466.71</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与资产相关</w:t>
            </w:r>
            <w:r>
              <w:rPr>
                <w:sz w:val="21"/>
                <w:szCs w:val="21"/>
              </w:rPr>
              <w:t>/</w:t>
            </w:r>
            <w:r>
              <w:rPr>
                <w:rFonts w:hint="eastAsia"/>
                <w:sz w:val="21"/>
                <w:szCs w:val="21"/>
              </w:rPr>
              <w:t>与收益相关</w:t>
            </w:r>
          </w:p>
        </w:tc>
      </w:tr>
      <w:tr>
        <w:tblPrEx>
          <w:tblLayout w:type="fixed"/>
          <w:tblCellMar>
            <w:top w:w="0" w:type="dxa"/>
            <w:left w:w="28" w:type="dxa"/>
            <w:bottom w:w="0" w:type="dxa"/>
            <w:right w:w="28" w:type="dxa"/>
          </w:tblCellMar>
        </w:tblPrEx>
        <w:tc>
          <w:tcPr>
            <w:tcW w:w="102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w:t>
            </w:r>
            <w:r>
              <w:rPr>
                <w:rFonts w:hint="eastAsia"/>
                <w:sz w:val="21"/>
                <w:szCs w:val="21"/>
              </w:rPr>
              <w:t>大气污染源烟气连续在线监测系统</w:t>
            </w:r>
            <w:r>
              <w:rPr>
                <w:sz w:val="21"/>
                <w:szCs w:val="21"/>
              </w:rPr>
              <w:t>"</w:t>
            </w:r>
            <w:r>
              <w:rPr>
                <w:rFonts w:hint="eastAsia"/>
                <w:sz w:val="21"/>
                <w:szCs w:val="21"/>
              </w:rPr>
              <w:t>项目补贴</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四川省财政厅</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补助</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因研究开发、技术更新及改造等获得的补助</w:t>
            </w: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是</w:t>
            </w: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否</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720,000.00</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与收益相关</w:t>
            </w:r>
          </w:p>
        </w:tc>
      </w:tr>
      <w:tr>
        <w:tblPrEx>
          <w:tblLayout w:type="fixed"/>
          <w:tblCellMar>
            <w:top w:w="0" w:type="dxa"/>
            <w:left w:w="28" w:type="dxa"/>
            <w:bottom w:w="0" w:type="dxa"/>
            <w:right w:w="28" w:type="dxa"/>
          </w:tblCellMar>
        </w:tblPrEx>
        <w:tc>
          <w:tcPr>
            <w:tcW w:w="102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极小目标雷达探测系统技术升级及产业化项目</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海南省财政国库支付局</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补助</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因研究开发、技术更新及改造等获得的补助</w:t>
            </w: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是</w:t>
            </w: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否</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500,000.00</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与收益相关</w:t>
            </w:r>
          </w:p>
        </w:tc>
      </w:tr>
      <w:tr>
        <w:tblPrEx>
          <w:tblLayout w:type="fixed"/>
          <w:tblCellMar>
            <w:top w:w="0" w:type="dxa"/>
            <w:left w:w="28" w:type="dxa"/>
            <w:bottom w:w="0" w:type="dxa"/>
            <w:right w:w="28" w:type="dxa"/>
          </w:tblCellMar>
        </w:tblPrEx>
        <w:tc>
          <w:tcPr>
            <w:tcW w:w="102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雷达系统技术研发及产业化项目</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北京市海淀区财政局</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补助</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因研究开发、技术更新及改造等获得的补助</w:t>
            </w: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是</w:t>
            </w: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否</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696,000.00</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696,000.00</w:t>
            </w: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与资产相关</w:t>
            </w:r>
          </w:p>
        </w:tc>
      </w:tr>
      <w:tr>
        <w:tblPrEx>
          <w:tblLayout w:type="fixed"/>
          <w:tblCellMar>
            <w:top w:w="0" w:type="dxa"/>
            <w:left w:w="28" w:type="dxa"/>
            <w:bottom w:w="0" w:type="dxa"/>
            <w:right w:w="28" w:type="dxa"/>
          </w:tblCellMar>
        </w:tblPrEx>
        <w:tc>
          <w:tcPr>
            <w:tcW w:w="102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船舶电子集成系统技术升级及产业化项目</w:t>
            </w:r>
            <w:r>
              <w:rPr>
                <w:sz w:val="21"/>
                <w:szCs w:val="21"/>
              </w:rPr>
              <w:t>-VEIS</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海淀园管理委员会</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补助</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因研究开发、技术更新及改造等获得的补助</w:t>
            </w: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是</w:t>
            </w: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否</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600,000.00</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720,000.00</w:t>
            </w: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与资产相关</w:t>
            </w:r>
          </w:p>
        </w:tc>
      </w:tr>
      <w:tr>
        <w:tblPrEx>
          <w:tblLayout w:type="fixed"/>
          <w:tblCellMar>
            <w:top w:w="0" w:type="dxa"/>
            <w:left w:w="28" w:type="dxa"/>
            <w:bottom w:w="0" w:type="dxa"/>
            <w:right w:w="28" w:type="dxa"/>
          </w:tblCellMar>
        </w:tblPrEx>
        <w:tc>
          <w:tcPr>
            <w:tcW w:w="102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远洋船舶通导电子系统技术外贸公共服务平台</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北京市商务委员会</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补助</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因研究开发、技术更新及改造等获得的补助</w:t>
            </w: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是</w:t>
            </w: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否</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516,420.00</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516,420.00</w:t>
            </w: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与资产相关</w:t>
            </w:r>
          </w:p>
        </w:tc>
      </w:tr>
      <w:tr>
        <w:tblPrEx>
          <w:tblLayout w:type="fixed"/>
          <w:tblCellMar>
            <w:top w:w="0" w:type="dxa"/>
            <w:left w:w="28" w:type="dxa"/>
            <w:bottom w:w="0" w:type="dxa"/>
            <w:right w:w="28" w:type="dxa"/>
          </w:tblCellMar>
        </w:tblPrEx>
        <w:tc>
          <w:tcPr>
            <w:tcW w:w="102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北京市工业发展资金拨款项目合同书</w:t>
            </w:r>
            <w:r>
              <w:rPr>
                <w:sz w:val="21"/>
                <w:szCs w:val="21"/>
              </w:rPr>
              <w:t>--</w:t>
            </w:r>
            <w:r>
              <w:rPr>
                <w:rFonts w:hint="eastAsia"/>
                <w:sz w:val="21"/>
                <w:szCs w:val="21"/>
              </w:rPr>
              <w:t>船舶航迹控制设备技术升级及产业化</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北京市经济和信息化委员会</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补助</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因符合地方政府招商引资等地方性扶持政策而获得的补助</w:t>
            </w: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是</w:t>
            </w: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否</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399,999.84</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400,000.08</w:t>
            </w: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与资产相关</w:t>
            </w:r>
          </w:p>
        </w:tc>
      </w:tr>
      <w:tr>
        <w:tblPrEx>
          <w:tblLayout w:type="fixed"/>
          <w:tblCellMar>
            <w:top w:w="0" w:type="dxa"/>
            <w:left w:w="28" w:type="dxa"/>
            <w:bottom w:w="0" w:type="dxa"/>
            <w:right w:w="28" w:type="dxa"/>
          </w:tblCellMar>
        </w:tblPrEx>
        <w:tc>
          <w:tcPr>
            <w:tcW w:w="102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节能型船舶航行辅助决策和航迹控制系统</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北京市经济和信息化委员会工信部</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补助</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因研究开发、技术更新及改造等获得的补助</w:t>
            </w: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是</w:t>
            </w: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否</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203,333.43</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243,999.96</w:t>
            </w: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与资产相关</w:t>
            </w:r>
          </w:p>
        </w:tc>
      </w:tr>
      <w:tr>
        <w:tblPrEx>
          <w:tblLayout w:type="fixed"/>
          <w:tblCellMar>
            <w:top w:w="0" w:type="dxa"/>
            <w:left w:w="28" w:type="dxa"/>
            <w:bottom w:w="0" w:type="dxa"/>
            <w:right w:w="28" w:type="dxa"/>
          </w:tblCellMar>
        </w:tblPrEx>
        <w:tc>
          <w:tcPr>
            <w:tcW w:w="102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市科委</w:t>
            </w:r>
            <w:r>
              <w:rPr>
                <w:sz w:val="21"/>
                <w:szCs w:val="21"/>
              </w:rPr>
              <w:t>INS</w:t>
            </w:r>
            <w:r>
              <w:rPr>
                <w:rFonts w:hint="eastAsia"/>
                <w:sz w:val="21"/>
                <w:szCs w:val="21"/>
              </w:rPr>
              <w:t>项目</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北京市科委</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补助</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因研究开发、技术更新及改造等获得的补助</w:t>
            </w: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是</w:t>
            </w: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否</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3,000,000.00</w:t>
            </w: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与收益相关</w:t>
            </w:r>
          </w:p>
        </w:tc>
      </w:tr>
      <w:tr>
        <w:tblPrEx>
          <w:tblLayout w:type="fixed"/>
          <w:tblCellMar>
            <w:top w:w="0" w:type="dxa"/>
            <w:left w:w="28" w:type="dxa"/>
            <w:bottom w:w="0" w:type="dxa"/>
            <w:right w:w="28" w:type="dxa"/>
          </w:tblCellMar>
        </w:tblPrEx>
        <w:tc>
          <w:tcPr>
            <w:tcW w:w="102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氨氮在线自动检测仪产业化</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成都高新区</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补助</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因研究开发、技术更新及改造等获得的补助</w:t>
            </w: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是</w:t>
            </w: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否</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249,999.94</w:t>
            </w: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与收益相关</w:t>
            </w:r>
          </w:p>
        </w:tc>
      </w:tr>
      <w:tr>
        <w:tblPrEx>
          <w:tblLayout w:type="fixed"/>
          <w:tblCellMar>
            <w:top w:w="0" w:type="dxa"/>
            <w:left w:w="28" w:type="dxa"/>
            <w:bottom w:w="0" w:type="dxa"/>
            <w:right w:w="28" w:type="dxa"/>
          </w:tblCellMar>
        </w:tblPrEx>
        <w:tc>
          <w:tcPr>
            <w:tcW w:w="102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水质污染源核心控制因子在线监测物联系统</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四川省科学技术厅</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补助</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因研究开发、技术更新及改造等获得的补助</w:t>
            </w: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是</w:t>
            </w: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否</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500,000.00</w:t>
            </w: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与收益相关</w:t>
            </w:r>
          </w:p>
        </w:tc>
      </w:tr>
      <w:tr>
        <w:tblPrEx>
          <w:tblLayout w:type="fixed"/>
          <w:tblCellMar>
            <w:top w:w="0" w:type="dxa"/>
            <w:left w:w="28" w:type="dxa"/>
            <w:bottom w:w="0" w:type="dxa"/>
            <w:right w:w="28" w:type="dxa"/>
          </w:tblCellMar>
        </w:tblPrEx>
        <w:tc>
          <w:tcPr>
            <w:tcW w:w="102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新产品推广补助</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南通市政府</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补助</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因符合地方政府招商引资等地方性扶持政策而获得的补助</w:t>
            </w: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是</w:t>
            </w: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否</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4,000,000.00</w:t>
            </w: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与收益相关</w:t>
            </w:r>
          </w:p>
        </w:tc>
      </w:tr>
      <w:tr>
        <w:tblPrEx>
          <w:tblLayout w:type="fixed"/>
          <w:tblCellMar>
            <w:top w:w="0" w:type="dxa"/>
            <w:left w:w="28" w:type="dxa"/>
            <w:bottom w:w="0" w:type="dxa"/>
            <w:right w:w="28" w:type="dxa"/>
          </w:tblCellMar>
        </w:tblPrEx>
        <w:tc>
          <w:tcPr>
            <w:tcW w:w="102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其他政府补助</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各地方政府部门</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补助</w:t>
            </w:r>
          </w:p>
        </w:tc>
        <w:tc>
          <w:tcPr>
            <w:tcW w:w="102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因符合地方政府招商引资等地方性扶持政策而获得的补助</w:t>
            </w: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是</w:t>
            </w: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否</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2,696,727.86</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4,440,577.33</w:t>
            </w:r>
          </w:p>
        </w:tc>
        <w:tc>
          <w:tcPr>
            <w:tcW w:w="10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与收益相关</w:t>
            </w:r>
          </w:p>
        </w:tc>
      </w:tr>
      <w:tr>
        <w:tblPrEx>
          <w:tblLayout w:type="fixed"/>
          <w:tblCellMar>
            <w:top w:w="0" w:type="dxa"/>
            <w:left w:w="28" w:type="dxa"/>
            <w:bottom w:w="0" w:type="dxa"/>
            <w:right w:w="28" w:type="dxa"/>
          </w:tblCellMar>
        </w:tblPrEx>
        <w:tc>
          <w:tcPr>
            <w:tcW w:w="102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102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sz w:val="21"/>
                <w:szCs w:val="21"/>
              </w:rPr>
              <w:t>--</w:t>
            </w:r>
          </w:p>
        </w:tc>
        <w:tc>
          <w:tcPr>
            <w:tcW w:w="102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sz w:val="21"/>
                <w:szCs w:val="21"/>
              </w:rPr>
              <w:t>--</w:t>
            </w:r>
          </w:p>
        </w:tc>
        <w:tc>
          <w:tcPr>
            <w:tcW w:w="102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sz w:val="21"/>
                <w:szCs w:val="21"/>
              </w:rPr>
              <w:t>--</w:t>
            </w:r>
          </w:p>
        </w:tc>
        <w:tc>
          <w:tcPr>
            <w:tcW w:w="102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sz w:val="21"/>
                <w:szCs w:val="21"/>
              </w:rPr>
              <w:t>--</w:t>
            </w:r>
          </w:p>
        </w:tc>
        <w:tc>
          <w:tcPr>
            <w:tcW w:w="102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sz w:val="21"/>
                <w:szCs w:val="21"/>
              </w:rPr>
              <w:t>--</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24,151,889.48</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18,726,997.31</w:t>
            </w:r>
          </w:p>
        </w:tc>
        <w:tc>
          <w:tcPr>
            <w:tcW w:w="102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sz w:val="21"/>
                <w:szCs w:val="21"/>
              </w:rPr>
              <w:t>--</w:t>
            </w:r>
          </w:p>
        </w:tc>
      </w:tr>
    </w:tbl>
    <w:p>
      <w:pPr>
        <w:pStyle w:val="11"/>
        <w:outlineLvl w:val="2"/>
        <w:rPr>
          <w:bCs w:val="0"/>
          <w:szCs w:val="24"/>
        </w:rPr>
      </w:pPr>
      <w:r>
        <w:rPr>
          <w:bCs w:val="0"/>
          <w:szCs w:val="24"/>
        </w:rPr>
        <w:t>43</w:t>
      </w:r>
      <w:r>
        <w:rPr>
          <w:rFonts w:hint="eastAsia"/>
          <w:bCs w:val="0"/>
          <w:szCs w:val="24"/>
        </w:rPr>
        <w:t>、营业外支出</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568" w:type="dxa"/>
        <w:tblInd w:w="28" w:type="dxa"/>
        <w:tblLayout w:type="fixed"/>
        <w:tblCellMar>
          <w:top w:w="0" w:type="dxa"/>
          <w:left w:w="28" w:type="dxa"/>
          <w:bottom w:w="0" w:type="dxa"/>
          <w:right w:w="28" w:type="dxa"/>
        </w:tblCellMar>
      </w:tblPr>
      <w:tblGrid>
        <w:gridCol w:w="2389"/>
        <w:gridCol w:w="2395"/>
        <w:gridCol w:w="2392"/>
        <w:gridCol w:w="2392"/>
      </w:tblGrid>
      <w:tr>
        <w:tblPrEx>
          <w:tblLayout w:type="fixed"/>
          <w:tblCellMar>
            <w:top w:w="0" w:type="dxa"/>
            <w:left w:w="28" w:type="dxa"/>
            <w:bottom w:w="0" w:type="dxa"/>
            <w:right w:w="28" w:type="dxa"/>
          </w:tblCellMar>
        </w:tblPrEx>
        <w:tc>
          <w:tcPr>
            <w:tcW w:w="238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239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本期发生额</w:t>
            </w:r>
          </w:p>
        </w:tc>
        <w:tc>
          <w:tcPr>
            <w:tcW w:w="239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上期发生额</w:t>
            </w:r>
          </w:p>
        </w:tc>
        <w:tc>
          <w:tcPr>
            <w:tcW w:w="239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计入当期非经常性损益的金额</w:t>
            </w:r>
          </w:p>
        </w:tc>
      </w:tr>
      <w:tr>
        <w:tblPrEx>
          <w:tblLayout w:type="fixed"/>
          <w:tblCellMar>
            <w:top w:w="0" w:type="dxa"/>
            <w:left w:w="28" w:type="dxa"/>
            <w:bottom w:w="0" w:type="dxa"/>
            <w:right w:w="28" w:type="dxa"/>
          </w:tblCellMar>
        </w:tblPrEx>
        <w:tc>
          <w:tcPr>
            <w:tcW w:w="238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非流动资产处置损失合计</w:t>
            </w:r>
          </w:p>
        </w:tc>
        <w:tc>
          <w:tcPr>
            <w:tcW w:w="2395"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151,934.51</w:t>
            </w:r>
          </w:p>
        </w:tc>
        <w:tc>
          <w:tcPr>
            <w:tcW w:w="2392"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10,083.88</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151,934.51</w:t>
            </w:r>
          </w:p>
        </w:tc>
      </w:tr>
      <w:tr>
        <w:tblPrEx>
          <w:tblLayout w:type="fixed"/>
          <w:tblCellMar>
            <w:top w:w="0" w:type="dxa"/>
            <w:left w:w="28" w:type="dxa"/>
            <w:bottom w:w="0" w:type="dxa"/>
            <w:right w:w="28" w:type="dxa"/>
          </w:tblCellMar>
        </w:tblPrEx>
        <w:tc>
          <w:tcPr>
            <w:tcW w:w="238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其中：固定资产处置损失</w:t>
            </w:r>
          </w:p>
        </w:tc>
        <w:tc>
          <w:tcPr>
            <w:tcW w:w="239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151,934.51</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10,083.88</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151,934.51</w:t>
            </w:r>
          </w:p>
        </w:tc>
      </w:tr>
      <w:tr>
        <w:tblPrEx>
          <w:tblLayout w:type="fixed"/>
          <w:tblCellMar>
            <w:top w:w="0" w:type="dxa"/>
            <w:left w:w="28" w:type="dxa"/>
            <w:bottom w:w="0" w:type="dxa"/>
            <w:right w:w="28" w:type="dxa"/>
          </w:tblCellMar>
        </w:tblPrEx>
        <w:tc>
          <w:tcPr>
            <w:tcW w:w="238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对外捐赠</w:t>
            </w:r>
          </w:p>
        </w:tc>
        <w:tc>
          <w:tcPr>
            <w:tcW w:w="239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118,708.20</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118,708.20</w:t>
            </w:r>
          </w:p>
        </w:tc>
      </w:tr>
      <w:tr>
        <w:tblPrEx>
          <w:tblLayout w:type="fixed"/>
          <w:tblCellMar>
            <w:top w:w="0" w:type="dxa"/>
            <w:left w:w="28" w:type="dxa"/>
            <w:bottom w:w="0" w:type="dxa"/>
            <w:right w:w="28" w:type="dxa"/>
          </w:tblCellMar>
        </w:tblPrEx>
        <w:tc>
          <w:tcPr>
            <w:tcW w:w="23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其他</w:t>
            </w:r>
          </w:p>
        </w:tc>
        <w:tc>
          <w:tcPr>
            <w:tcW w:w="239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169,325.43</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42,398.63</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169,325.43</w:t>
            </w:r>
          </w:p>
        </w:tc>
      </w:tr>
      <w:tr>
        <w:tblPrEx>
          <w:tblLayout w:type="fixed"/>
          <w:tblCellMar>
            <w:top w:w="0" w:type="dxa"/>
            <w:left w:w="28" w:type="dxa"/>
            <w:bottom w:w="0" w:type="dxa"/>
            <w:right w:w="28" w:type="dxa"/>
          </w:tblCellMar>
        </w:tblPrEx>
        <w:tc>
          <w:tcPr>
            <w:tcW w:w="238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2395"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439,968.14</w:t>
            </w:r>
          </w:p>
        </w:tc>
        <w:tc>
          <w:tcPr>
            <w:tcW w:w="2392"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52,482.51</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439,968.14</w:t>
            </w:r>
          </w:p>
        </w:tc>
      </w:tr>
    </w:tbl>
    <w:p>
      <w:pPr>
        <w:pStyle w:val="11"/>
        <w:outlineLvl w:val="2"/>
        <w:rPr>
          <w:bCs w:val="0"/>
          <w:szCs w:val="24"/>
        </w:rPr>
      </w:pPr>
      <w:r>
        <w:rPr>
          <w:bCs w:val="0"/>
          <w:szCs w:val="24"/>
        </w:rPr>
        <w:t>44</w:t>
      </w:r>
      <w:r>
        <w:rPr>
          <w:rFonts w:hint="eastAsia"/>
          <w:bCs w:val="0"/>
          <w:szCs w:val="24"/>
        </w:rPr>
        <w:t>、所得税费用</w:t>
      </w:r>
    </w:p>
    <w:p>
      <w:pPr>
        <w:pStyle w:val="11"/>
        <w:outlineLvl w:val="3"/>
        <w:rPr>
          <w:bCs w:val="0"/>
          <w:szCs w:val="24"/>
        </w:rPr>
      </w:pPr>
      <w:r>
        <w:rPr>
          <w:rFonts w:hint="eastAsia"/>
          <w:bCs w:val="0"/>
          <w:szCs w:val="24"/>
        </w:rPr>
        <w:t>（</w:t>
      </w:r>
      <w:r>
        <w:rPr>
          <w:bCs w:val="0"/>
          <w:szCs w:val="24"/>
        </w:rPr>
        <w:t>1</w:t>
      </w:r>
      <w:r>
        <w:rPr>
          <w:rFonts w:hint="eastAsia"/>
          <w:bCs w:val="0"/>
          <w:szCs w:val="24"/>
        </w:rPr>
        <w:t>）所得税费用表</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569" w:type="dxa"/>
        <w:tblInd w:w="28" w:type="dxa"/>
        <w:tblLayout w:type="fixed"/>
        <w:tblCellMar>
          <w:top w:w="0" w:type="dxa"/>
          <w:left w:w="28" w:type="dxa"/>
          <w:bottom w:w="0" w:type="dxa"/>
          <w:right w:w="28" w:type="dxa"/>
        </w:tblCellMar>
      </w:tblPr>
      <w:tblGrid>
        <w:gridCol w:w="3187"/>
        <w:gridCol w:w="3193"/>
        <w:gridCol w:w="3189"/>
      </w:tblGrid>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319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本期发生额</w:t>
            </w:r>
          </w:p>
        </w:tc>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上期发生额</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当期所得税费用</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25,724,383.89</w:t>
            </w: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4,833,650.47</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递延所得税费用</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374,756.90</w:t>
            </w: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-114,139.23</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3193"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26,099,140.79</w:t>
            </w:r>
          </w:p>
        </w:tc>
        <w:tc>
          <w:tcPr>
            <w:tcW w:w="3189"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4,719,511.24</w:t>
            </w:r>
          </w:p>
        </w:tc>
      </w:tr>
    </w:tbl>
    <w:p>
      <w:pPr>
        <w:pStyle w:val="11"/>
        <w:outlineLvl w:val="3"/>
        <w:rPr>
          <w:bCs w:val="0"/>
          <w:szCs w:val="24"/>
        </w:rPr>
      </w:pPr>
      <w:r>
        <w:rPr>
          <w:rFonts w:hint="eastAsia"/>
          <w:bCs w:val="0"/>
          <w:szCs w:val="24"/>
        </w:rPr>
        <w:t>（</w:t>
      </w:r>
      <w:r>
        <w:rPr>
          <w:bCs w:val="0"/>
          <w:szCs w:val="24"/>
        </w:rPr>
        <w:t>2</w:t>
      </w:r>
      <w:r>
        <w:rPr>
          <w:rFonts w:hint="eastAsia"/>
          <w:bCs w:val="0"/>
          <w:szCs w:val="24"/>
        </w:rPr>
        <w:t>）会计利润与所得税费用调整过程</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568" w:type="dxa"/>
        <w:tblInd w:w="28" w:type="dxa"/>
        <w:tblLayout w:type="fixed"/>
        <w:tblCellMar>
          <w:top w:w="0" w:type="dxa"/>
          <w:left w:w="28" w:type="dxa"/>
          <w:bottom w:w="0" w:type="dxa"/>
          <w:right w:w="28" w:type="dxa"/>
        </w:tblCellMar>
      </w:tblPr>
      <w:tblGrid>
        <w:gridCol w:w="4779"/>
        <w:gridCol w:w="4789"/>
      </w:tblGrid>
      <w:tr>
        <w:tblPrEx>
          <w:tblLayout w:type="fixed"/>
          <w:tblCellMar>
            <w:top w:w="0" w:type="dxa"/>
            <w:left w:w="28" w:type="dxa"/>
            <w:bottom w:w="0" w:type="dxa"/>
            <w:right w:w="28" w:type="dxa"/>
          </w:tblCellMar>
        </w:tblPrEx>
        <w:tc>
          <w:tcPr>
            <w:tcW w:w="477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478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本期发生额</w:t>
            </w:r>
          </w:p>
        </w:tc>
      </w:tr>
      <w:tr>
        <w:tblPrEx>
          <w:tblLayout w:type="fixed"/>
          <w:tblCellMar>
            <w:top w:w="0" w:type="dxa"/>
            <w:left w:w="28" w:type="dxa"/>
            <w:bottom w:w="0" w:type="dxa"/>
            <w:right w:w="28" w:type="dxa"/>
          </w:tblCellMar>
        </w:tblPrEx>
        <w:tc>
          <w:tcPr>
            <w:tcW w:w="477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利润总额</w:t>
            </w:r>
          </w:p>
        </w:tc>
        <w:tc>
          <w:tcPr>
            <w:tcW w:w="4789"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136,909,359.96</w:t>
            </w:r>
          </w:p>
        </w:tc>
      </w:tr>
      <w:tr>
        <w:tblPrEx>
          <w:tblLayout w:type="fixed"/>
          <w:tblCellMar>
            <w:top w:w="0" w:type="dxa"/>
            <w:left w:w="28" w:type="dxa"/>
            <w:bottom w:w="0" w:type="dxa"/>
            <w:right w:w="28" w:type="dxa"/>
          </w:tblCellMar>
        </w:tblPrEx>
        <w:tc>
          <w:tcPr>
            <w:tcW w:w="477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按法定</w:t>
            </w:r>
            <w:r>
              <w:rPr>
                <w:sz w:val="21"/>
                <w:szCs w:val="21"/>
              </w:rPr>
              <w:t>/</w:t>
            </w:r>
            <w:r>
              <w:rPr>
                <w:rFonts w:hint="eastAsia"/>
                <w:sz w:val="21"/>
                <w:szCs w:val="21"/>
              </w:rPr>
              <w:t>适用税率计算的所得税费用</w:t>
            </w:r>
          </w:p>
        </w:tc>
        <w:tc>
          <w:tcPr>
            <w:tcW w:w="47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20,536,403.99</w:t>
            </w:r>
          </w:p>
        </w:tc>
      </w:tr>
      <w:tr>
        <w:tblPrEx>
          <w:tblLayout w:type="fixed"/>
          <w:tblCellMar>
            <w:top w:w="0" w:type="dxa"/>
            <w:left w:w="28" w:type="dxa"/>
            <w:bottom w:w="0" w:type="dxa"/>
            <w:right w:w="28" w:type="dxa"/>
          </w:tblCellMar>
        </w:tblPrEx>
        <w:tc>
          <w:tcPr>
            <w:tcW w:w="477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子公司适用不同税率的影响</w:t>
            </w:r>
          </w:p>
        </w:tc>
        <w:tc>
          <w:tcPr>
            <w:tcW w:w="47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1,519,862.76</w:t>
            </w:r>
          </w:p>
        </w:tc>
      </w:tr>
      <w:tr>
        <w:tblPrEx>
          <w:tblLayout w:type="fixed"/>
          <w:tblCellMar>
            <w:top w:w="0" w:type="dxa"/>
            <w:left w:w="28" w:type="dxa"/>
            <w:bottom w:w="0" w:type="dxa"/>
            <w:right w:w="28" w:type="dxa"/>
          </w:tblCellMar>
        </w:tblPrEx>
        <w:tc>
          <w:tcPr>
            <w:tcW w:w="477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调整以前期间所得税的影响</w:t>
            </w:r>
          </w:p>
        </w:tc>
        <w:tc>
          <w:tcPr>
            <w:tcW w:w="47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-946,836.20</w:t>
            </w:r>
          </w:p>
        </w:tc>
      </w:tr>
      <w:tr>
        <w:tblPrEx>
          <w:tblLayout w:type="fixed"/>
          <w:tblCellMar>
            <w:top w:w="0" w:type="dxa"/>
            <w:left w:w="28" w:type="dxa"/>
            <w:bottom w:w="0" w:type="dxa"/>
            <w:right w:w="28" w:type="dxa"/>
          </w:tblCellMar>
        </w:tblPrEx>
        <w:tc>
          <w:tcPr>
            <w:tcW w:w="477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非应税收入的影响</w:t>
            </w:r>
          </w:p>
        </w:tc>
        <w:tc>
          <w:tcPr>
            <w:tcW w:w="47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305,396.15</w:t>
            </w:r>
          </w:p>
        </w:tc>
      </w:tr>
      <w:tr>
        <w:tblPrEx>
          <w:tblLayout w:type="fixed"/>
          <w:tblCellMar>
            <w:top w:w="0" w:type="dxa"/>
            <w:left w:w="28" w:type="dxa"/>
            <w:bottom w:w="0" w:type="dxa"/>
            <w:right w:w="28" w:type="dxa"/>
          </w:tblCellMar>
        </w:tblPrEx>
        <w:tc>
          <w:tcPr>
            <w:tcW w:w="477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不可抵扣的成本、费用和损失的影响</w:t>
            </w:r>
          </w:p>
        </w:tc>
        <w:tc>
          <w:tcPr>
            <w:tcW w:w="47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5,059,102.16</w:t>
            </w:r>
          </w:p>
        </w:tc>
      </w:tr>
      <w:tr>
        <w:tblPrEx>
          <w:tblLayout w:type="fixed"/>
          <w:tblCellMar>
            <w:top w:w="0" w:type="dxa"/>
            <w:left w:w="28" w:type="dxa"/>
            <w:bottom w:w="0" w:type="dxa"/>
            <w:right w:w="28" w:type="dxa"/>
          </w:tblCellMar>
        </w:tblPrEx>
        <w:tc>
          <w:tcPr>
            <w:tcW w:w="477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税率变动的影响</w:t>
            </w:r>
          </w:p>
        </w:tc>
        <w:tc>
          <w:tcPr>
            <w:tcW w:w="47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341,524.11</w:t>
            </w:r>
          </w:p>
        </w:tc>
      </w:tr>
      <w:tr>
        <w:tblPrEx>
          <w:tblLayout w:type="fixed"/>
          <w:tblCellMar>
            <w:top w:w="0" w:type="dxa"/>
            <w:left w:w="28" w:type="dxa"/>
            <w:bottom w:w="0" w:type="dxa"/>
            <w:right w:w="28" w:type="dxa"/>
          </w:tblCellMar>
        </w:tblPrEx>
        <w:tc>
          <w:tcPr>
            <w:tcW w:w="477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研发费用加计扣除</w:t>
            </w:r>
          </w:p>
        </w:tc>
        <w:tc>
          <w:tcPr>
            <w:tcW w:w="47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-1,053,439.82</w:t>
            </w:r>
          </w:p>
        </w:tc>
      </w:tr>
      <w:tr>
        <w:tblPrEx>
          <w:tblLayout w:type="fixed"/>
          <w:tblCellMar>
            <w:top w:w="0" w:type="dxa"/>
            <w:left w:w="28" w:type="dxa"/>
            <w:bottom w:w="0" w:type="dxa"/>
            <w:right w:w="28" w:type="dxa"/>
          </w:tblCellMar>
        </w:tblPrEx>
        <w:tc>
          <w:tcPr>
            <w:tcW w:w="477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本年未确认递延所得税资产的可抵扣暂时性差异或可抵扣亏损的影响</w:t>
            </w:r>
          </w:p>
        </w:tc>
        <w:tc>
          <w:tcPr>
            <w:tcW w:w="47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337,127.64</w:t>
            </w:r>
          </w:p>
        </w:tc>
      </w:tr>
      <w:tr>
        <w:tblPrEx>
          <w:tblLayout w:type="fixed"/>
          <w:tblCellMar>
            <w:top w:w="0" w:type="dxa"/>
            <w:left w:w="28" w:type="dxa"/>
            <w:bottom w:w="0" w:type="dxa"/>
            <w:right w:w="28" w:type="dxa"/>
          </w:tblCellMar>
        </w:tblPrEx>
        <w:tc>
          <w:tcPr>
            <w:tcW w:w="477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所得税费用</w:t>
            </w:r>
          </w:p>
        </w:tc>
        <w:tc>
          <w:tcPr>
            <w:tcW w:w="4789"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26,099,140.79</w:t>
            </w:r>
          </w:p>
        </w:tc>
      </w:tr>
    </w:tbl>
    <w:p>
      <w:pPr>
        <w:pStyle w:val="11"/>
        <w:outlineLvl w:val="2"/>
        <w:rPr>
          <w:bCs w:val="0"/>
          <w:szCs w:val="24"/>
        </w:rPr>
      </w:pPr>
      <w:r>
        <w:rPr>
          <w:bCs w:val="0"/>
          <w:szCs w:val="24"/>
        </w:rPr>
        <w:t>45</w:t>
      </w:r>
      <w:r>
        <w:rPr>
          <w:rFonts w:hint="eastAsia"/>
          <w:bCs w:val="0"/>
          <w:szCs w:val="24"/>
        </w:rPr>
        <w:t>、其他综合收益</w:t>
      </w:r>
    </w:p>
    <w:p>
      <w:pPr>
        <w:jc w:val="left"/>
        <w:rPr>
          <w:sz w:val="21"/>
          <w:szCs w:val="21"/>
        </w:rPr>
      </w:pPr>
      <w:r>
        <w:rPr>
          <w:rFonts w:hint="eastAsia"/>
          <w:sz w:val="21"/>
          <w:szCs w:val="21"/>
        </w:rPr>
        <w:t>详见本附注</w:t>
      </w:r>
      <w:r>
        <w:rPr>
          <w:sz w:val="21"/>
          <w:szCs w:val="21"/>
        </w:rPr>
        <w:t>“33</w:t>
      </w:r>
      <w:r>
        <w:rPr>
          <w:rFonts w:hint="eastAsia"/>
          <w:sz w:val="21"/>
          <w:szCs w:val="21"/>
        </w:rPr>
        <w:t>其他综合收益</w:t>
      </w:r>
      <w:r>
        <w:rPr>
          <w:sz w:val="21"/>
          <w:szCs w:val="21"/>
        </w:rPr>
        <w:t>”</w:t>
      </w:r>
      <w:r>
        <w:rPr>
          <w:rFonts w:hint="eastAsia"/>
          <w:sz w:val="21"/>
          <w:szCs w:val="21"/>
        </w:rPr>
        <w:t>相关内容</w:t>
      </w:r>
    </w:p>
    <w:p>
      <w:pPr>
        <w:pStyle w:val="11"/>
        <w:outlineLvl w:val="2"/>
        <w:rPr>
          <w:bCs w:val="0"/>
          <w:szCs w:val="24"/>
        </w:rPr>
      </w:pPr>
      <w:r>
        <w:rPr>
          <w:bCs w:val="0"/>
          <w:szCs w:val="24"/>
        </w:rPr>
        <w:t>46</w:t>
      </w:r>
      <w:r>
        <w:rPr>
          <w:rFonts w:hint="eastAsia"/>
          <w:bCs w:val="0"/>
          <w:szCs w:val="24"/>
        </w:rPr>
        <w:t>、现金流量表项目</w:t>
      </w:r>
    </w:p>
    <w:p>
      <w:pPr>
        <w:pStyle w:val="11"/>
        <w:outlineLvl w:val="3"/>
        <w:rPr>
          <w:bCs w:val="0"/>
          <w:szCs w:val="24"/>
        </w:rPr>
      </w:pPr>
      <w:r>
        <w:rPr>
          <w:rFonts w:hint="eastAsia"/>
          <w:bCs w:val="0"/>
          <w:szCs w:val="24"/>
        </w:rPr>
        <w:t>（</w:t>
      </w:r>
      <w:r>
        <w:rPr>
          <w:bCs w:val="0"/>
          <w:szCs w:val="24"/>
        </w:rPr>
        <w:t>1</w:t>
      </w:r>
      <w:r>
        <w:rPr>
          <w:rFonts w:hint="eastAsia"/>
          <w:bCs w:val="0"/>
          <w:szCs w:val="24"/>
        </w:rPr>
        <w:t>）收到的其他与经营活动有关的现金</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569" w:type="dxa"/>
        <w:tblInd w:w="28" w:type="dxa"/>
        <w:tblLayout w:type="fixed"/>
        <w:tblCellMar>
          <w:top w:w="0" w:type="dxa"/>
          <w:left w:w="28" w:type="dxa"/>
          <w:bottom w:w="0" w:type="dxa"/>
          <w:right w:w="28" w:type="dxa"/>
        </w:tblCellMar>
      </w:tblPr>
      <w:tblGrid>
        <w:gridCol w:w="3187"/>
        <w:gridCol w:w="3193"/>
        <w:gridCol w:w="3189"/>
      </w:tblGrid>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319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本期发生额</w:t>
            </w:r>
          </w:p>
        </w:tc>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上期发生额</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政府补助</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15,031,882.75</w:t>
            </w: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14,392,847.00</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存款利息收入</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3,319,330.58</w:t>
            </w: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1,816,657.62</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收到受限资金</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1,027,368.14</w:t>
            </w: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往来款</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52,210,136.42</w:t>
            </w: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2,408,157.33</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其他</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8,106,117.12</w:t>
            </w: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3193"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79,694,835.01</w:t>
            </w:r>
          </w:p>
        </w:tc>
        <w:tc>
          <w:tcPr>
            <w:tcW w:w="3189"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18,617,661.95</w:t>
            </w:r>
          </w:p>
        </w:tc>
      </w:tr>
    </w:tbl>
    <w:p>
      <w:pPr>
        <w:pStyle w:val="11"/>
        <w:outlineLvl w:val="3"/>
        <w:rPr>
          <w:bCs w:val="0"/>
        </w:rPr>
      </w:pPr>
      <w:r>
        <w:rPr>
          <w:rFonts w:hint="eastAsia"/>
          <w:bCs w:val="0"/>
          <w:szCs w:val="24"/>
        </w:rPr>
        <w:t>（</w:t>
      </w:r>
      <w:r>
        <w:rPr>
          <w:bCs w:val="0"/>
          <w:szCs w:val="24"/>
        </w:rPr>
        <w:t>2</w:t>
      </w:r>
      <w:r>
        <w:rPr>
          <w:rFonts w:hint="eastAsia"/>
          <w:bCs w:val="0"/>
          <w:szCs w:val="24"/>
        </w:rPr>
        <w:t>）支付的其他与经营活动有关的现金</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569" w:type="dxa"/>
        <w:tblInd w:w="28" w:type="dxa"/>
        <w:tblLayout w:type="fixed"/>
        <w:tblCellMar>
          <w:top w:w="0" w:type="dxa"/>
          <w:left w:w="28" w:type="dxa"/>
          <w:bottom w:w="0" w:type="dxa"/>
          <w:right w:w="28" w:type="dxa"/>
        </w:tblCellMar>
      </w:tblPr>
      <w:tblGrid>
        <w:gridCol w:w="3187"/>
        <w:gridCol w:w="3193"/>
        <w:gridCol w:w="3189"/>
      </w:tblGrid>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319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本期发生额</w:t>
            </w:r>
          </w:p>
        </w:tc>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上期发生额</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期间费用</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92,445,488.65</w:t>
            </w: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52,453,898.93</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往来款</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67,786,115.93</w:t>
            </w: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保证金</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12,273,615.02</w:t>
            </w: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9,347,552.40</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个人借款</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3,425,358.21</w:t>
            </w: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其他</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4,532,799.03</w:t>
            </w: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1,373,029.09</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3193"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180,463,376.84</w:t>
            </w:r>
          </w:p>
        </w:tc>
        <w:tc>
          <w:tcPr>
            <w:tcW w:w="3189"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63,174,480.42</w:t>
            </w:r>
          </w:p>
        </w:tc>
      </w:tr>
    </w:tbl>
    <w:p>
      <w:pPr>
        <w:pStyle w:val="11"/>
        <w:outlineLvl w:val="3"/>
        <w:rPr>
          <w:bCs w:val="0"/>
          <w:szCs w:val="24"/>
        </w:rPr>
      </w:pPr>
      <w:r>
        <w:rPr>
          <w:rFonts w:hint="eastAsia"/>
          <w:bCs w:val="0"/>
          <w:szCs w:val="24"/>
        </w:rPr>
        <w:t>（</w:t>
      </w:r>
      <w:r>
        <w:rPr>
          <w:bCs w:val="0"/>
          <w:szCs w:val="24"/>
        </w:rPr>
        <w:t>3</w:t>
      </w:r>
      <w:r>
        <w:rPr>
          <w:rFonts w:hint="eastAsia"/>
          <w:bCs w:val="0"/>
          <w:szCs w:val="24"/>
        </w:rPr>
        <w:t>）收到的其他与投资活动有关的现金</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569" w:type="dxa"/>
        <w:tblInd w:w="28" w:type="dxa"/>
        <w:tblLayout w:type="fixed"/>
        <w:tblCellMar>
          <w:top w:w="0" w:type="dxa"/>
          <w:left w:w="28" w:type="dxa"/>
          <w:bottom w:w="0" w:type="dxa"/>
          <w:right w:w="28" w:type="dxa"/>
        </w:tblCellMar>
      </w:tblPr>
      <w:tblGrid>
        <w:gridCol w:w="3187"/>
        <w:gridCol w:w="3193"/>
        <w:gridCol w:w="3189"/>
      </w:tblGrid>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319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本期发生额</w:t>
            </w:r>
          </w:p>
        </w:tc>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上期发生额</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取得上海海兰劳雷海洋科技有限公司支付的现金净额</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270,100,784.10</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取得与资产相关的政府补助款</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10,000,000.00</w:t>
            </w: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上年预付的固定资产款项退回</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19,000,000.00</w:t>
            </w: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3193"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29,000,000.00</w:t>
            </w:r>
          </w:p>
        </w:tc>
        <w:tc>
          <w:tcPr>
            <w:tcW w:w="3189"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270,100,784.10</w:t>
            </w:r>
          </w:p>
        </w:tc>
      </w:tr>
    </w:tbl>
    <w:p>
      <w:pPr>
        <w:pStyle w:val="11"/>
        <w:outlineLvl w:val="3"/>
        <w:rPr>
          <w:bCs w:val="0"/>
          <w:szCs w:val="24"/>
        </w:rPr>
      </w:pPr>
      <w:r>
        <w:rPr>
          <w:rFonts w:hint="eastAsia"/>
          <w:bCs w:val="0"/>
          <w:szCs w:val="24"/>
        </w:rPr>
        <w:t>（</w:t>
      </w:r>
      <w:r>
        <w:rPr>
          <w:bCs w:val="0"/>
          <w:szCs w:val="24"/>
        </w:rPr>
        <w:t>4</w:t>
      </w:r>
      <w:r>
        <w:rPr>
          <w:rFonts w:hint="eastAsia"/>
          <w:bCs w:val="0"/>
          <w:szCs w:val="24"/>
        </w:rPr>
        <w:t>）支付的其他与投资活动有关的现金</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569" w:type="dxa"/>
        <w:tblInd w:w="28" w:type="dxa"/>
        <w:tblLayout w:type="fixed"/>
        <w:tblCellMar>
          <w:top w:w="0" w:type="dxa"/>
          <w:left w:w="28" w:type="dxa"/>
          <w:bottom w:w="0" w:type="dxa"/>
          <w:right w:w="28" w:type="dxa"/>
        </w:tblCellMar>
      </w:tblPr>
      <w:tblGrid>
        <w:gridCol w:w="3187"/>
        <w:gridCol w:w="3193"/>
        <w:gridCol w:w="3189"/>
      </w:tblGrid>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319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本期发生额</w:t>
            </w:r>
          </w:p>
        </w:tc>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上期发生额</w:t>
            </w:r>
          </w:p>
        </w:tc>
      </w:tr>
    </w:tbl>
    <w:p>
      <w:pPr>
        <w:pStyle w:val="11"/>
        <w:outlineLvl w:val="3"/>
        <w:rPr>
          <w:bCs w:val="0"/>
          <w:szCs w:val="24"/>
        </w:rPr>
      </w:pPr>
      <w:r>
        <w:rPr>
          <w:rFonts w:hint="eastAsia"/>
          <w:bCs w:val="0"/>
          <w:szCs w:val="24"/>
        </w:rPr>
        <w:t>（</w:t>
      </w:r>
      <w:r>
        <w:rPr>
          <w:bCs w:val="0"/>
          <w:szCs w:val="24"/>
        </w:rPr>
        <w:t>5</w:t>
      </w:r>
      <w:r>
        <w:rPr>
          <w:rFonts w:hint="eastAsia"/>
          <w:bCs w:val="0"/>
          <w:szCs w:val="24"/>
        </w:rPr>
        <w:t>）收到的其他与筹资活动有关的现金</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569" w:type="dxa"/>
        <w:tblInd w:w="28" w:type="dxa"/>
        <w:tblLayout w:type="fixed"/>
        <w:tblCellMar>
          <w:top w:w="0" w:type="dxa"/>
          <w:left w:w="28" w:type="dxa"/>
          <w:bottom w:w="0" w:type="dxa"/>
          <w:right w:w="28" w:type="dxa"/>
        </w:tblCellMar>
      </w:tblPr>
      <w:tblGrid>
        <w:gridCol w:w="3187"/>
        <w:gridCol w:w="3193"/>
        <w:gridCol w:w="3189"/>
      </w:tblGrid>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319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本期发生额</w:t>
            </w:r>
          </w:p>
        </w:tc>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上期发生额</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3193"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p>
        </w:tc>
        <w:tc>
          <w:tcPr>
            <w:tcW w:w="3189"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p>
        </w:tc>
      </w:tr>
    </w:tbl>
    <w:p>
      <w:pPr>
        <w:jc w:val="left"/>
        <w:rPr>
          <w:sz w:val="21"/>
          <w:szCs w:val="21"/>
        </w:rPr>
      </w:pPr>
      <w:r>
        <w:rPr>
          <w:rFonts w:hint="eastAsia"/>
          <w:sz w:val="21"/>
          <w:szCs w:val="21"/>
        </w:rPr>
        <w:t>收到的其他与筹资活动有关的现金说明：</w:t>
      </w:r>
    </w:p>
    <w:p>
      <w:pPr>
        <w:pStyle w:val="11"/>
        <w:outlineLvl w:val="3"/>
        <w:rPr>
          <w:bCs w:val="0"/>
        </w:rPr>
      </w:pPr>
      <w:r>
        <w:rPr>
          <w:rFonts w:hint="eastAsia"/>
          <w:bCs w:val="0"/>
          <w:szCs w:val="24"/>
        </w:rPr>
        <w:t>（</w:t>
      </w:r>
      <w:r>
        <w:rPr>
          <w:bCs w:val="0"/>
          <w:szCs w:val="24"/>
        </w:rPr>
        <w:t>6</w:t>
      </w:r>
      <w:r>
        <w:rPr>
          <w:rFonts w:hint="eastAsia"/>
          <w:bCs w:val="0"/>
          <w:szCs w:val="24"/>
        </w:rPr>
        <w:t>）支付的其他与筹资活动有关的现金</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569" w:type="dxa"/>
        <w:tblInd w:w="28" w:type="dxa"/>
        <w:tblLayout w:type="fixed"/>
        <w:tblCellMar>
          <w:top w:w="0" w:type="dxa"/>
          <w:left w:w="28" w:type="dxa"/>
          <w:bottom w:w="0" w:type="dxa"/>
          <w:right w:w="28" w:type="dxa"/>
        </w:tblCellMar>
      </w:tblPr>
      <w:tblGrid>
        <w:gridCol w:w="3187"/>
        <w:gridCol w:w="3193"/>
        <w:gridCol w:w="3189"/>
      </w:tblGrid>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319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本期发生额</w:t>
            </w:r>
          </w:p>
        </w:tc>
        <w:tc>
          <w:tcPr>
            <w:tcW w:w="318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上期发生额</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购买子公司少数股东股权支付的现金</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14,000,000.00</w:t>
            </w: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16,000,000.00</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支付发行股份购买上海海兰劳雷海洋科技有限公司的律师及券商费用</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3,200,000.00</w:t>
            </w: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2,199,178.42</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支付子公司江苏欧泰海洋工程科技有限公司少数股东款项</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1,889,143.55</w:t>
            </w: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其他</w:t>
            </w:r>
          </w:p>
        </w:tc>
        <w:tc>
          <w:tcPr>
            <w:tcW w:w="31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568.48</w:t>
            </w:r>
          </w:p>
        </w:tc>
        <w:tc>
          <w:tcPr>
            <w:tcW w:w="3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318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3193"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17,200,568.48</w:t>
            </w:r>
          </w:p>
        </w:tc>
        <w:tc>
          <w:tcPr>
            <w:tcW w:w="3189"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20,088,321.97</w:t>
            </w:r>
          </w:p>
        </w:tc>
      </w:tr>
    </w:tbl>
    <w:p>
      <w:pPr>
        <w:jc w:val="left"/>
        <w:rPr>
          <w:sz w:val="21"/>
          <w:szCs w:val="21"/>
        </w:rPr>
      </w:pPr>
      <w:r>
        <w:rPr>
          <w:rFonts w:hint="eastAsia"/>
          <w:sz w:val="21"/>
          <w:szCs w:val="21"/>
        </w:rPr>
        <w:t>支付的其他与筹资活动有关的现金说明：</w:t>
      </w:r>
    </w:p>
    <w:p>
      <w:pPr>
        <w:pStyle w:val="11"/>
        <w:outlineLvl w:val="2"/>
        <w:rPr>
          <w:bCs w:val="0"/>
          <w:szCs w:val="24"/>
        </w:rPr>
      </w:pPr>
      <w:r>
        <w:rPr>
          <w:bCs w:val="0"/>
          <w:szCs w:val="24"/>
        </w:rPr>
        <w:t>47</w:t>
      </w:r>
      <w:r>
        <w:rPr>
          <w:rFonts w:hint="eastAsia"/>
          <w:bCs w:val="0"/>
          <w:szCs w:val="24"/>
        </w:rPr>
        <w:t>、现金流量表补充资料</w:t>
      </w:r>
    </w:p>
    <w:p>
      <w:pPr>
        <w:pStyle w:val="11"/>
        <w:outlineLvl w:val="3"/>
        <w:rPr>
          <w:bCs w:val="0"/>
          <w:szCs w:val="24"/>
        </w:rPr>
      </w:pPr>
      <w:r>
        <w:rPr>
          <w:rFonts w:hint="eastAsia"/>
          <w:bCs w:val="0"/>
          <w:szCs w:val="24"/>
        </w:rPr>
        <w:t>（</w:t>
      </w:r>
      <w:r>
        <w:rPr>
          <w:bCs w:val="0"/>
          <w:szCs w:val="24"/>
        </w:rPr>
        <w:t>1</w:t>
      </w:r>
      <w:r>
        <w:rPr>
          <w:rFonts w:hint="eastAsia"/>
          <w:bCs w:val="0"/>
          <w:szCs w:val="24"/>
        </w:rPr>
        <w:t>）现金流量表补充资料</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694" w:type="dxa"/>
        <w:tblInd w:w="0" w:type="dxa"/>
        <w:tblLayout w:type="fixed"/>
        <w:tblCellMar>
          <w:top w:w="0" w:type="dxa"/>
          <w:left w:w="28" w:type="dxa"/>
          <w:bottom w:w="0" w:type="dxa"/>
          <w:right w:w="28" w:type="dxa"/>
        </w:tblCellMar>
      </w:tblPr>
      <w:tblGrid>
        <w:gridCol w:w="3372"/>
        <w:gridCol w:w="3098"/>
        <w:gridCol w:w="3224"/>
      </w:tblGrid>
      <w:tr>
        <w:tblPrEx>
          <w:tblLayout w:type="fixed"/>
          <w:tblCellMar>
            <w:top w:w="0" w:type="dxa"/>
            <w:left w:w="28" w:type="dxa"/>
            <w:bottom w:w="0" w:type="dxa"/>
            <w:right w:w="28" w:type="dxa"/>
          </w:tblCellMar>
        </w:tblPrEx>
        <w:tc>
          <w:tcPr>
            <w:tcW w:w="337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补充资料</w:t>
            </w:r>
          </w:p>
        </w:tc>
        <w:tc>
          <w:tcPr>
            <w:tcW w:w="3098"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本期金额</w:t>
            </w:r>
          </w:p>
        </w:tc>
        <w:tc>
          <w:tcPr>
            <w:tcW w:w="322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上期金额</w:t>
            </w:r>
          </w:p>
        </w:tc>
      </w:tr>
      <w:tr>
        <w:tblPrEx>
          <w:tblLayout w:type="fixed"/>
          <w:tblCellMar>
            <w:top w:w="0" w:type="dxa"/>
            <w:left w:w="28" w:type="dxa"/>
            <w:bottom w:w="0" w:type="dxa"/>
            <w:right w:w="28" w:type="dxa"/>
          </w:tblCellMar>
        </w:tblPrEx>
        <w:tc>
          <w:tcPr>
            <w:tcW w:w="337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1</w:t>
            </w:r>
            <w:r>
              <w:rPr>
                <w:rFonts w:hint="eastAsia"/>
                <w:sz w:val="21"/>
                <w:szCs w:val="21"/>
              </w:rPr>
              <w:t>．将净利润调节为经营活动现金流量：</w:t>
            </w:r>
          </w:p>
        </w:tc>
        <w:tc>
          <w:tcPr>
            <w:tcW w:w="3098"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sz w:val="21"/>
                <w:szCs w:val="21"/>
              </w:rPr>
              <w:t>--</w:t>
            </w:r>
          </w:p>
        </w:tc>
        <w:tc>
          <w:tcPr>
            <w:tcW w:w="322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sz w:val="21"/>
                <w:szCs w:val="21"/>
              </w:rPr>
              <w:t>--</w:t>
            </w:r>
          </w:p>
        </w:tc>
      </w:tr>
      <w:tr>
        <w:tblPrEx>
          <w:tblLayout w:type="fixed"/>
          <w:tblCellMar>
            <w:top w:w="0" w:type="dxa"/>
            <w:left w:w="28" w:type="dxa"/>
            <w:bottom w:w="0" w:type="dxa"/>
            <w:right w:w="28" w:type="dxa"/>
          </w:tblCellMar>
        </w:tblPrEx>
        <w:tc>
          <w:tcPr>
            <w:tcW w:w="337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净利润</w:t>
            </w:r>
          </w:p>
        </w:tc>
        <w:tc>
          <w:tcPr>
            <w:tcW w:w="3098"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110,810,219.17</w:t>
            </w:r>
          </w:p>
        </w:tc>
        <w:tc>
          <w:tcPr>
            <w:tcW w:w="3224"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36,213,521.19</w:t>
            </w:r>
          </w:p>
        </w:tc>
      </w:tr>
      <w:tr>
        <w:tblPrEx>
          <w:tblLayout w:type="fixed"/>
          <w:tblCellMar>
            <w:top w:w="0" w:type="dxa"/>
            <w:left w:w="28" w:type="dxa"/>
            <w:bottom w:w="0" w:type="dxa"/>
            <w:right w:w="28" w:type="dxa"/>
          </w:tblCellMar>
        </w:tblPrEx>
        <w:tc>
          <w:tcPr>
            <w:tcW w:w="337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加：资产减值准备</w:t>
            </w:r>
          </w:p>
        </w:tc>
        <w:tc>
          <w:tcPr>
            <w:tcW w:w="30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2,734,866.76</w:t>
            </w:r>
          </w:p>
        </w:tc>
        <w:tc>
          <w:tcPr>
            <w:tcW w:w="322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12,598,629.21</w:t>
            </w:r>
          </w:p>
        </w:tc>
      </w:tr>
      <w:tr>
        <w:tblPrEx>
          <w:tblLayout w:type="fixed"/>
          <w:tblCellMar>
            <w:top w:w="0" w:type="dxa"/>
            <w:left w:w="28" w:type="dxa"/>
            <w:bottom w:w="0" w:type="dxa"/>
            <w:right w:w="28" w:type="dxa"/>
          </w:tblCellMar>
        </w:tblPrEx>
        <w:tc>
          <w:tcPr>
            <w:tcW w:w="337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固定资产折旧、油气资产折耗、生产性生物资产折旧</w:t>
            </w:r>
          </w:p>
        </w:tc>
        <w:tc>
          <w:tcPr>
            <w:tcW w:w="30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12,007,608.98</w:t>
            </w:r>
          </w:p>
        </w:tc>
        <w:tc>
          <w:tcPr>
            <w:tcW w:w="322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10,873,313.82</w:t>
            </w:r>
          </w:p>
        </w:tc>
      </w:tr>
      <w:tr>
        <w:tblPrEx>
          <w:tblLayout w:type="fixed"/>
          <w:tblCellMar>
            <w:top w:w="0" w:type="dxa"/>
            <w:left w:w="28" w:type="dxa"/>
            <w:bottom w:w="0" w:type="dxa"/>
            <w:right w:w="28" w:type="dxa"/>
          </w:tblCellMar>
        </w:tblPrEx>
        <w:tc>
          <w:tcPr>
            <w:tcW w:w="337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无形资产摊销</w:t>
            </w:r>
          </w:p>
        </w:tc>
        <w:tc>
          <w:tcPr>
            <w:tcW w:w="30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10,103,231.75</w:t>
            </w:r>
          </w:p>
        </w:tc>
        <w:tc>
          <w:tcPr>
            <w:tcW w:w="322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8,980,311.53</w:t>
            </w:r>
          </w:p>
        </w:tc>
      </w:tr>
      <w:tr>
        <w:tblPrEx>
          <w:tblLayout w:type="fixed"/>
          <w:tblCellMar>
            <w:top w:w="0" w:type="dxa"/>
            <w:left w:w="28" w:type="dxa"/>
            <w:bottom w:w="0" w:type="dxa"/>
            <w:right w:w="28" w:type="dxa"/>
          </w:tblCellMar>
        </w:tblPrEx>
        <w:tc>
          <w:tcPr>
            <w:tcW w:w="337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长期待摊费用摊销</w:t>
            </w:r>
          </w:p>
        </w:tc>
        <w:tc>
          <w:tcPr>
            <w:tcW w:w="30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2,343,476.02</w:t>
            </w:r>
          </w:p>
        </w:tc>
        <w:tc>
          <w:tcPr>
            <w:tcW w:w="322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233,811.60</w:t>
            </w:r>
          </w:p>
        </w:tc>
      </w:tr>
      <w:tr>
        <w:tblPrEx>
          <w:tblLayout w:type="fixed"/>
          <w:tblCellMar>
            <w:top w:w="0" w:type="dxa"/>
            <w:left w:w="28" w:type="dxa"/>
            <w:bottom w:w="0" w:type="dxa"/>
            <w:right w:w="28" w:type="dxa"/>
          </w:tblCellMar>
        </w:tblPrEx>
        <w:tc>
          <w:tcPr>
            <w:tcW w:w="337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处置固定资产、无形资产和其他长期资产的损失（收益以</w:t>
            </w:r>
            <w:r>
              <w:rPr>
                <w:sz w:val="21"/>
                <w:szCs w:val="21"/>
              </w:rPr>
              <w:t>“</w:t>
            </w:r>
            <w:r>
              <w:rPr>
                <w:rFonts w:hint="eastAsia"/>
                <w:sz w:val="21"/>
                <w:szCs w:val="21"/>
              </w:rPr>
              <w:t>－</w:t>
            </w:r>
            <w:r>
              <w:rPr>
                <w:sz w:val="21"/>
                <w:szCs w:val="21"/>
              </w:rPr>
              <w:t>”</w:t>
            </w:r>
            <w:r>
              <w:rPr>
                <w:rFonts w:hint="eastAsia"/>
                <w:sz w:val="21"/>
                <w:szCs w:val="21"/>
              </w:rPr>
              <w:t>号填列）</w:t>
            </w:r>
          </w:p>
        </w:tc>
        <w:tc>
          <w:tcPr>
            <w:tcW w:w="30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31,789.13</w:t>
            </w:r>
          </w:p>
        </w:tc>
        <w:tc>
          <w:tcPr>
            <w:tcW w:w="322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-143,544.98</w:t>
            </w:r>
          </w:p>
        </w:tc>
      </w:tr>
      <w:tr>
        <w:tblPrEx>
          <w:tblLayout w:type="fixed"/>
          <w:tblCellMar>
            <w:top w:w="0" w:type="dxa"/>
            <w:left w:w="28" w:type="dxa"/>
            <w:bottom w:w="0" w:type="dxa"/>
            <w:right w:w="28" w:type="dxa"/>
          </w:tblCellMar>
        </w:tblPrEx>
        <w:tc>
          <w:tcPr>
            <w:tcW w:w="337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固定资产报废损失（收益以</w:t>
            </w:r>
            <w:r>
              <w:rPr>
                <w:sz w:val="21"/>
                <w:szCs w:val="21"/>
              </w:rPr>
              <w:t>“</w:t>
            </w:r>
            <w:r>
              <w:rPr>
                <w:rFonts w:hint="eastAsia"/>
                <w:sz w:val="21"/>
                <w:szCs w:val="21"/>
              </w:rPr>
              <w:t>－</w:t>
            </w:r>
            <w:r>
              <w:rPr>
                <w:sz w:val="21"/>
                <w:szCs w:val="21"/>
              </w:rPr>
              <w:t>”</w:t>
            </w:r>
            <w:r>
              <w:rPr>
                <w:rFonts w:hint="eastAsia"/>
                <w:sz w:val="21"/>
                <w:szCs w:val="21"/>
              </w:rPr>
              <w:t>号填列）</w:t>
            </w:r>
          </w:p>
        </w:tc>
        <w:tc>
          <w:tcPr>
            <w:tcW w:w="30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22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337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公允价值变动损失（收益以</w:t>
            </w:r>
            <w:r>
              <w:rPr>
                <w:sz w:val="21"/>
                <w:szCs w:val="21"/>
              </w:rPr>
              <w:t>“</w:t>
            </w:r>
            <w:r>
              <w:rPr>
                <w:rFonts w:hint="eastAsia"/>
                <w:sz w:val="21"/>
                <w:szCs w:val="21"/>
              </w:rPr>
              <w:t>－</w:t>
            </w:r>
            <w:r>
              <w:rPr>
                <w:sz w:val="21"/>
                <w:szCs w:val="21"/>
              </w:rPr>
              <w:t>”</w:t>
            </w:r>
            <w:r>
              <w:rPr>
                <w:rFonts w:hint="eastAsia"/>
                <w:sz w:val="21"/>
                <w:szCs w:val="21"/>
              </w:rPr>
              <w:t>号填列）</w:t>
            </w:r>
          </w:p>
        </w:tc>
        <w:tc>
          <w:tcPr>
            <w:tcW w:w="30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22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337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财务费用（收益以</w:t>
            </w:r>
            <w:r>
              <w:rPr>
                <w:sz w:val="21"/>
                <w:szCs w:val="21"/>
              </w:rPr>
              <w:t>“</w:t>
            </w:r>
            <w:r>
              <w:rPr>
                <w:rFonts w:hint="eastAsia"/>
                <w:sz w:val="21"/>
                <w:szCs w:val="21"/>
              </w:rPr>
              <w:t>－</w:t>
            </w:r>
            <w:r>
              <w:rPr>
                <w:sz w:val="21"/>
                <w:szCs w:val="21"/>
              </w:rPr>
              <w:t>”</w:t>
            </w:r>
            <w:r>
              <w:rPr>
                <w:rFonts w:hint="eastAsia"/>
                <w:sz w:val="21"/>
                <w:szCs w:val="21"/>
              </w:rPr>
              <w:t>号填列）</w:t>
            </w:r>
          </w:p>
        </w:tc>
        <w:tc>
          <w:tcPr>
            <w:tcW w:w="30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1,934,318.26</w:t>
            </w:r>
          </w:p>
        </w:tc>
        <w:tc>
          <w:tcPr>
            <w:tcW w:w="322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1,907,498.76</w:t>
            </w:r>
          </w:p>
        </w:tc>
      </w:tr>
      <w:tr>
        <w:tblPrEx>
          <w:tblLayout w:type="fixed"/>
          <w:tblCellMar>
            <w:top w:w="0" w:type="dxa"/>
            <w:left w:w="28" w:type="dxa"/>
            <w:bottom w:w="0" w:type="dxa"/>
            <w:right w:w="28" w:type="dxa"/>
          </w:tblCellMar>
        </w:tblPrEx>
        <w:tc>
          <w:tcPr>
            <w:tcW w:w="337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投资损失（收益以</w:t>
            </w:r>
            <w:r>
              <w:rPr>
                <w:sz w:val="21"/>
                <w:szCs w:val="21"/>
              </w:rPr>
              <w:t>“</w:t>
            </w:r>
            <w:r>
              <w:rPr>
                <w:rFonts w:hint="eastAsia"/>
                <w:sz w:val="21"/>
                <w:szCs w:val="21"/>
              </w:rPr>
              <w:t>－</w:t>
            </w:r>
            <w:r>
              <w:rPr>
                <w:sz w:val="21"/>
                <w:szCs w:val="21"/>
              </w:rPr>
              <w:t>”</w:t>
            </w:r>
            <w:r>
              <w:rPr>
                <w:rFonts w:hint="eastAsia"/>
                <w:sz w:val="21"/>
                <w:szCs w:val="21"/>
              </w:rPr>
              <w:t>号填列）</w:t>
            </w:r>
          </w:p>
        </w:tc>
        <w:tc>
          <w:tcPr>
            <w:tcW w:w="30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-871,304.91</w:t>
            </w:r>
          </w:p>
        </w:tc>
        <w:tc>
          <w:tcPr>
            <w:tcW w:w="322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-13,753,334.91</w:t>
            </w:r>
          </w:p>
        </w:tc>
      </w:tr>
      <w:tr>
        <w:tblPrEx>
          <w:tblLayout w:type="fixed"/>
          <w:tblCellMar>
            <w:top w:w="0" w:type="dxa"/>
            <w:left w:w="28" w:type="dxa"/>
            <w:bottom w:w="0" w:type="dxa"/>
            <w:right w:w="28" w:type="dxa"/>
          </w:tblCellMar>
        </w:tblPrEx>
        <w:tc>
          <w:tcPr>
            <w:tcW w:w="337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递延所得税资产减少（增加以</w:t>
            </w:r>
            <w:r>
              <w:rPr>
                <w:sz w:val="21"/>
                <w:szCs w:val="21"/>
              </w:rPr>
              <w:t>“</w:t>
            </w:r>
            <w:r>
              <w:rPr>
                <w:rFonts w:hint="eastAsia"/>
                <w:sz w:val="21"/>
                <w:szCs w:val="21"/>
              </w:rPr>
              <w:t>－</w:t>
            </w:r>
            <w:r>
              <w:rPr>
                <w:sz w:val="21"/>
                <w:szCs w:val="21"/>
              </w:rPr>
              <w:t>”</w:t>
            </w:r>
            <w:r>
              <w:rPr>
                <w:rFonts w:hint="eastAsia"/>
                <w:sz w:val="21"/>
                <w:szCs w:val="21"/>
              </w:rPr>
              <w:t>号填列）</w:t>
            </w:r>
          </w:p>
        </w:tc>
        <w:tc>
          <w:tcPr>
            <w:tcW w:w="30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1,139,583.70</w:t>
            </w:r>
          </w:p>
        </w:tc>
        <w:tc>
          <w:tcPr>
            <w:tcW w:w="322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-909,393.44</w:t>
            </w:r>
          </w:p>
        </w:tc>
      </w:tr>
      <w:tr>
        <w:tblPrEx>
          <w:tblLayout w:type="fixed"/>
          <w:tblCellMar>
            <w:top w:w="0" w:type="dxa"/>
            <w:left w:w="28" w:type="dxa"/>
            <w:bottom w:w="0" w:type="dxa"/>
            <w:right w:w="28" w:type="dxa"/>
          </w:tblCellMar>
        </w:tblPrEx>
        <w:tc>
          <w:tcPr>
            <w:tcW w:w="337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递延所得税负债增加（减少以</w:t>
            </w:r>
            <w:r>
              <w:rPr>
                <w:sz w:val="21"/>
                <w:szCs w:val="21"/>
              </w:rPr>
              <w:t>“</w:t>
            </w:r>
            <w:r>
              <w:rPr>
                <w:rFonts w:hint="eastAsia"/>
                <w:sz w:val="21"/>
                <w:szCs w:val="21"/>
              </w:rPr>
              <w:t>－</w:t>
            </w:r>
            <w:r>
              <w:rPr>
                <w:sz w:val="21"/>
                <w:szCs w:val="21"/>
              </w:rPr>
              <w:t>”</w:t>
            </w:r>
            <w:r>
              <w:rPr>
                <w:rFonts w:hint="eastAsia"/>
                <w:sz w:val="21"/>
                <w:szCs w:val="21"/>
              </w:rPr>
              <w:t>号填列）</w:t>
            </w:r>
          </w:p>
        </w:tc>
        <w:tc>
          <w:tcPr>
            <w:tcW w:w="30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-764,826.80</w:t>
            </w:r>
          </w:p>
        </w:tc>
        <w:tc>
          <w:tcPr>
            <w:tcW w:w="322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795,254.21</w:t>
            </w:r>
          </w:p>
        </w:tc>
      </w:tr>
      <w:tr>
        <w:tblPrEx>
          <w:tblLayout w:type="fixed"/>
          <w:tblCellMar>
            <w:top w:w="0" w:type="dxa"/>
            <w:left w:w="28" w:type="dxa"/>
            <w:bottom w:w="0" w:type="dxa"/>
            <w:right w:w="28" w:type="dxa"/>
          </w:tblCellMar>
        </w:tblPrEx>
        <w:tc>
          <w:tcPr>
            <w:tcW w:w="337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存货的减少（增加以</w:t>
            </w:r>
            <w:r>
              <w:rPr>
                <w:sz w:val="21"/>
                <w:szCs w:val="21"/>
              </w:rPr>
              <w:t>“</w:t>
            </w:r>
            <w:r>
              <w:rPr>
                <w:rFonts w:hint="eastAsia"/>
                <w:sz w:val="21"/>
                <w:szCs w:val="21"/>
              </w:rPr>
              <w:t>－</w:t>
            </w:r>
            <w:r>
              <w:rPr>
                <w:sz w:val="21"/>
                <w:szCs w:val="21"/>
              </w:rPr>
              <w:t>”</w:t>
            </w:r>
            <w:r>
              <w:rPr>
                <w:rFonts w:hint="eastAsia"/>
                <w:sz w:val="21"/>
                <w:szCs w:val="21"/>
              </w:rPr>
              <w:t>号填列）</w:t>
            </w:r>
          </w:p>
        </w:tc>
        <w:tc>
          <w:tcPr>
            <w:tcW w:w="30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-16,543,595.57</w:t>
            </w:r>
          </w:p>
        </w:tc>
        <w:tc>
          <w:tcPr>
            <w:tcW w:w="322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1,566,525.04</w:t>
            </w:r>
          </w:p>
        </w:tc>
      </w:tr>
      <w:tr>
        <w:tblPrEx>
          <w:tblLayout w:type="fixed"/>
          <w:tblCellMar>
            <w:top w:w="0" w:type="dxa"/>
            <w:left w:w="28" w:type="dxa"/>
            <w:bottom w:w="0" w:type="dxa"/>
            <w:right w:w="28" w:type="dxa"/>
          </w:tblCellMar>
        </w:tblPrEx>
        <w:tc>
          <w:tcPr>
            <w:tcW w:w="337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经营性应收项目的减少（增加以</w:t>
            </w:r>
            <w:r>
              <w:rPr>
                <w:sz w:val="21"/>
                <w:szCs w:val="21"/>
              </w:rPr>
              <w:t>“</w:t>
            </w:r>
            <w:r>
              <w:rPr>
                <w:rFonts w:hint="eastAsia"/>
                <w:sz w:val="21"/>
                <w:szCs w:val="21"/>
              </w:rPr>
              <w:t>－</w:t>
            </w:r>
            <w:r>
              <w:rPr>
                <w:sz w:val="21"/>
                <w:szCs w:val="21"/>
              </w:rPr>
              <w:t>”</w:t>
            </w:r>
            <w:r>
              <w:rPr>
                <w:rFonts w:hint="eastAsia"/>
                <w:sz w:val="21"/>
                <w:szCs w:val="21"/>
              </w:rPr>
              <w:t>号填列）</w:t>
            </w:r>
          </w:p>
        </w:tc>
        <w:tc>
          <w:tcPr>
            <w:tcW w:w="30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-29,779,779.53</w:t>
            </w:r>
          </w:p>
        </w:tc>
        <w:tc>
          <w:tcPr>
            <w:tcW w:w="322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-85,363,810.51</w:t>
            </w:r>
          </w:p>
        </w:tc>
      </w:tr>
      <w:tr>
        <w:tblPrEx>
          <w:tblLayout w:type="fixed"/>
          <w:tblCellMar>
            <w:top w:w="0" w:type="dxa"/>
            <w:left w:w="28" w:type="dxa"/>
            <w:bottom w:w="0" w:type="dxa"/>
            <w:right w:w="28" w:type="dxa"/>
          </w:tblCellMar>
        </w:tblPrEx>
        <w:tc>
          <w:tcPr>
            <w:tcW w:w="337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经营性应付项目的增加（减少以</w:t>
            </w:r>
            <w:r>
              <w:rPr>
                <w:sz w:val="21"/>
                <w:szCs w:val="21"/>
              </w:rPr>
              <w:t>“</w:t>
            </w:r>
            <w:r>
              <w:rPr>
                <w:rFonts w:hint="eastAsia"/>
                <w:sz w:val="21"/>
                <w:szCs w:val="21"/>
              </w:rPr>
              <w:t>－</w:t>
            </w:r>
            <w:r>
              <w:rPr>
                <w:sz w:val="21"/>
                <w:szCs w:val="21"/>
              </w:rPr>
              <w:t>”</w:t>
            </w:r>
            <w:r>
              <w:rPr>
                <w:rFonts w:hint="eastAsia"/>
                <w:sz w:val="21"/>
                <w:szCs w:val="21"/>
              </w:rPr>
              <w:t>号填列）</w:t>
            </w:r>
          </w:p>
        </w:tc>
        <w:tc>
          <w:tcPr>
            <w:tcW w:w="30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63,939,701.21</w:t>
            </w:r>
          </w:p>
        </w:tc>
        <w:tc>
          <w:tcPr>
            <w:tcW w:w="322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82,686,466.45</w:t>
            </w:r>
          </w:p>
        </w:tc>
      </w:tr>
      <w:tr>
        <w:tblPrEx>
          <w:tblLayout w:type="fixed"/>
          <w:tblCellMar>
            <w:top w:w="0" w:type="dxa"/>
            <w:left w:w="28" w:type="dxa"/>
            <w:bottom w:w="0" w:type="dxa"/>
            <w:right w:w="28" w:type="dxa"/>
          </w:tblCellMar>
        </w:tblPrEx>
        <w:tc>
          <w:tcPr>
            <w:tcW w:w="337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其他</w:t>
            </w:r>
          </w:p>
        </w:tc>
        <w:tc>
          <w:tcPr>
            <w:tcW w:w="30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22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337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经营活动产生的现金流量净额</w:t>
            </w:r>
          </w:p>
        </w:tc>
        <w:tc>
          <w:tcPr>
            <w:tcW w:w="3098"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157,085,288.17</w:t>
            </w:r>
          </w:p>
        </w:tc>
        <w:tc>
          <w:tcPr>
            <w:tcW w:w="3224"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55,685,247.97</w:t>
            </w:r>
          </w:p>
        </w:tc>
      </w:tr>
      <w:tr>
        <w:tblPrEx>
          <w:tblLayout w:type="fixed"/>
          <w:tblCellMar>
            <w:top w:w="0" w:type="dxa"/>
            <w:left w:w="28" w:type="dxa"/>
            <w:bottom w:w="0" w:type="dxa"/>
            <w:right w:w="28" w:type="dxa"/>
          </w:tblCellMar>
        </w:tblPrEx>
        <w:tc>
          <w:tcPr>
            <w:tcW w:w="337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2</w:t>
            </w:r>
            <w:r>
              <w:rPr>
                <w:rFonts w:hint="eastAsia"/>
                <w:sz w:val="21"/>
                <w:szCs w:val="21"/>
              </w:rPr>
              <w:t>．不涉及现金收支的重大投资和筹资活动：</w:t>
            </w:r>
          </w:p>
        </w:tc>
        <w:tc>
          <w:tcPr>
            <w:tcW w:w="3098"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sz w:val="21"/>
                <w:szCs w:val="21"/>
              </w:rPr>
              <w:t>--</w:t>
            </w:r>
          </w:p>
        </w:tc>
        <w:tc>
          <w:tcPr>
            <w:tcW w:w="322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sz w:val="21"/>
                <w:szCs w:val="21"/>
              </w:rPr>
              <w:t>--</w:t>
            </w:r>
          </w:p>
        </w:tc>
      </w:tr>
      <w:tr>
        <w:tblPrEx>
          <w:tblLayout w:type="fixed"/>
          <w:tblCellMar>
            <w:top w:w="0" w:type="dxa"/>
            <w:left w:w="28" w:type="dxa"/>
            <w:bottom w:w="0" w:type="dxa"/>
            <w:right w:w="28" w:type="dxa"/>
          </w:tblCellMar>
        </w:tblPrEx>
        <w:tc>
          <w:tcPr>
            <w:tcW w:w="337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债务转为资本</w:t>
            </w:r>
          </w:p>
        </w:tc>
        <w:tc>
          <w:tcPr>
            <w:tcW w:w="30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22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337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一年内到期的可转换公司债券</w:t>
            </w:r>
          </w:p>
        </w:tc>
        <w:tc>
          <w:tcPr>
            <w:tcW w:w="30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22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337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融资租入固定资产</w:t>
            </w:r>
          </w:p>
        </w:tc>
        <w:tc>
          <w:tcPr>
            <w:tcW w:w="30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22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337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3</w:t>
            </w:r>
            <w:r>
              <w:rPr>
                <w:rFonts w:hint="eastAsia"/>
                <w:sz w:val="21"/>
                <w:szCs w:val="21"/>
              </w:rPr>
              <w:t>．现金及现金等价物净变动情况：</w:t>
            </w:r>
          </w:p>
        </w:tc>
        <w:tc>
          <w:tcPr>
            <w:tcW w:w="3098"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sz w:val="21"/>
                <w:szCs w:val="21"/>
              </w:rPr>
              <w:t>--</w:t>
            </w:r>
          </w:p>
        </w:tc>
        <w:tc>
          <w:tcPr>
            <w:tcW w:w="322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sz w:val="21"/>
                <w:szCs w:val="21"/>
              </w:rPr>
              <w:t>--</w:t>
            </w:r>
          </w:p>
        </w:tc>
      </w:tr>
      <w:tr>
        <w:tblPrEx>
          <w:tblLayout w:type="fixed"/>
          <w:tblCellMar>
            <w:top w:w="0" w:type="dxa"/>
            <w:left w:w="28" w:type="dxa"/>
            <w:bottom w:w="0" w:type="dxa"/>
            <w:right w:w="28" w:type="dxa"/>
          </w:tblCellMar>
        </w:tblPrEx>
        <w:tc>
          <w:tcPr>
            <w:tcW w:w="337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现金的期末余额</w:t>
            </w:r>
          </w:p>
        </w:tc>
        <w:tc>
          <w:tcPr>
            <w:tcW w:w="30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269,326,278.85</w:t>
            </w:r>
          </w:p>
        </w:tc>
        <w:tc>
          <w:tcPr>
            <w:tcW w:w="322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424,310,792.35</w:t>
            </w:r>
          </w:p>
        </w:tc>
      </w:tr>
      <w:tr>
        <w:tblPrEx>
          <w:tblLayout w:type="fixed"/>
          <w:tblCellMar>
            <w:top w:w="0" w:type="dxa"/>
            <w:left w:w="28" w:type="dxa"/>
            <w:bottom w:w="0" w:type="dxa"/>
            <w:right w:w="28" w:type="dxa"/>
          </w:tblCellMar>
        </w:tblPrEx>
        <w:tc>
          <w:tcPr>
            <w:tcW w:w="337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减：现金的期初余额</w:t>
            </w:r>
          </w:p>
        </w:tc>
        <w:tc>
          <w:tcPr>
            <w:tcW w:w="30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424,310,792.35</w:t>
            </w:r>
          </w:p>
        </w:tc>
        <w:tc>
          <w:tcPr>
            <w:tcW w:w="322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153,810,000.71</w:t>
            </w:r>
          </w:p>
        </w:tc>
      </w:tr>
      <w:tr>
        <w:tblPrEx>
          <w:tblLayout w:type="fixed"/>
          <w:tblCellMar>
            <w:top w:w="0" w:type="dxa"/>
            <w:left w:w="28" w:type="dxa"/>
            <w:bottom w:w="0" w:type="dxa"/>
            <w:right w:w="28" w:type="dxa"/>
          </w:tblCellMar>
        </w:tblPrEx>
        <w:tc>
          <w:tcPr>
            <w:tcW w:w="337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加：现金等价物的期末余额</w:t>
            </w:r>
          </w:p>
        </w:tc>
        <w:tc>
          <w:tcPr>
            <w:tcW w:w="30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22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337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减：现金等价物的期初余额</w:t>
            </w:r>
          </w:p>
        </w:tc>
        <w:tc>
          <w:tcPr>
            <w:tcW w:w="30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22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337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现金及现金等价物净增加额</w:t>
            </w:r>
          </w:p>
        </w:tc>
        <w:tc>
          <w:tcPr>
            <w:tcW w:w="3098"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-154,984,513.50</w:t>
            </w:r>
          </w:p>
        </w:tc>
        <w:tc>
          <w:tcPr>
            <w:tcW w:w="3224"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270,500,791.64</w:t>
            </w:r>
          </w:p>
        </w:tc>
      </w:tr>
    </w:tbl>
    <w:p>
      <w:pPr>
        <w:pStyle w:val="11"/>
        <w:outlineLvl w:val="3"/>
        <w:rPr>
          <w:bCs w:val="0"/>
          <w:szCs w:val="24"/>
        </w:rPr>
      </w:pPr>
      <w:r>
        <w:rPr>
          <w:rFonts w:hint="eastAsia"/>
          <w:bCs w:val="0"/>
          <w:szCs w:val="24"/>
        </w:rPr>
        <w:t>（</w:t>
      </w:r>
      <w:r>
        <w:rPr>
          <w:bCs w:val="0"/>
          <w:szCs w:val="24"/>
        </w:rPr>
        <w:t>2</w:t>
      </w:r>
      <w:r>
        <w:rPr>
          <w:rFonts w:hint="eastAsia"/>
          <w:bCs w:val="0"/>
          <w:szCs w:val="24"/>
        </w:rPr>
        <w:t>）本期支付的取得子公司的现金净额</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568" w:type="dxa"/>
        <w:tblInd w:w="28" w:type="dxa"/>
        <w:tblLayout w:type="fixed"/>
        <w:tblCellMar>
          <w:top w:w="0" w:type="dxa"/>
          <w:left w:w="28" w:type="dxa"/>
          <w:bottom w:w="0" w:type="dxa"/>
          <w:right w:w="28" w:type="dxa"/>
        </w:tblCellMar>
      </w:tblPr>
      <w:tblGrid>
        <w:gridCol w:w="4988"/>
        <w:gridCol w:w="4580"/>
      </w:tblGrid>
      <w:tr>
        <w:tblPrEx>
          <w:tblLayout w:type="fixed"/>
          <w:tblCellMar>
            <w:top w:w="0" w:type="dxa"/>
            <w:left w:w="28" w:type="dxa"/>
            <w:bottom w:w="0" w:type="dxa"/>
            <w:right w:w="28" w:type="dxa"/>
          </w:tblCellMar>
        </w:tblPrEx>
        <w:tc>
          <w:tcPr>
            <w:tcW w:w="4988"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p>
        </w:tc>
        <w:tc>
          <w:tcPr>
            <w:tcW w:w="458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金额</w:t>
            </w:r>
          </w:p>
        </w:tc>
      </w:tr>
      <w:tr>
        <w:tblPrEx>
          <w:tblLayout w:type="fixed"/>
          <w:tblCellMar>
            <w:top w:w="0" w:type="dxa"/>
            <w:left w:w="28" w:type="dxa"/>
            <w:bottom w:w="0" w:type="dxa"/>
            <w:right w:w="28" w:type="dxa"/>
          </w:tblCellMar>
        </w:tblPrEx>
        <w:tc>
          <w:tcPr>
            <w:tcW w:w="4988"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本期发生的企业合并于本期支付的现金或现金等价物</w:t>
            </w:r>
          </w:p>
        </w:tc>
        <w:tc>
          <w:tcPr>
            <w:tcW w:w="45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43,728,662.30</w:t>
            </w:r>
          </w:p>
        </w:tc>
      </w:tr>
      <w:tr>
        <w:tblPrEx>
          <w:tblLayout w:type="fixed"/>
          <w:tblCellMar>
            <w:top w:w="0" w:type="dxa"/>
            <w:left w:w="28" w:type="dxa"/>
            <w:bottom w:w="0" w:type="dxa"/>
            <w:right w:w="28" w:type="dxa"/>
          </w:tblCellMar>
        </w:tblPrEx>
        <w:tc>
          <w:tcPr>
            <w:tcW w:w="4988"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其中：</w:t>
            </w:r>
          </w:p>
        </w:tc>
        <w:tc>
          <w:tcPr>
            <w:tcW w:w="458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sz w:val="21"/>
                <w:szCs w:val="21"/>
              </w:rPr>
              <w:t>--</w:t>
            </w:r>
          </w:p>
        </w:tc>
      </w:tr>
      <w:tr>
        <w:tblPrEx>
          <w:tblLayout w:type="fixed"/>
          <w:tblCellMar>
            <w:top w:w="0" w:type="dxa"/>
            <w:left w:w="28" w:type="dxa"/>
            <w:bottom w:w="0" w:type="dxa"/>
            <w:right w:w="28" w:type="dxa"/>
          </w:tblCellMar>
        </w:tblPrEx>
        <w:tc>
          <w:tcPr>
            <w:tcW w:w="498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 xml:space="preserve">         </w:t>
            </w:r>
            <w:r>
              <w:rPr>
                <w:rFonts w:hint="eastAsia"/>
                <w:sz w:val="21"/>
                <w:szCs w:val="21"/>
              </w:rPr>
              <w:t>广东蓝图信息技术有限公司</w:t>
            </w:r>
          </w:p>
        </w:tc>
        <w:tc>
          <w:tcPr>
            <w:tcW w:w="45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28,289,250.00</w:t>
            </w:r>
          </w:p>
        </w:tc>
      </w:tr>
      <w:tr>
        <w:tblPrEx>
          <w:tblLayout w:type="fixed"/>
          <w:tblCellMar>
            <w:top w:w="0" w:type="dxa"/>
            <w:left w:w="28" w:type="dxa"/>
            <w:bottom w:w="0" w:type="dxa"/>
            <w:right w:w="28" w:type="dxa"/>
          </w:tblCellMar>
        </w:tblPrEx>
        <w:tc>
          <w:tcPr>
            <w:tcW w:w="498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 xml:space="preserve">         Rockson Automation GmbH</w:t>
            </w:r>
          </w:p>
        </w:tc>
        <w:tc>
          <w:tcPr>
            <w:tcW w:w="45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15,439,412.30</w:t>
            </w:r>
          </w:p>
        </w:tc>
      </w:tr>
      <w:tr>
        <w:tblPrEx>
          <w:tblLayout w:type="fixed"/>
          <w:tblCellMar>
            <w:top w:w="0" w:type="dxa"/>
            <w:left w:w="28" w:type="dxa"/>
            <w:bottom w:w="0" w:type="dxa"/>
            <w:right w:w="28" w:type="dxa"/>
          </w:tblCellMar>
        </w:tblPrEx>
        <w:tc>
          <w:tcPr>
            <w:tcW w:w="4988"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减：购买日子公司持有的现金及现金等价物</w:t>
            </w:r>
          </w:p>
        </w:tc>
        <w:tc>
          <w:tcPr>
            <w:tcW w:w="45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15,623,766.08</w:t>
            </w:r>
          </w:p>
        </w:tc>
      </w:tr>
      <w:tr>
        <w:tblPrEx>
          <w:tblLayout w:type="fixed"/>
          <w:tblCellMar>
            <w:top w:w="0" w:type="dxa"/>
            <w:left w:w="28" w:type="dxa"/>
            <w:bottom w:w="0" w:type="dxa"/>
            <w:right w:w="28" w:type="dxa"/>
          </w:tblCellMar>
        </w:tblPrEx>
        <w:tc>
          <w:tcPr>
            <w:tcW w:w="4988"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其中：</w:t>
            </w:r>
          </w:p>
        </w:tc>
        <w:tc>
          <w:tcPr>
            <w:tcW w:w="458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sz w:val="21"/>
                <w:szCs w:val="21"/>
              </w:rPr>
              <w:t>--</w:t>
            </w:r>
          </w:p>
        </w:tc>
      </w:tr>
      <w:tr>
        <w:tblPrEx>
          <w:tblLayout w:type="fixed"/>
          <w:tblCellMar>
            <w:top w:w="0" w:type="dxa"/>
            <w:left w:w="28" w:type="dxa"/>
            <w:bottom w:w="0" w:type="dxa"/>
            <w:right w:w="28" w:type="dxa"/>
          </w:tblCellMar>
        </w:tblPrEx>
        <w:tc>
          <w:tcPr>
            <w:tcW w:w="498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 xml:space="preserve">         </w:t>
            </w:r>
            <w:r>
              <w:rPr>
                <w:rFonts w:hint="eastAsia"/>
                <w:sz w:val="21"/>
                <w:szCs w:val="21"/>
              </w:rPr>
              <w:t>广东蓝图信息技术有限公司</w:t>
            </w:r>
          </w:p>
        </w:tc>
        <w:tc>
          <w:tcPr>
            <w:tcW w:w="45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11,986,741.13</w:t>
            </w:r>
          </w:p>
        </w:tc>
      </w:tr>
      <w:tr>
        <w:tblPrEx>
          <w:tblLayout w:type="fixed"/>
          <w:tblCellMar>
            <w:top w:w="0" w:type="dxa"/>
            <w:left w:w="28" w:type="dxa"/>
            <w:bottom w:w="0" w:type="dxa"/>
            <w:right w:w="28" w:type="dxa"/>
          </w:tblCellMar>
        </w:tblPrEx>
        <w:tc>
          <w:tcPr>
            <w:tcW w:w="498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 xml:space="preserve">         Rockson Automation GmbH</w:t>
            </w:r>
          </w:p>
        </w:tc>
        <w:tc>
          <w:tcPr>
            <w:tcW w:w="45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3,637,024.95</w:t>
            </w:r>
          </w:p>
        </w:tc>
      </w:tr>
      <w:tr>
        <w:tblPrEx>
          <w:tblLayout w:type="fixed"/>
          <w:tblCellMar>
            <w:top w:w="0" w:type="dxa"/>
            <w:left w:w="28" w:type="dxa"/>
            <w:bottom w:w="0" w:type="dxa"/>
            <w:right w:w="28" w:type="dxa"/>
          </w:tblCellMar>
        </w:tblPrEx>
        <w:tc>
          <w:tcPr>
            <w:tcW w:w="4988"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加：以前期间发生的企业合并于本期支付的现金或现金等价物</w:t>
            </w:r>
          </w:p>
        </w:tc>
        <w:tc>
          <w:tcPr>
            <w:tcW w:w="45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4988"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其中：</w:t>
            </w:r>
          </w:p>
        </w:tc>
        <w:tc>
          <w:tcPr>
            <w:tcW w:w="458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sz w:val="21"/>
                <w:szCs w:val="21"/>
              </w:rPr>
              <w:t>--</w:t>
            </w:r>
          </w:p>
        </w:tc>
      </w:tr>
      <w:tr>
        <w:tblPrEx>
          <w:tblLayout w:type="fixed"/>
          <w:tblCellMar>
            <w:top w:w="0" w:type="dxa"/>
            <w:left w:w="28" w:type="dxa"/>
            <w:bottom w:w="0" w:type="dxa"/>
            <w:right w:w="28" w:type="dxa"/>
          </w:tblCellMar>
        </w:tblPrEx>
        <w:tc>
          <w:tcPr>
            <w:tcW w:w="498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p>
        </w:tc>
        <w:tc>
          <w:tcPr>
            <w:tcW w:w="45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4988"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取得子公司支付的现金净额</w:t>
            </w:r>
          </w:p>
        </w:tc>
        <w:tc>
          <w:tcPr>
            <w:tcW w:w="45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28,104,896.22</w:t>
            </w:r>
          </w:p>
        </w:tc>
      </w:tr>
    </w:tbl>
    <w:p>
      <w:pPr>
        <w:pStyle w:val="11"/>
        <w:outlineLvl w:val="3"/>
        <w:rPr>
          <w:bCs w:val="0"/>
          <w:szCs w:val="24"/>
        </w:rPr>
      </w:pPr>
      <w:r>
        <w:rPr>
          <w:rFonts w:hint="eastAsia"/>
          <w:bCs w:val="0"/>
          <w:szCs w:val="24"/>
        </w:rPr>
        <w:t>（</w:t>
      </w:r>
      <w:r>
        <w:rPr>
          <w:bCs w:val="0"/>
          <w:szCs w:val="24"/>
        </w:rPr>
        <w:t>3</w:t>
      </w:r>
      <w:r>
        <w:rPr>
          <w:rFonts w:hint="eastAsia"/>
          <w:bCs w:val="0"/>
          <w:szCs w:val="24"/>
        </w:rPr>
        <w:t>）现金和现金等价物的构成</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694" w:type="dxa"/>
        <w:tblInd w:w="0" w:type="dxa"/>
        <w:tblLayout w:type="fixed"/>
        <w:tblCellMar>
          <w:top w:w="0" w:type="dxa"/>
          <w:left w:w="28" w:type="dxa"/>
          <w:bottom w:w="0" w:type="dxa"/>
          <w:right w:w="28" w:type="dxa"/>
        </w:tblCellMar>
      </w:tblPr>
      <w:tblGrid>
        <w:gridCol w:w="3372"/>
        <w:gridCol w:w="3098"/>
        <w:gridCol w:w="3224"/>
      </w:tblGrid>
      <w:tr>
        <w:tblPrEx>
          <w:tblLayout w:type="fixed"/>
          <w:tblCellMar>
            <w:top w:w="0" w:type="dxa"/>
            <w:left w:w="28" w:type="dxa"/>
            <w:bottom w:w="0" w:type="dxa"/>
            <w:right w:w="28" w:type="dxa"/>
          </w:tblCellMar>
        </w:tblPrEx>
        <w:tc>
          <w:tcPr>
            <w:tcW w:w="337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3098"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c>
          <w:tcPr>
            <w:tcW w:w="322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期初余额</w:t>
            </w:r>
          </w:p>
        </w:tc>
      </w:tr>
      <w:tr>
        <w:tblPrEx>
          <w:tblLayout w:type="fixed"/>
          <w:tblCellMar>
            <w:top w:w="0" w:type="dxa"/>
            <w:left w:w="28" w:type="dxa"/>
            <w:bottom w:w="0" w:type="dxa"/>
            <w:right w:w="28" w:type="dxa"/>
          </w:tblCellMar>
        </w:tblPrEx>
        <w:tc>
          <w:tcPr>
            <w:tcW w:w="337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一、现金</w:t>
            </w:r>
          </w:p>
        </w:tc>
        <w:tc>
          <w:tcPr>
            <w:tcW w:w="3098"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269,326,278.85</w:t>
            </w:r>
          </w:p>
        </w:tc>
        <w:tc>
          <w:tcPr>
            <w:tcW w:w="3224"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424,310,792.35</w:t>
            </w:r>
          </w:p>
        </w:tc>
      </w:tr>
      <w:tr>
        <w:tblPrEx>
          <w:tblLayout w:type="fixed"/>
          <w:tblCellMar>
            <w:top w:w="0" w:type="dxa"/>
            <w:left w:w="28" w:type="dxa"/>
            <w:bottom w:w="0" w:type="dxa"/>
            <w:right w:w="28" w:type="dxa"/>
          </w:tblCellMar>
        </w:tblPrEx>
        <w:tc>
          <w:tcPr>
            <w:tcW w:w="337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其中：库存现金</w:t>
            </w:r>
          </w:p>
        </w:tc>
        <w:tc>
          <w:tcPr>
            <w:tcW w:w="30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386,120.15</w:t>
            </w:r>
          </w:p>
        </w:tc>
        <w:tc>
          <w:tcPr>
            <w:tcW w:w="322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426,337.07</w:t>
            </w:r>
          </w:p>
        </w:tc>
      </w:tr>
      <w:tr>
        <w:tblPrEx>
          <w:tblLayout w:type="fixed"/>
          <w:tblCellMar>
            <w:top w:w="0" w:type="dxa"/>
            <w:left w:w="28" w:type="dxa"/>
            <w:bottom w:w="0" w:type="dxa"/>
            <w:right w:w="28" w:type="dxa"/>
          </w:tblCellMar>
        </w:tblPrEx>
        <w:tc>
          <w:tcPr>
            <w:tcW w:w="337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可随时用于支付的银行存款</w:t>
            </w:r>
          </w:p>
        </w:tc>
        <w:tc>
          <w:tcPr>
            <w:tcW w:w="30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268,940,158.70</w:t>
            </w:r>
          </w:p>
        </w:tc>
        <w:tc>
          <w:tcPr>
            <w:tcW w:w="322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423,884,455.28</w:t>
            </w:r>
          </w:p>
        </w:tc>
      </w:tr>
      <w:tr>
        <w:tblPrEx>
          <w:tblLayout w:type="fixed"/>
          <w:tblCellMar>
            <w:top w:w="0" w:type="dxa"/>
            <w:left w:w="28" w:type="dxa"/>
            <w:bottom w:w="0" w:type="dxa"/>
            <w:right w:w="28" w:type="dxa"/>
          </w:tblCellMar>
        </w:tblPrEx>
        <w:tc>
          <w:tcPr>
            <w:tcW w:w="337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可随时用于支付的其他货币资金</w:t>
            </w:r>
          </w:p>
        </w:tc>
        <w:tc>
          <w:tcPr>
            <w:tcW w:w="30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22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337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可用于支付的存放中央银行款项</w:t>
            </w:r>
          </w:p>
        </w:tc>
        <w:tc>
          <w:tcPr>
            <w:tcW w:w="30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22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337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存放同业款项</w:t>
            </w:r>
          </w:p>
        </w:tc>
        <w:tc>
          <w:tcPr>
            <w:tcW w:w="30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22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337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拆放同业款项</w:t>
            </w:r>
          </w:p>
        </w:tc>
        <w:tc>
          <w:tcPr>
            <w:tcW w:w="30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22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337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二、现金等价物</w:t>
            </w:r>
          </w:p>
        </w:tc>
        <w:tc>
          <w:tcPr>
            <w:tcW w:w="3098"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p>
        </w:tc>
        <w:tc>
          <w:tcPr>
            <w:tcW w:w="3224"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p>
        </w:tc>
      </w:tr>
      <w:tr>
        <w:tblPrEx>
          <w:tblLayout w:type="fixed"/>
          <w:tblCellMar>
            <w:top w:w="0" w:type="dxa"/>
            <w:left w:w="28" w:type="dxa"/>
            <w:bottom w:w="0" w:type="dxa"/>
            <w:right w:w="28" w:type="dxa"/>
          </w:tblCellMar>
        </w:tblPrEx>
        <w:tc>
          <w:tcPr>
            <w:tcW w:w="337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其中：三个月内到期的债券投资</w:t>
            </w:r>
          </w:p>
        </w:tc>
        <w:tc>
          <w:tcPr>
            <w:tcW w:w="30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22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337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p>
        </w:tc>
        <w:tc>
          <w:tcPr>
            <w:tcW w:w="30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22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337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三、期末现金及现金等价物余额</w:t>
            </w:r>
          </w:p>
        </w:tc>
        <w:tc>
          <w:tcPr>
            <w:tcW w:w="3098"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269,326,278.85</w:t>
            </w:r>
          </w:p>
        </w:tc>
        <w:tc>
          <w:tcPr>
            <w:tcW w:w="3224"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424,310,792.35</w:t>
            </w:r>
          </w:p>
        </w:tc>
      </w:tr>
      <w:tr>
        <w:tblPrEx>
          <w:tblLayout w:type="fixed"/>
          <w:tblCellMar>
            <w:top w:w="0" w:type="dxa"/>
            <w:left w:w="28" w:type="dxa"/>
            <w:bottom w:w="0" w:type="dxa"/>
            <w:right w:w="28" w:type="dxa"/>
          </w:tblCellMar>
        </w:tblPrEx>
        <w:tc>
          <w:tcPr>
            <w:tcW w:w="337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其中：母公司或集团内子公司使用受限制的现金和现金等价物</w:t>
            </w:r>
          </w:p>
        </w:tc>
        <w:tc>
          <w:tcPr>
            <w:tcW w:w="309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22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bl>
    <w:p>
      <w:pPr>
        <w:pStyle w:val="11"/>
        <w:outlineLvl w:val="2"/>
        <w:rPr>
          <w:bCs w:val="0"/>
          <w:szCs w:val="24"/>
        </w:rPr>
      </w:pPr>
      <w:r>
        <w:rPr>
          <w:bCs w:val="0"/>
          <w:szCs w:val="24"/>
        </w:rPr>
        <w:t>48</w:t>
      </w:r>
      <w:r>
        <w:rPr>
          <w:rFonts w:hint="eastAsia"/>
          <w:bCs w:val="0"/>
          <w:szCs w:val="24"/>
        </w:rPr>
        <w:t>、所有者权益变动表项目注释</w:t>
      </w:r>
    </w:p>
    <w:p>
      <w:pPr>
        <w:jc w:val="left"/>
        <w:rPr>
          <w:sz w:val="21"/>
          <w:szCs w:val="21"/>
        </w:rPr>
      </w:pPr>
      <w:r>
        <w:rPr>
          <w:rFonts w:hint="eastAsia"/>
          <w:sz w:val="21"/>
          <w:szCs w:val="21"/>
        </w:rPr>
        <w:t>说明对上年期末余额进行调整的</w:t>
      </w:r>
      <w:r>
        <w:rPr>
          <w:sz w:val="21"/>
          <w:szCs w:val="21"/>
        </w:rPr>
        <w:t>“</w:t>
      </w:r>
      <w:r>
        <w:rPr>
          <w:rFonts w:hint="eastAsia"/>
          <w:sz w:val="21"/>
          <w:szCs w:val="21"/>
        </w:rPr>
        <w:t>其他</w:t>
      </w:r>
      <w:r>
        <w:rPr>
          <w:sz w:val="21"/>
          <w:szCs w:val="21"/>
        </w:rPr>
        <w:t>”</w:t>
      </w:r>
      <w:r>
        <w:rPr>
          <w:rFonts w:hint="eastAsia"/>
          <w:sz w:val="21"/>
          <w:szCs w:val="21"/>
        </w:rPr>
        <w:t>项目名称及调整金额等事项：</w:t>
      </w:r>
    </w:p>
    <w:p>
      <w:pPr>
        <w:pStyle w:val="11"/>
        <w:outlineLvl w:val="2"/>
        <w:rPr>
          <w:bCs w:val="0"/>
        </w:rPr>
      </w:pPr>
      <w:r>
        <w:rPr>
          <w:bCs w:val="0"/>
          <w:szCs w:val="24"/>
        </w:rPr>
        <w:t>49</w:t>
      </w:r>
      <w:r>
        <w:rPr>
          <w:rFonts w:hint="eastAsia"/>
          <w:bCs w:val="0"/>
          <w:szCs w:val="24"/>
        </w:rPr>
        <w:t>、所有权或使用权受到限制的资产</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568" w:type="dxa"/>
        <w:tblInd w:w="28" w:type="dxa"/>
        <w:tblLayout w:type="fixed"/>
        <w:tblCellMar>
          <w:top w:w="0" w:type="dxa"/>
          <w:left w:w="28" w:type="dxa"/>
          <w:bottom w:w="0" w:type="dxa"/>
          <w:right w:w="28" w:type="dxa"/>
        </w:tblCellMar>
      </w:tblPr>
      <w:tblGrid>
        <w:gridCol w:w="3327"/>
        <w:gridCol w:w="3057"/>
        <w:gridCol w:w="3184"/>
      </w:tblGrid>
      <w:tr>
        <w:tblPrEx>
          <w:tblLayout w:type="fixed"/>
          <w:tblCellMar>
            <w:top w:w="0" w:type="dxa"/>
            <w:left w:w="28" w:type="dxa"/>
            <w:bottom w:w="0" w:type="dxa"/>
            <w:right w:w="28" w:type="dxa"/>
          </w:tblCellMar>
        </w:tblPrEx>
        <w:tc>
          <w:tcPr>
            <w:tcW w:w="332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305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期末账面价值</w:t>
            </w:r>
          </w:p>
        </w:tc>
        <w:tc>
          <w:tcPr>
            <w:tcW w:w="318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受限原因</w:t>
            </w:r>
          </w:p>
        </w:tc>
      </w:tr>
      <w:tr>
        <w:tblPrEx>
          <w:tblLayout w:type="fixed"/>
          <w:tblCellMar>
            <w:top w:w="0" w:type="dxa"/>
            <w:left w:w="28" w:type="dxa"/>
            <w:bottom w:w="0" w:type="dxa"/>
            <w:right w:w="28" w:type="dxa"/>
          </w:tblCellMar>
        </w:tblPrEx>
        <w:tc>
          <w:tcPr>
            <w:tcW w:w="332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货币资金</w:t>
            </w:r>
          </w:p>
        </w:tc>
        <w:tc>
          <w:tcPr>
            <w:tcW w:w="305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22,904,642.94</w:t>
            </w:r>
          </w:p>
        </w:tc>
        <w:tc>
          <w:tcPr>
            <w:tcW w:w="31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保函保证金、信用证保证金</w:t>
            </w:r>
          </w:p>
        </w:tc>
      </w:tr>
      <w:tr>
        <w:tblPrEx>
          <w:tblLayout w:type="fixed"/>
          <w:tblCellMar>
            <w:top w:w="0" w:type="dxa"/>
            <w:left w:w="28" w:type="dxa"/>
            <w:bottom w:w="0" w:type="dxa"/>
            <w:right w:w="28" w:type="dxa"/>
          </w:tblCellMar>
        </w:tblPrEx>
        <w:tc>
          <w:tcPr>
            <w:tcW w:w="332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固定资产</w:t>
            </w:r>
          </w:p>
        </w:tc>
        <w:tc>
          <w:tcPr>
            <w:tcW w:w="305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30,865,541.26</w:t>
            </w:r>
          </w:p>
        </w:tc>
        <w:tc>
          <w:tcPr>
            <w:tcW w:w="31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详见附注</w:t>
            </w:r>
            <w:r>
              <w:rPr>
                <w:sz w:val="21"/>
                <w:szCs w:val="21"/>
              </w:rPr>
              <w:t>"</w:t>
            </w:r>
            <w:r>
              <w:rPr>
                <w:rFonts w:hint="eastAsia"/>
                <w:sz w:val="21"/>
                <w:szCs w:val="21"/>
              </w:rPr>
              <w:t>六、</w:t>
            </w:r>
            <w:r>
              <w:rPr>
                <w:sz w:val="21"/>
                <w:szCs w:val="21"/>
              </w:rPr>
              <w:t>27.</w:t>
            </w:r>
            <w:r>
              <w:rPr>
                <w:rFonts w:hint="eastAsia"/>
                <w:sz w:val="21"/>
                <w:szCs w:val="21"/>
              </w:rPr>
              <w:t>长期借款</w:t>
            </w:r>
            <w:r>
              <w:rPr>
                <w:sz w:val="21"/>
                <w:szCs w:val="21"/>
              </w:rPr>
              <w:t>"</w:t>
            </w:r>
          </w:p>
        </w:tc>
      </w:tr>
      <w:tr>
        <w:tblPrEx>
          <w:tblLayout w:type="fixed"/>
          <w:tblCellMar>
            <w:top w:w="0" w:type="dxa"/>
            <w:left w:w="28" w:type="dxa"/>
            <w:bottom w:w="0" w:type="dxa"/>
            <w:right w:w="28" w:type="dxa"/>
          </w:tblCellMar>
        </w:tblPrEx>
        <w:tc>
          <w:tcPr>
            <w:tcW w:w="332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305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53,770,184.20</w:t>
            </w:r>
          </w:p>
        </w:tc>
        <w:tc>
          <w:tcPr>
            <w:tcW w:w="318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sz w:val="21"/>
                <w:szCs w:val="21"/>
              </w:rPr>
              <w:t>--</w:t>
            </w:r>
          </w:p>
        </w:tc>
      </w:tr>
    </w:tbl>
    <w:p>
      <w:pPr>
        <w:jc w:val="left"/>
        <w:rPr>
          <w:sz w:val="21"/>
          <w:szCs w:val="21"/>
        </w:rPr>
      </w:pPr>
      <w:r>
        <w:rPr>
          <w:rFonts w:hint="eastAsia"/>
          <w:sz w:val="21"/>
          <w:szCs w:val="21"/>
        </w:rPr>
        <w:t>详见附注</w:t>
      </w:r>
      <w:r>
        <w:rPr>
          <w:sz w:val="21"/>
          <w:szCs w:val="21"/>
        </w:rPr>
        <w:t>“</w:t>
      </w:r>
      <w:r>
        <w:rPr>
          <w:rFonts w:hint="eastAsia"/>
          <w:sz w:val="21"/>
          <w:szCs w:val="21"/>
        </w:rPr>
        <w:t>长期借款</w:t>
      </w:r>
      <w:r>
        <w:rPr>
          <w:sz w:val="21"/>
          <w:szCs w:val="21"/>
        </w:rPr>
        <w:t>”</w:t>
      </w:r>
    </w:p>
    <w:p>
      <w:pPr>
        <w:pStyle w:val="11"/>
        <w:outlineLvl w:val="2"/>
        <w:rPr>
          <w:bCs w:val="0"/>
          <w:szCs w:val="24"/>
        </w:rPr>
      </w:pPr>
      <w:r>
        <w:rPr>
          <w:bCs w:val="0"/>
          <w:szCs w:val="24"/>
        </w:rPr>
        <w:t>50</w:t>
      </w:r>
      <w:r>
        <w:rPr>
          <w:rFonts w:hint="eastAsia"/>
          <w:bCs w:val="0"/>
          <w:szCs w:val="24"/>
        </w:rPr>
        <w:t>、外币货币性项目</w:t>
      </w:r>
    </w:p>
    <w:p>
      <w:pPr>
        <w:pStyle w:val="11"/>
        <w:outlineLvl w:val="3"/>
        <w:rPr>
          <w:bCs w:val="0"/>
          <w:szCs w:val="24"/>
        </w:rPr>
      </w:pPr>
      <w:r>
        <w:rPr>
          <w:rFonts w:hint="eastAsia"/>
          <w:bCs w:val="0"/>
          <w:szCs w:val="24"/>
        </w:rPr>
        <w:t>（</w:t>
      </w:r>
      <w:r>
        <w:rPr>
          <w:bCs w:val="0"/>
          <w:szCs w:val="24"/>
        </w:rPr>
        <w:t>1</w:t>
      </w:r>
      <w:r>
        <w:rPr>
          <w:rFonts w:hint="eastAsia"/>
          <w:bCs w:val="0"/>
          <w:szCs w:val="24"/>
        </w:rPr>
        <w:t>）外币货币性项目</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568" w:type="dxa"/>
        <w:tblInd w:w="28" w:type="dxa"/>
        <w:tblLayout w:type="fixed"/>
        <w:tblCellMar>
          <w:top w:w="0" w:type="dxa"/>
          <w:left w:w="28" w:type="dxa"/>
          <w:bottom w:w="0" w:type="dxa"/>
          <w:right w:w="28" w:type="dxa"/>
        </w:tblCellMar>
      </w:tblPr>
      <w:tblGrid>
        <w:gridCol w:w="2495"/>
        <w:gridCol w:w="2293"/>
        <w:gridCol w:w="2390"/>
        <w:gridCol w:w="2390"/>
      </w:tblGrid>
      <w:tr>
        <w:tblPrEx>
          <w:tblLayout w:type="fixed"/>
          <w:tblCellMar>
            <w:top w:w="0" w:type="dxa"/>
            <w:left w:w="28" w:type="dxa"/>
            <w:bottom w:w="0" w:type="dxa"/>
            <w:right w:w="28" w:type="dxa"/>
          </w:tblCellMar>
        </w:tblPrEx>
        <w:tc>
          <w:tcPr>
            <w:tcW w:w="249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229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期末外币余额</w:t>
            </w:r>
          </w:p>
        </w:tc>
        <w:tc>
          <w:tcPr>
            <w:tcW w:w="239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折算汇率</w:t>
            </w:r>
          </w:p>
        </w:tc>
        <w:tc>
          <w:tcPr>
            <w:tcW w:w="239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期末折算人民币余额</w:t>
            </w:r>
          </w:p>
        </w:tc>
      </w:tr>
      <w:tr>
        <w:tblPrEx>
          <w:tblLayout w:type="fixed"/>
          <w:tblCellMar>
            <w:top w:w="0" w:type="dxa"/>
            <w:left w:w="28" w:type="dxa"/>
            <w:bottom w:w="0" w:type="dxa"/>
            <w:right w:w="28" w:type="dxa"/>
          </w:tblCellMar>
        </w:tblPrEx>
        <w:tc>
          <w:tcPr>
            <w:tcW w:w="249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货币资金</w:t>
            </w:r>
          </w:p>
        </w:tc>
        <w:tc>
          <w:tcPr>
            <w:tcW w:w="229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sz w:val="21"/>
                <w:szCs w:val="21"/>
              </w:rPr>
              <w:t>--</w:t>
            </w:r>
          </w:p>
        </w:tc>
        <w:tc>
          <w:tcPr>
            <w:tcW w:w="239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sz w:val="21"/>
                <w:szCs w:val="21"/>
              </w:rPr>
              <w:t>--</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94,008,186.65</w:t>
            </w:r>
          </w:p>
        </w:tc>
      </w:tr>
      <w:tr>
        <w:tblPrEx>
          <w:tblLayout w:type="fixed"/>
          <w:tblCellMar>
            <w:top w:w="0" w:type="dxa"/>
            <w:left w:w="28" w:type="dxa"/>
            <w:bottom w:w="0" w:type="dxa"/>
            <w:right w:w="28" w:type="dxa"/>
          </w:tblCellMar>
        </w:tblPrEx>
        <w:tc>
          <w:tcPr>
            <w:tcW w:w="249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其中：美元</w:t>
            </w:r>
          </w:p>
        </w:tc>
        <w:tc>
          <w:tcPr>
            <w:tcW w:w="22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3,279,323.89</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6.9370</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22,748,669.82</w:t>
            </w:r>
          </w:p>
        </w:tc>
      </w:tr>
      <w:tr>
        <w:tblPrEx>
          <w:tblLayout w:type="fixed"/>
          <w:tblCellMar>
            <w:top w:w="0" w:type="dxa"/>
            <w:left w:w="28" w:type="dxa"/>
            <w:bottom w:w="0" w:type="dxa"/>
            <w:right w:w="28" w:type="dxa"/>
          </w:tblCellMar>
        </w:tblPrEx>
        <w:tc>
          <w:tcPr>
            <w:tcW w:w="249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欧元</w:t>
            </w:r>
          </w:p>
        </w:tc>
        <w:tc>
          <w:tcPr>
            <w:tcW w:w="22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4,144,502.94</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7.3068</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30,283,054.08</w:t>
            </w:r>
          </w:p>
        </w:tc>
      </w:tr>
      <w:tr>
        <w:tblPrEx>
          <w:tblLayout w:type="fixed"/>
          <w:tblCellMar>
            <w:top w:w="0" w:type="dxa"/>
            <w:left w:w="28" w:type="dxa"/>
            <w:bottom w:w="0" w:type="dxa"/>
            <w:right w:w="28" w:type="dxa"/>
          </w:tblCellMar>
        </w:tblPrEx>
        <w:tc>
          <w:tcPr>
            <w:tcW w:w="249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港币</w:t>
            </w:r>
          </w:p>
        </w:tc>
        <w:tc>
          <w:tcPr>
            <w:tcW w:w="22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40,644,385.65</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0.8945</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36,356,402.96</w:t>
            </w:r>
          </w:p>
        </w:tc>
      </w:tr>
      <w:tr>
        <w:tblPrEx>
          <w:tblLayout w:type="fixed"/>
          <w:tblCellMar>
            <w:top w:w="0" w:type="dxa"/>
            <w:left w:w="28" w:type="dxa"/>
            <w:bottom w:w="0" w:type="dxa"/>
            <w:right w:w="28" w:type="dxa"/>
          </w:tblCellMar>
        </w:tblPrEx>
        <w:tc>
          <w:tcPr>
            <w:tcW w:w="24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 xml:space="preserve">         </w:t>
            </w:r>
            <w:r>
              <w:rPr>
                <w:rFonts w:hint="eastAsia"/>
                <w:sz w:val="21"/>
                <w:szCs w:val="21"/>
              </w:rPr>
              <w:t>日元</w:t>
            </w:r>
          </w:p>
        </w:tc>
        <w:tc>
          <w:tcPr>
            <w:tcW w:w="22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1,107,814.00</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0.0060</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6,646.88</w:t>
            </w:r>
          </w:p>
        </w:tc>
      </w:tr>
      <w:tr>
        <w:tblPrEx>
          <w:tblLayout w:type="fixed"/>
          <w:tblCellMar>
            <w:top w:w="0" w:type="dxa"/>
            <w:left w:w="28" w:type="dxa"/>
            <w:bottom w:w="0" w:type="dxa"/>
            <w:right w:w="28" w:type="dxa"/>
          </w:tblCellMar>
        </w:tblPrEx>
        <w:tc>
          <w:tcPr>
            <w:tcW w:w="24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 xml:space="preserve">         </w:t>
            </w:r>
            <w:r>
              <w:rPr>
                <w:rFonts w:hint="eastAsia"/>
                <w:sz w:val="21"/>
                <w:szCs w:val="21"/>
              </w:rPr>
              <w:t>英镑</w:t>
            </w:r>
          </w:p>
        </w:tc>
        <w:tc>
          <w:tcPr>
            <w:tcW w:w="22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493,918.00</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8.5094</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4,202,945.83</w:t>
            </w:r>
          </w:p>
        </w:tc>
      </w:tr>
      <w:tr>
        <w:tblPrEx>
          <w:tblLayout w:type="fixed"/>
          <w:tblCellMar>
            <w:top w:w="0" w:type="dxa"/>
            <w:left w:w="28" w:type="dxa"/>
            <w:bottom w:w="0" w:type="dxa"/>
            <w:right w:w="28" w:type="dxa"/>
          </w:tblCellMar>
        </w:tblPrEx>
        <w:tc>
          <w:tcPr>
            <w:tcW w:w="24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 xml:space="preserve">         </w:t>
            </w:r>
            <w:r>
              <w:rPr>
                <w:rFonts w:hint="eastAsia"/>
                <w:sz w:val="21"/>
                <w:szCs w:val="21"/>
              </w:rPr>
              <w:t>加拿大元</w:t>
            </w:r>
          </w:p>
        </w:tc>
        <w:tc>
          <w:tcPr>
            <w:tcW w:w="22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75,720.66</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5.1406</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389,249.62</w:t>
            </w:r>
          </w:p>
        </w:tc>
      </w:tr>
      <w:tr>
        <w:tblPrEx>
          <w:tblLayout w:type="fixed"/>
          <w:tblCellMar>
            <w:top w:w="0" w:type="dxa"/>
            <w:left w:w="28" w:type="dxa"/>
            <w:bottom w:w="0" w:type="dxa"/>
            <w:right w:w="28" w:type="dxa"/>
          </w:tblCellMar>
        </w:tblPrEx>
        <w:tc>
          <w:tcPr>
            <w:tcW w:w="24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 xml:space="preserve">         </w:t>
            </w:r>
            <w:r>
              <w:rPr>
                <w:rFonts w:hint="eastAsia"/>
                <w:sz w:val="21"/>
                <w:szCs w:val="21"/>
              </w:rPr>
              <w:t>澳大利亚元</w:t>
            </w:r>
          </w:p>
        </w:tc>
        <w:tc>
          <w:tcPr>
            <w:tcW w:w="22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4,230.21</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5.0157</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21,217.46</w:t>
            </w:r>
          </w:p>
        </w:tc>
      </w:tr>
      <w:tr>
        <w:tblPrEx>
          <w:tblLayout w:type="fixed"/>
          <w:tblCellMar>
            <w:top w:w="0" w:type="dxa"/>
            <w:left w:w="28" w:type="dxa"/>
            <w:bottom w:w="0" w:type="dxa"/>
            <w:right w:w="28" w:type="dxa"/>
          </w:tblCellMar>
        </w:tblPrEx>
        <w:tc>
          <w:tcPr>
            <w:tcW w:w="249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应收账款</w:t>
            </w:r>
          </w:p>
        </w:tc>
        <w:tc>
          <w:tcPr>
            <w:tcW w:w="229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sz w:val="21"/>
                <w:szCs w:val="21"/>
              </w:rPr>
              <w:t>--</w:t>
            </w:r>
          </w:p>
        </w:tc>
        <w:tc>
          <w:tcPr>
            <w:tcW w:w="239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sz w:val="21"/>
                <w:szCs w:val="21"/>
              </w:rPr>
              <w:t>--</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61,500,239.39</w:t>
            </w:r>
          </w:p>
        </w:tc>
      </w:tr>
      <w:tr>
        <w:tblPrEx>
          <w:tblLayout w:type="fixed"/>
          <w:tblCellMar>
            <w:top w:w="0" w:type="dxa"/>
            <w:left w:w="28" w:type="dxa"/>
            <w:bottom w:w="0" w:type="dxa"/>
            <w:right w:w="28" w:type="dxa"/>
          </w:tblCellMar>
        </w:tblPrEx>
        <w:tc>
          <w:tcPr>
            <w:tcW w:w="249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其中：美元</w:t>
            </w:r>
          </w:p>
        </w:tc>
        <w:tc>
          <w:tcPr>
            <w:tcW w:w="22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7,709,084.78</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6.9370</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53,477,921.12</w:t>
            </w:r>
          </w:p>
        </w:tc>
      </w:tr>
      <w:tr>
        <w:tblPrEx>
          <w:tblLayout w:type="fixed"/>
          <w:tblCellMar>
            <w:top w:w="0" w:type="dxa"/>
            <w:left w:w="28" w:type="dxa"/>
            <w:bottom w:w="0" w:type="dxa"/>
            <w:right w:w="28" w:type="dxa"/>
          </w:tblCellMar>
        </w:tblPrEx>
        <w:tc>
          <w:tcPr>
            <w:tcW w:w="249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欧元</w:t>
            </w:r>
          </w:p>
        </w:tc>
        <w:tc>
          <w:tcPr>
            <w:tcW w:w="22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872,527.93</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7.3068</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6,375,387.08</w:t>
            </w:r>
          </w:p>
        </w:tc>
      </w:tr>
      <w:tr>
        <w:tblPrEx>
          <w:tblLayout w:type="fixed"/>
          <w:tblCellMar>
            <w:top w:w="0" w:type="dxa"/>
            <w:left w:w="28" w:type="dxa"/>
            <w:bottom w:w="0" w:type="dxa"/>
            <w:right w:w="28" w:type="dxa"/>
          </w:tblCellMar>
        </w:tblPrEx>
        <w:tc>
          <w:tcPr>
            <w:tcW w:w="249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港币</w:t>
            </w:r>
          </w:p>
        </w:tc>
        <w:tc>
          <w:tcPr>
            <w:tcW w:w="22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4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 xml:space="preserve">          </w:t>
            </w:r>
            <w:r>
              <w:rPr>
                <w:rFonts w:hint="eastAsia"/>
                <w:sz w:val="21"/>
                <w:szCs w:val="21"/>
              </w:rPr>
              <w:t>英镑</w:t>
            </w:r>
          </w:p>
        </w:tc>
        <w:tc>
          <w:tcPr>
            <w:tcW w:w="22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193,397.59</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8.5094</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1,645,697.45</w:t>
            </w:r>
          </w:p>
        </w:tc>
      </w:tr>
      <w:tr>
        <w:tblPrEx>
          <w:tblLayout w:type="fixed"/>
          <w:tblCellMar>
            <w:top w:w="0" w:type="dxa"/>
            <w:left w:w="28" w:type="dxa"/>
            <w:bottom w:w="0" w:type="dxa"/>
            <w:right w:w="28" w:type="dxa"/>
          </w:tblCellMar>
        </w:tblPrEx>
        <w:tc>
          <w:tcPr>
            <w:tcW w:w="24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 xml:space="preserve">          </w:t>
            </w:r>
            <w:r>
              <w:rPr>
                <w:rFonts w:hint="eastAsia"/>
                <w:sz w:val="21"/>
                <w:szCs w:val="21"/>
              </w:rPr>
              <w:t>加元</w:t>
            </w:r>
          </w:p>
        </w:tc>
        <w:tc>
          <w:tcPr>
            <w:tcW w:w="22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240.00</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5.1406</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1,233.74</w:t>
            </w:r>
          </w:p>
        </w:tc>
      </w:tr>
      <w:tr>
        <w:tblPrEx>
          <w:tblLayout w:type="fixed"/>
          <w:tblCellMar>
            <w:top w:w="0" w:type="dxa"/>
            <w:left w:w="28" w:type="dxa"/>
            <w:bottom w:w="0" w:type="dxa"/>
            <w:right w:w="28" w:type="dxa"/>
          </w:tblCellMar>
        </w:tblPrEx>
        <w:tc>
          <w:tcPr>
            <w:tcW w:w="24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预付账款</w:t>
            </w:r>
          </w:p>
        </w:tc>
        <w:tc>
          <w:tcPr>
            <w:tcW w:w="22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sz w:val="21"/>
                <w:szCs w:val="21"/>
              </w:rPr>
            </w:pP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34,559,098.81</w:t>
            </w:r>
          </w:p>
        </w:tc>
      </w:tr>
      <w:tr>
        <w:tblPrEx>
          <w:tblLayout w:type="fixed"/>
          <w:tblCellMar>
            <w:top w:w="0" w:type="dxa"/>
            <w:left w:w="28" w:type="dxa"/>
            <w:bottom w:w="0" w:type="dxa"/>
            <w:right w:w="28" w:type="dxa"/>
          </w:tblCellMar>
        </w:tblPrEx>
        <w:tc>
          <w:tcPr>
            <w:tcW w:w="24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其中：美元</w:t>
            </w:r>
          </w:p>
        </w:tc>
        <w:tc>
          <w:tcPr>
            <w:tcW w:w="22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1,648,995.02</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6.9370</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11,439,078.45</w:t>
            </w:r>
          </w:p>
        </w:tc>
      </w:tr>
      <w:tr>
        <w:tblPrEx>
          <w:tblLayout w:type="fixed"/>
          <w:tblCellMar>
            <w:top w:w="0" w:type="dxa"/>
            <w:left w:w="28" w:type="dxa"/>
            <w:bottom w:w="0" w:type="dxa"/>
            <w:right w:w="28" w:type="dxa"/>
          </w:tblCellMar>
        </w:tblPrEx>
        <w:tc>
          <w:tcPr>
            <w:tcW w:w="24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 xml:space="preserve">          </w:t>
            </w:r>
            <w:r>
              <w:rPr>
                <w:rFonts w:hint="eastAsia"/>
                <w:sz w:val="21"/>
                <w:szCs w:val="21"/>
              </w:rPr>
              <w:t>欧元</w:t>
            </w:r>
          </w:p>
        </w:tc>
        <w:tc>
          <w:tcPr>
            <w:tcW w:w="22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2,558,566.09</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7.3068</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18,694,930.71</w:t>
            </w:r>
          </w:p>
        </w:tc>
      </w:tr>
      <w:tr>
        <w:tblPrEx>
          <w:tblLayout w:type="fixed"/>
          <w:tblCellMar>
            <w:top w:w="0" w:type="dxa"/>
            <w:left w:w="28" w:type="dxa"/>
            <w:bottom w:w="0" w:type="dxa"/>
            <w:right w:w="28" w:type="dxa"/>
          </w:tblCellMar>
        </w:tblPrEx>
        <w:tc>
          <w:tcPr>
            <w:tcW w:w="24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 xml:space="preserve">          </w:t>
            </w:r>
            <w:r>
              <w:rPr>
                <w:rFonts w:hint="eastAsia"/>
                <w:sz w:val="21"/>
                <w:szCs w:val="21"/>
              </w:rPr>
              <w:t>英镑</w:t>
            </w:r>
          </w:p>
        </w:tc>
        <w:tc>
          <w:tcPr>
            <w:tcW w:w="22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77,365.00</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8.5094</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658,329.73</w:t>
            </w:r>
          </w:p>
        </w:tc>
      </w:tr>
      <w:tr>
        <w:tblPrEx>
          <w:tblLayout w:type="fixed"/>
          <w:tblCellMar>
            <w:top w:w="0" w:type="dxa"/>
            <w:left w:w="28" w:type="dxa"/>
            <w:bottom w:w="0" w:type="dxa"/>
            <w:right w:w="28" w:type="dxa"/>
          </w:tblCellMar>
        </w:tblPrEx>
        <w:tc>
          <w:tcPr>
            <w:tcW w:w="24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 xml:space="preserve">          </w:t>
            </w:r>
            <w:r>
              <w:rPr>
                <w:rFonts w:hint="eastAsia"/>
                <w:sz w:val="21"/>
                <w:szCs w:val="21"/>
              </w:rPr>
              <w:t>挪威克朗</w:t>
            </w:r>
          </w:p>
        </w:tc>
        <w:tc>
          <w:tcPr>
            <w:tcW w:w="22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1,706,735.00</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0.8047</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1,373,409.65</w:t>
            </w:r>
          </w:p>
        </w:tc>
      </w:tr>
      <w:tr>
        <w:tblPrEx>
          <w:tblLayout w:type="fixed"/>
          <w:tblCellMar>
            <w:top w:w="0" w:type="dxa"/>
            <w:left w:w="28" w:type="dxa"/>
            <w:bottom w:w="0" w:type="dxa"/>
            <w:right w:w="28" w:type="dxa"/>
          </w:tblCellMar>
        </w:tblPrEx>
        <w:tc>
          <w:tcPr>
            <w:tcW w:w="24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 xml:space="preserve">          </w:t>
            </w:r>
            <w:r>
              <w:rPr>
                <w:rFonts w:hint="eastAsia"/>
                <w:sz w:val="21"/>
                <w:szCs w:val="21"/>
              </w:rPr>
              <w:t>日元</w:t>
            </w:r>
          </w:p>
        </w:tc>
        <w:tc>
          <w:tcPr>
            <w:tcW w:w="22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465,578.00</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5.1406</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2,393,350.27</w:t>
            </w:r>
          </w:p>
        </w:tc>
      </w:tr>
      <w:tr>
        <w:tblPrEx>
          <w:tblLayout w:type="fixed"/>
          <w:tblCellMar>
            <w:top w:w="0" w:type="dxa"/>
            <w:left w:w="28" w:type="dxa"/>
            <w:bottom w:w="0" w:type="dxa"/>
            <w:right w:w="28" w:type="dxa"/>
          </w:tblCellMar>
        </w:tblPrEx>
        <w:tc>
          <w:tcPr>
            <w:tcW w:w="24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其他应收款</w:t>
            </w:r>
          </w:p>
        </w:tc>
        <w:tc>
          <w:tcPr>
            <w:tcW w:w="22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2,585,810.50</w:t>
            </w:r>
          </w:p>
        </w:tc>
      </w:tr>
      <w:tr>
        <w:tblPrEx>
          <w:tblLayout w:type="fixed"/>
          <w:tblCellMar>
            <w:top w:w="0" w:type="dxa"/>
            <w:left w:w="28" w:type="dxa"/>
            <w:bottom w:w="0" w:type="dxa"/>
            <w:right w:w="28" w:type="dxa"/>
          </w:tblCellMar>
        </w:tblPrEx>
        <w:tc>
          <w:tcPr>
            <w:tcW w:w="24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其中：美元</w:t>
            </w:r>
          </w:p>
        </w:tc>
        <w:tc>
          <w:tcPr>
            <w:tcW w:w="22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326,915.58</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6.9370</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2,267,813.38</w:t>
            </w:r>
          </w:p>
        </w:tc>
      </w:tr>
      <w:tr>
        <w:tblPrEx>
          <w:tblLayout w:type="fixed"/>
          <w:tblCellMar>
            <w:top w:w="0" w:type="dxa"/>
            <w:left w:w="28" w:type="dxa"/>
            <w:bottom w:w="0" w:type="dxa"/>
            <w:right w:w="28" w:type="dxa"/>
          </w:tblCellMar>
        </w:tblPrEx>
        <w:tc>
          <w:tcPr>
            <w:tcW w:w="24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 xml:space="preserve">          </w:t>
            </w:r>
            <w:r>
              <w:rPr>
                <w:rFonts w:hint="eastAsia"/>
                <w:sz w:val="21"/>
                <w:szCs w:val="21"/>
              </w:rPr>
              <w:t>欧元</w:t>
            </w:r>
          </w:p>
        </w:tc>
        <w:tc>
          <w:tcPr>
            <w:tcW w:w="22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43,520.71</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7.3068</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317,997.12</w:t>
            </w:r>
          </w:p>
        </w:tc>
      </w:tr>
      <w:tr>
        <w:tblPrEx>
          <w:tblLayout w:type="fixed"/>
          <w:tblCellMar>
            <w:top w:w="0" w:type="dxa"/>
            <w:left w:w="28" w:type="dxa"/>
            <w:bottom w:w="0" w:type="dxa"/>
            <w:right w:w="28" w:type="dxa"/>
          </w:tblCellMar>
        </w:tblPrEx>
        <w:tc>
          <w:tcPr>
            <w:tcW w:w="24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短期借款</w:t>
            </w:r>
          </w:p>
        </w:tc>
        <w:tc>
          <w:tcPr>
            <w:tcW w:w="22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36,534,000.00</w:t>
            </w:r>
          </w:p>
        </w:tc>
      </w:tr>
      <w:tr>
        <w:tblPrEx>
          <w:tblLayout w:type="fixed"/>
          <w:tblCellMar>
            <w:top w:w="0" w:type="dxa"/>
            <w:left w:w="28" w:type="dxa"/>
            <w:bottom w:w="0" w:type="dxa"/>
            <w:right w:w="28" w:type="dxa"/>
          </w:tblCellMar>
        </w:tblPrEx>
        <w:tc>
          <w:tcPr>
            <w:tcW w:w="24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其中：欧元</w:t>
            </w:r>
          </w:p>
        </w:tc>
        <w:tc>
          <w:tcPr>
            <w:tcW w:w="22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5,000,000.00</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7.3068</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36,534,000.00</w:t>
            </w:r>
          </w:p>
        </w:tc>
      </w:tr>
      <w:tr>
        <w:tblPrEx>
          <w:tblLayout w:type="fixed"/>
          <w:tblCellMar>
            <w:top w:w="0" w:type="dxa"/>
            <w:left w:w="28" w:type="dxa"/>
            <w:bottom w:w="0" w:type="dxa"/>
            <w:right w:w="28" w:type="dxa"/>
          </w:tblCellMar>
        </w:tblPrEx>
        <w:tc>
          <w:tcPr>
            <w:tcW w:w="24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应付账款</w:t>
            </w:r>
          </w:p>
        </w:tc>
        <w:tc>
          <w:tcPr>
            <w:tcW w:w="22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216,028,068.43</w:t>
            </w:r>
          </w:p>
        </w:tc>
      </w:tr>
      <w:tr>
        <w:tblPrEx>
          <w:tblLayout w:type="fixed"/>
          <w:tblCellMar>
            <w:top w:w="0" w:type="dxa"/>
            <w:left w:w="28" w:type="dxa"/>
            <w:bottom w:w="0" w:type="dxa"/>
            <w:right w:w="28" w:type="dxa"/>
          </w:tblCellMar>
        </w:tblPrEx>
        <w:tc>
          <w:tcPr>
            <w:tcW w:w="24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其中：美元</w:t>
            </w:r>
          </w:p>
        </w:tc>
        <w:tc>
          <w:tcPr>
            <w:tcW w:w="22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30,747,848.80</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6.9370</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213,297,827.13</w:t>
            </w:r>
          </w:p>
        </w:tc>
      </w:tr>
      <w:tr>
        <w:tblPrEx>
          <w:tblLayout w:type="fixed"/>
          <w:tblCellMar>
            <w:top w:w="0" w:type="dxa"/>
            <w:left w:w="28" w:type="dxa"/>
            <w:bottom w:w="0" w:type="dxa"/>
            <w:right w:w="28" w:type="dxa"/>
          </w:tblCellMar>
        </w:tblPrEx>
        <w:tc>
          <w:tcPr>
            <w:tcW w:w="24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 xml:space="preserve">          </w:t>
            </w:r>
            <w:r>
              <w:rPr>
                <w:rFonts w:hint="eastAsia"/>
                <w:sz w:val="21"/>
                <w:szCs w:val="21"/>
              </w:rPr>
              <w:t>欧元</w:t>
            </w:r>
          </w:p>
        </w:tc>
        <w:tc>
          <w:tcPr>
            <w:tcW w:w="22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230,426.86</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7.3068</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1,683,682.98</w:t>
            </w:r>
          </w:p>
        </w:tc>
      </w:tr>
      <w:tr>
        <w:tblPrEx>
          <w:tblLayout w:type="fixed"/>
          <w:tblCellMar>
            <w:top w:w="0" w:type="dxa"/>
            <w:left w:w="28" w:type="dxa"/>
            <w:bottom w:w="0" w:type="dxa"/>
            <w:right w:w="28" w:type="dxa"/>
          </w:tblCellMar>
        </w:tblPrEx>
        <w:tc>
          <w:tcPr>
            <w:tcW w:w="24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 xml:space="preserve">          </w:t>
            </w:r>
            <w:r>
              <w:rPr>
                <w:rFonts w:hint="eastAsia"/>
                <w:sz w:val="21"/>
                <w:szCs w:val="21"/>
              </w:rPr>
              <w:t>英镑</w:t>
            </w:r>
          </w:p>
        </w:tc>
        <w:tc>
          <w:tcPr>
            <w:tcW w:w="22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99,121.62</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8.5094</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843,465.51</w:t>
            </w:r>
          </w:p>
        </w:tc>
      </w:tr>
      <w:tr>
        <w:tblPrEx>
          <w:tblLayout w:type="fixed"/>
          <w:tblCellMar>
            <w:top w:w="0" w:type="dxa"/>
            <w:left w:w="28" w:type="dxa"/>
            <w:bottom w:w="0" w:type="dxa"/>
            <w:right w:w="28" w:type="dxa"/>
          </w:tblCellMar>
        </w:tblPrEx>
        <w:tc>
          <w:tcPr>
            <w:tcW w:w="24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 xml:space="preserve">          </w:t>
            </w:r>
            <w:r>
              <w:rPr>
                <w:rFonts w:hint="eastAsia"/>
                <w:sz w:val="21"/>
                <w:szCs w:val="21"/>
              </w:rPr>
              <w:t>港币</w:t>
            </w:r>
          </w:p>
        </w:tc>
        <w:tc>
          <w:tcPr>
            <w:tcW w:w="22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49,126.43</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0.8945</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43,943.59</w:t>
            </w:r>
          </w:p>
        </w:tc>
      </w:tr>
      <w:tr>
        <w:tblPrEx>
          <w:tblLayout w:type="fixed"/>
          <w:tblCellMar>
            <w:top w:w="0" w:type="dxa"/>
            <w:left w:w="28" w:type="dxa"/>
            <w:bottom w:w="0" w:type="dxa"/>
            <w:right w:w="28" w:type="dxa"/>
          </w:tblCellMar>
        </w:tblPrEx>
        <w:tc>
          <w:tcPr>
            <w:tcW w:w="24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 xml:space="preserve">          </w:t>
            </w:r>
            <w:r>
              <w:rPr>
                <w:rFonts w:hint="eastAsia"/>
                <w:sz w:val="21"/>
                <w:szCs w:val="21"/>
              </w:rPr>
              <w:t>挪威克朗</w:t>
            </w:r>
          </w:p>
        </w:tc>
        <w:tc>
          <w:tcPr>
            <w:tcW w:w="22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96,414.50</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0.8047</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77,584.75</w:t>
            </w:r>
          </w:p>
        </w:tc>
      </w:tr>
      <w:tr>
        <w:tblPrEx>
          <w:tblLayout w:type="fixed"/>
          <w:tblCellMar>
            <w:top w:w="0" w:type="dxa"/>
            <w:left w:w="28" w:type="dxa"/>
            <w:bottom w:w="0" w:type="dxa"/>
            <w:right w:w="28" w:type="dxa"/>
          </w:tblCellMar>
        </w:tblPrEx>
        <w:tc>
          <w:tcPr>
            <w:tcW w:w="24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 xml:space="preserve">          </w:t>
            </w:r>
            <w:r>
              <w:rPr>
                <w:rFonts w:hint="eastAsia"/>
                <w:sz w:val="21"/>
                <w:szCs w:val="21"/>
              </w:rPr>
              <w:t>新加坡元</w:t>
            </w:r>
          </w:p>
        </w:tc>
        <w:tc>
          <w:tcPr>
            <w:tcW w:w="22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16,997.20</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4.7795</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81,238.12</w:t>
            </w:r>
          </w:p>
        </w:tc>
      </w:tr>
      <w:tr>
        <w:tblPrEx>
          <w:tblLayout w:type="fixed"/>
          <w:tblCellMar>
            <w:top w:w="0" w:type="dxa"/>
            <w:left w:w="28" w:type="dxa"/>
            <w:bottom w:w="0" w:type="dxa"/>
            <w:right w:w="28" w:type="dxa"/>
          </w:tblCellMar>
        </w:tblPrEx>
        <w:tc>
          <w:tcPr>
            <w:tcW w:w="24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 xml:space="preserve">          </w:t>
            </w:r>
            <w:r>
              <w:rPr>
                <w:rFonts w:hint="eastAsia"/>
                <w:sz w:val="21"/>
                <w:szCs w:val="21"/>
              </w:rPr>
              <w:t>日元</w:t>
            </w:r>
          </w:p>
        </w:tc>
        <w:tc>
          <w:tcPr>
            <w:tcW w:w="22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54,764.98</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0.0060</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326.35</w:t>
            </w:r>
          </w:p>
        </w:tc>
      </w:tr>
      <w:tr>
        <w:tblPrEx>
          <w:tblLayout w:type="fixed"/>
          <w:tblCellMar>
            <w:top w:w="0" w:type="dxa"/>
            <w:left w:w="28" w:type="dxa"/>
            <w:bottom w:w="0" w:type="dxa"/>
            <w:right w:w="28" w:type="dxa"/>
          </w:tblCellMar>
        </w:tblPrEx>
        <w:tc>
          <w:tcPr>
            <w:tcW w:w="24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预收账款</w:t>
            </w:r>
          </w:p>
        </w:tc>
        <w:tc>
          <w:tcPr>
            <w:tcW w:w="22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18,021,242.21</w:t>
            </w:r>
          </w:p>
        </w:tc>
      </w:tr>
      <w:tr>
        <w:tblPrEx>
          <w:tblLayout w:type="fixed"/>
          <w:tblCellMar>
            <w:top w:w="0" w:type="dxa"/>
            <w:left w:w="28" w:type="dxa"/>
            <w:bottom w:w="0" w:type="dxa"/>
            <w:right w:w="28" w:type="dxa"/>
          </w:tblCellMar>
        </w:tblPrEx>
        <w:tc>
          <w:tcPr>
            <w:tcW w:w="24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其中：美元</w:t>
            </w:r>
          </w:p>
        </w:tc>
        <w:tc>
          <w:tcPr>
            <w:tcW w:w="22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1,213,033.32</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6.9370</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8,414,812.14</w:t>
            </w:r>
          </w:p>
        </w:tc>
      </w:tr>
      <w:tr>
        <w:tblPrEx>
          <w:tblLayout w:type="fixed"/>
          <w:tblCellMar>
            <w:top w:w="0" w:type="dxa"/>
            <w:left w:w="28" w:type="dxa"/>
            <w:bottom w:w="0" w:type="dxa"/>
            <w:right w:w="28" w:type="dxa"/>
          </w:tblCellMar>
        </w:tblPrEx>
        <w:tc>
          <w:tcPr>
            <w:tcW w:w="24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 xml:space="preserve">          </w:t>
            </w:r>
            <w:r>
              <w:rPr>
                <w:rFonts w:hint="eastAsia"/>
                <w:sz w:val="21"/>
                <w:szCs w:val="21"/>
              </w:rPr>
              <w:t>欧元</w:t>
            </w:r>
          </w:p>
        </w:tc>
        <w:tc>
          <w:tcPr>
            <w:tcW w:w="22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1,314,724.65</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7.3068</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9,606,430.07</w:t>
            </w:r>
          </w:p>
        </w:tc>
      </w:tr>
      <w:tr>
        <w:tblPrEx>
          <w:tblLayout w:type="fixed"/>
          <w:tblCellMar>
            <w:top w:w="0" w:type="dxa"/>
            <w:left w:w="28" w:type="dxa"/>
            <w:bottom w:w="0" w:type="dxa"/>
            <w:right w:w="28" w:type="dxa"/>
          </w:tblCellMar>
        </w:tblPrEx>
        <w:tc>
          <w:tcPr>
            <w:tcW w:w="249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长期借款</w:t>
            </w:r>
          </w:p>
        </w:tc>
        <w:tc>
          <w:tcPr>
            <w:tcW w:w="229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sz w:val="21"/>
                <w:szCs w:val="21"/>
              </w:rPr>
              <w:t>--</w:t>
            </w:r>
          </w:p>
        </w:tc>
        <w:tc>
          <w:tcPr>
            <w:tcW w:w="239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sz w:val="21"/>
                <w:szCs w:val="21"/>
              </w:rPr>
              <w:t>--</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1,826,700.00</w:t>
            </w:r>
          </w:p>
        </w:tc>
      </w:tr>
      <w:tr>
        <w:tblPrEx>
          <w:tblLayout w:type="fixed"/>
          <w:tblCellMar>
            <w:top w:w="0" w:type="dxa"/>
            <w:left w:w="28" w:type="dxa"/>
            <w:bottom w:w="0" w:type="dxa"/>
            <w:right w:w="28" w:type="dxa"/>
          </w:tblCellMar>
        </w:tblPrEx>
        <w:tc>
          <w:tcPr>
            <w:tcW w:w="249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其中：美元</w:t>
            </w:r>
          </w:p>
        </w:tc>
        <w:tc>
          <w:tcPr>
            <w:tcW w:w="22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sz w:val="21"/>
                <w:szCs w:val="21"/>
              </w:rPr>
            </w:pP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49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欧元</w:t>
            </w:r>
          </w:p>
        </w:tc>
        <w:tc>
          <w:tcPr>
            <w:tcW w:w="22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250,000.00</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7.3068</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1,826,700.00</w:t>
            </w:r>
          </w:p>
        </w:tc>
      </w:tr>
      <w:tr>
        <w:tblPrEx>
          <w:tblLayout w:type="fixed"/>
          <w:tblCellMar>
            <w:top w:w="0" w:type="dxa"/>
            <w:left w:w="28" w:type="dxa"/>
            <w:bottom w:w="0" w:type="dxa"/>
            <w:right w:w="28" w:type="dxa"/>
          </w:tblCellMar>
        </w:tblPrEx>
        <w:tc>
          <w:tcPr>
            <w:tcW w:w="249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港币</w:t>
            </w:r>
          </w:p>
        </w:tc>
        <w:tc>
          <w:tcPr>
            <w:tcW w:w="22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sz w:val="21"/>
                <w:szCs w:val="21"/>
              </w:rPr>
            </w:pP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4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p>
        </w:tc>
        <w:tc>
          <w:tcPr>
            <w:tcW w:w="229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sz w:val="21"/>
                <w:szCs w:val="21"/>
              </w:rPr>
            </w:pP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bl>
    <w:p>
      <w:pPr>
        <w:pStyle w:val="11"/>
        <w:outlineLvl w:val="3"/>
        <w:rPr>
          <w:bCs w:val="0"/>
          <w:szCs w:val="24"/>
        </w:rPr>
      </w:pPr>
      <w:r>
        <w:rPr>
          <w:rFonts w:hint="eastAsia"/>
          <w:bCs w:val="0"/>
          <w:szCs w:val="24"/>
        </w:rPr>
        <w:t>（</w:t>
      </w:r>
      <w:r>
        <w:rPr>
          <w:bCs w:val="0"/>
          <w:szCs w:val="24"/>
        </w:rPr>
        <w:t>2</w:t>
      </w:r>
      <w:r>
        <w:rPr>
          <w:rFonts w:hint="eastAsia"/>
          <w:bCs w:val="0"/>
          <w:szCs w:val="24"/>
        </w:rPr>
        <w:t>）境外经营实体说明，包括对于重要的境外经营实体，应披露其境外主要经营地、记账本位币及选择依据，记账本位币发生变化的还应披露原因。</w:t>
      </w:r>
    </w:p>
    <w:p>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tbl>
      <w:tblPr>
        <w:tblStyle w:val="8"/>
        <w:tblW w:w="9658" w:type="dxa"/>
        <w:tblInd w:w="0" w:type="dxa"/>
        <w:tblBorders>
          <w:top w:val="none" w:color="auto" w:sz="0" w:space="0"/>
          <w:left w:val="none" w:color="auto" w:sz="0" w:space="0"/>
          <w:bottom w:val="single" w:color="auto" w:sz="6" w:space="0"/>
          <w:right w:val="single" w:color="auto" w:sz="6" w:space="0"/>
          <w:insideH w:val="none" w:color="auto" w:sz="0" w:space="0"/>
          <w:insideV w:val="none" w:color="auto" w:sz="0" w:space="0"/>
        </w:tblBorders>
        <w:tblLayout w:type="fixed"/>
        <w:tblCellMar>
          <w:top w:w="10" w:type="dxa"/>
          <w:left w:w="10" w:type="dxa"/>
          <w:bottom w:w="10" w:type="dxa"/>
          <w:right w:w="10" w:type="dxa"/>
        </w:tblCellMar>
      </w:tblPr>
      <w:tblGrid>
        <w:gridCol w:w="2563"/>
        <w:gridCol w:w="1157"/>
        <w:gridCol w:w="1157"/>
        <w:gridCol w:w="2353"/>
        <w:gridCol w:w="1215"/>
        <w:gridCol w:w="1213"/>
      </w:tblGrid>
      <w:tr>
        <w:tblPrEx>
          <w:tblBorders>
            <w:top w:val="none" w:color="auto" w:sz="0" w:space="0"/>
            <w:left w:val="none" w:color="auto" w:sz="0" w:space="0"/>
            <w:bottom w:val="single" w:color="auto" w:sz="6" w:space="0"/>
            <w:right w:val="single" w:color="auto" w:sz="6" w:space="0"/>
            <w:insideH w:val="none" w:color="auto" w:sz="0" w:space="0"/>
            <w:insideV w:val="none" w:color="auto" w:sz="0" w:space="0"/>
          </w:tblBorders>
          <w:tblLayout w:type="fixed"/>
          <w:tblCellMar>
            <w:top w:w="10" w:type="dxa"/>
            <w:left w:w="10" w:type="dxa"/>
            <w:bottom w:w="10" w:type="dxa"/>
            <w:right w:w="10" w:type="dxa"/>
          </w:tblCellMar>
        </w:tblPrEx>
        <w:tc>
          <w:tcPr>
            <w:tcW w:w="2563" w:type="dxa"/>
            <w:tcBorders>
              <w:top w:val="single" w:color="auto" w:sz="4" w:space="0"/>
              <w:left w:val="single" w:color="auto" w:sz="4" w:space="0"/>
              <w:bottom w:val="single" w:color="auto" w:sz="6" w:space="0"/>
              <w:right w:val="single" w:color="auto" w:sz="6" w:space="0"/>
            </w:tcBorders>
            <w:shd w:val="clear" w:color="auto" w:fill="FFFFFF"/>
          </w:tcPr>
          <w:p>
            <w:pPr>
              <w:autoSpaceDE w:val="0"/>
              <w:autoSpaceDN w:val="0"/>
              <w:adjustRightInd w:val="0"/>
              <w:spacing w:before="0" w:after="0"/>
              <w:jc w:val="left"/>
              <w:rPr>
                <w:rFonts w:eastAsia="Times New Roman"/>
                <w:kern w:val="0"/>
                <w:sz w:val="21"/>
                <w:szCs w:val="21"/>
                <w:lang w:val="zh-CN"/>
              </w:rPr>
            </w:pPr>
            <w:r>
              <w:rPr>
                <w:rFonts w:hint="eastAsia" w:ascii="宋体" w:hAnsi="宋体" w:cs="宋体"/>
                <w:color w:val="333333"/>
                <w:kern w:val="0"/>
                <w:sz w:val="21"/>
                <w:szCs w:val="21"/>
                <w:lang w:val="zh-CN"/>
              </w:rPr>
              <w:t>子公司名称</w:t>
            </w:r>
          </w:p>
        </w:tc>
        <w:tc>
          <w:tcPr>
            <w:tcW w:w="1157" w:type="dxa"/>
            <w:tcBorders>
              <w:top w:val="single" w:color="auto" w:sz="4" w:space="0"/>
              <w:left w:val="nil"/>
              <w:bottom w:val="single" w:color="auto" w:sz="6" w:space="0"/>
              <w:right w:val="single" w:color="auto" w:sz="6" w:space="0"/>
            </w:tcBorders>
            <w:shd w:val="clear" w:color="auto" w:fill="FFFFFF"/>
          </w:tcPr>
          <w:p>
            <w:pPr>
              <w:autoSpaceDE w:val="0"/>
              <w:autoSpaceDN w:val="0"/>
              <w:adjustRightInd w:val="0"/>
              <w:spacing w:before="0" w:after="0"/>
              <w:jc w:val="left"/>
              <w:rPr>
                <w:rFonts w:eastAsia="Times New Roman"/>
                <w:kern w:val="0"/>
                <w:sz w:val="21"/>
                <w:szCs w:val="21"/>
                <w:lang w:val="zh-CN"/>
              </w:rPr>
            </w:pPr>
            <w:r>
              <w:rPr>
                <w:rFonts w:hint="eastAsia" w:ascii="宋体" w:hAnsi="宋体" w:cs="宋体"/>
                <w:color w:val="333333"/>
                <w:kern w:val="0"/>
                <w:sz w:val="21"/>
                <w:szCs w:val="21"/>
                <w:lang w:val="zh-CN"/>
              </w:rPr>
              <w:t>主要经营地</w:t>
            </w:r>
          </w:p>
        </w:tc>
        <w:tc>
          <w:tcPr>
            <w:tcW w:w="1157" w:type="dxa"/>
            <w:tcBorders>
              <w:top w:val="single" w:color="auto" w:sz="4" w:space="0"/>
              <w:left w:val="nil"/>
              <w:bottom w:val="single" w:color="auto" w:sz="6" w:space="0"/>
              <w:right w:val="single" w:color="auto" w:sz="6" w:space="0"/>
            </w:tcBorders>
            <w:shd w:val="clear" w:color="auto" w:fill="FFFFFF"/>
          </w:tcPr>
          <w:p>
            <w:pPr>
              <w:autoSpaceDE w:val="0"/>
              <w:autoSpaceDN w:val="0"/>
              <w:adjustRightInd w:val="0"/>
              <w:spacing w:before="0" w:after="0"/>
              <w:jc w:val="left"/>
              <w:rPr>
                <w:rFonts w:eastAsia="Times New Roman"/>
                <w:kern w:val="0"/>
                <w:sz w:val="21"/>
                <w:szCs w:val="21"/>
                <w:lang w:val="zh-CN"/>
              </w:rPr>
            </w:pPr>
            <w:r>
              <w:rPr>
                <w:rFonts w:hint="eastAsia" w:ascii="宋体" w:hAnsi="宋体" w:cs="宋体"/>
                <w:color w:val="333333"/>
                <w:kern w:val="0"/>
                <w:sz w:val="21"/>
                <w:szCs w:val="21"/>
                <w:lang w:val="zh-CN"/>
              </w:rPr>
              <w:t>注册地</w:t>
            </w:r>
          </w:p>
        </w:tc>
        <w:tc>
          <w:tcPr>
            <w:tcW w:w="2353" w:type="dxa"/>
            <w:tcBorders>
              <w:top w:val="single" w:color="auto" w:sz="4" w:space="0"/>
              <w:left w:val="nil"/>
              <w:bottom w:val="single" w:color="auto" w:sz="6" w:space="0"/>
              <w:right w:val="single" w:color="auto" w:sz="6" w:space="0"/>
            </w:tcBorders>
            <w:shd w:val="clear" w:color="auto" w:fill="FFFFFF"/>
          </w:tcPr>
          <w:p>
            <w:pPr>
              <w:autoSpaceDE w:val="0"/>
              <w:autoSpaceDN w:val="0"/>
              <w:adjustRightInd w:val="0"/>
              <w:spacing w:before="0" w:after="0"/>
              <w:jc w:val="left"/>
              <w:rPr>
                <w:rFonts w:eastAsia="Times New Roman"/>
                <w:kern w:val="0"/>
                <w:sz w:val="21"/>
                <w:szCs w:val="21"/>
                <w:lang w:val="zh-CN"/>
              </w:rPr>
            </w:pPr>
            <w:r>
              <w:rPr>
                <w:rFonts w:hint="eastAsia" w:ascii="宋体" w:hAnsi="宋体" w:cs="宋体"/>
                <w:color w:val="333333"/>
                <w:kern w:val="0"/>
                <w:sz w:val="21"/>
                <w:szCs w:val="21"/>
                <w:lang w:val="zh-CN"/>
              </w:rPr>
              <w:t>业务性质</w:t>
            </w:r>
          </w:p>
        </w:tc>
        <w:tc>
          <w:tcPr>
            <w:tcW w:w="1215" w:type="dxa"/>
            <w:tcBorders>
              <w:top w:val="single" w:color="auto" w:sz="4" w:space="0"/>
              <w:left w:val="nil"/>
              <w:bottom w:val="single" w:color="auto" w:sz="6" w:space="0"/>
              <w:right w:val="single" w:color="auto" w:sz="6" w:space="0"/>
            </w:tcBorders>
            <w:shd w:val="clear" w:color="auto" w:fill="FFFFFF"/>
          </w:tcPr>
          <w:p>
            <w:pPr>
              <w:autoSpaceDE w:val="0"/>
              <w:autoSpaceDN w:val="0"/>
              <w:adjustRightInd w:val="0"/>
              <w:spacing w:before="0" w:after="0"/>
              <w:jc w:val="left"/>
              <w:rPr>
                <w:rFonts w:eastAsia="Times New Roman"/>
                <w:kern w:val="0"/>
                <w:sz w:val="21"/>
                <w:szCs w:val="21"/>
                <w:lang w:val="zh-CN"/>
              </w:rPr>
            </w:pPr>
            <w:r>
              <w:rPr>
                <w:rFonts w:hint="eastAsia" w:ascii="宋体" w:hAnsi="宋体" w:cs="宋体"/>
                <w:color w:val="333333"/>
                <w:kern w:val="0"/>
                <w:sz w:val="21"/>
                <w:szCs w:val="21"/>
                <w:lang w:val="zh-CN"/>
              </w:rPr>
              <w:t>记账本位币</w:t>
            </w:r>
          </w:p>
        </w:tc>
        <w:tc>
          <w:tcPr>
            <w:tcW w:w="1213" w:type="dxa"/>
            <w:tcBorders>
              <w:top w:val="single" w:color="auto" w:sz="4" w:space="0"/>
              <w:left w:val="nil"/>
              <w:bottom w:val="single" w:color="auto" w:sz="6" w:space="0"/>
            </w:tcBorders>
            <w:shd w:val="clear" w:color="auto" w:fill="FFFFFF"/>
          </w:tcPr>
          <w:p>
            <w:pPr>
              <w:autoSpaceDE w:val="0"/>
              <w:autoSpaceDN w:val="0"/>
              <w:adjustRightInd w:val="0"/>
              <w:spacing w:before="0" w:after="0"/>
              <w:jc w:val="left"/>
              <w:rPr>
                <w:rFonts w:eastAsia="Times New Roman"/>
                <w:kern w:val="0"/>
                <w:sz w:val="21"/>
                <w:szCs w:val="21"/>
                <w:lang w:val="zh-CN"/>
              </w:rPr>
            </w:pPr>
            <w:r>
              <w:rPr>
                <w:rFonts w:hint="eastAsia" w:ascii="宋体" w:hAnsi="宋体" w:cs="宋体"/>
                <w:color w:val="333333"/>
                <w:kern w:val="0"/>
                <w:sz w:val="21"/>
                <w:szCs w:val="21"/>
                <w:lang w:val="zh-CN"/>
              </w:rPr>
              <w:t>记账本位币选择依据</w:t>
            </w:r>
          </w:p>
        </w:tc>
      </w:tr>
      <w:tr>
        <w:tblPrEx>
          <w:tblBorders>
            <w:top w:val="none" w:color="auto" w:sz="0" w:space="0"/>
            <w:left w:val="none" w:color="auto" w:sz="0" w:space="0"/>
            <w:bottom w:val="single" w:color="auto" w:sz="6" w:space="0"/>
            <w:right w:val="single" w:color="auto" w:sz="6" w:space="0"/>
            <w:insideH w:val="none" w:color="auto" w:sz="0" w:space="0"/>
            <w:insideV w:val="none" w:color="auto" w:sz="0" w:space="0"/>
          </w:tblBorders>
          <w:tblLayout w:type="fixed"/>
          <w:tblCellMar>
            <w:top w:w="10" w:type="dxa"/>
            <w:left w:w="10" w:type="dxa"/>
            <w:bottom w:w="10" w:type="dxa"/>
            <w:right w:w="10" w:type="dxa"/>
          </w:tblCellMar>
        </w:tblPrEx>
        <w:tc>
          <w:tcPr>
            <w:tcW w:w="2563" w:type="dxa"/>
            <w:tcBorders>
              <w:top w:val="nil"/>
              <w:left w:val="single" w:color="auto" w:sz="4" w:space="0"/>
              <w:bottom w:val="single" w:color="auto" w:sz="6" w:space="0"/>
              <w:right w:val="single" w:color="auto" w:sz="6" w:space="0"/>
            </w:tcBorders>
            <w:shd w:val="clear" w:color="auto" w:fill="FFFFFF"/>
          </w:tcPr>
          <w:p>
            <w:pPr>
              <w:autoSpaceDE w:val="0"/>
              <w:autoSpaceDN w:val="0"/>
              <w:adjustRightInd w:val="0"/>
              <w:spacing w:before="0" w:after="0"/>
              <w:jc w:val="left"/>
              <w:rPr>
                <w:rFonts w:eastAsia="Times New Roman"/>
                <w:kern w:val="0"/>
                <w:sz w:val="21"/>
                <w:szCs w:val="21"/>
                <w:lang w:val="zh-CN"/>
              </w:rPr>
            </w:pPr>
            <w:r>
              <w:rPr>
                <w:rFonts w:hint="eastAsia" w:ascii="宋体" w:hAnsi="宋体" w:cs="宋体"/>
                <w:color w:val="333333"/>
                <w:kern w:val="0"/>
                <w:sz w:val="21"/>
                <w:szCs w:val="21"/>
                <w:lang w:val="zh-CN"/>
              </w:rPr>
              <w:t>劳雷海洋系统有限公司</w:t>
            </w:r>
          </w:p>
        </w:tc>
        <w:tc>
          <w:tcPr>
            <w:tcW w:w="1157" w:type="dxa"/>
            <w:tcBorders>
              <w:top w:val="nil"/>
              <w:left w:val="nil"/>
              <w:bottom w:val="single" w:color="auto" w:sz="6" w:space="0"/>
              <w:right w:val="single" w:color="auto" w:sz="6" w:space="0"/>
            </w:tcBorders>
            <w:shd w:val="clear" w:color="auto" w:fill="FFFFFF"/>
          </w:tcPr>
          <w:p>
            <w:pPr>
              <w:autoSpaceDE w:val="0"/>
              <w:autoSpaceDN w:val="0"/>
              <w:adjustRightInd w:val="0"/>
              <w:spacing w:before="0" w:after="0"/>
              <w:jc w:val="left"/>
              <w:rPr>
                <w:rFonts w:eastAsia="Times New Roman"/>
                <w:kern w:val="0"/>
                <w:sz w:val="21"/>
                <w:szCs w:val="21"/>
                <w:lang w:val="zh-CN"/>
              </w:rPr>
            </w:pPr>
            <w:r>
              <w:rPr>
                <w:rFonts w:hint="eastAsia" w:ascii="宋体" w:hAnsi="宋体" w:cs="宋体"/>
                <w:color w:val="333333"/>
                <w:kern w:val="0"/>
                <w:sz w:val="21"/>
                <w:szCs w:val="21"/>
                <w:lang w:val="zh-CN"/>
              </w:rPr>
              <w:t>香港</w:t>
            </w:r>
          </w:p>
        </w:tc>
        <w:tc>
          <w:tcPr>
            <w:tcW w:w="1157" w:type="dxa"/>
            <w:tcBorders>
              <w:top w:val="nil"/>
              <w:left w:val="nil"/>
              <w:bottom w:val="single" w:color="auto" w:sz="6" w:space="0"/>
              <w:right w:val="single" w:color="auto" w:sz="6" w:space="0"/>
            </w:tcBorders>
            <w:shd w:val="clear" w:color="auto" w:fill="FFFFFF"/>
          </w:tcPr>
          <w:p>
            <w:pPr>
              <w:autoSpaceDE w:val="0"/>
              <w:autoSpaceDN w:val="0"/>
              <w:adjustRightInd w:val="0"/>
              <w:spacing w:before="0" w:after="0"/>
              <w:jc w:val="left"/>
              <w:rPr>
                <w:rFonts w:eastAsia="Times New Roman"/>
                <w:kern w:val="0"/>
                <w:sz w:val="21"/>
                <w:szCs w:val="21"/>
                <w:lang w:val="zh-CN"/>
              </w:rPr>
            </w:pPr>
            <w:r>
              <w:rPr>
                <w:rFonts w:hint="eastAsia" w:ascii="宋体" w:hAnsi="宋体" w:cs="宋体"/>
                <w:color w:val="333333"/>
                <w:kern w:val="0"/>
                <w:sz w:val="21"/>
                <w:szCs w:val="21"/>
                <w:lang w:val="zh-CN"/>
              </w:rPr>
              <w:t>香港</w:t>
            </w:r>
          </w:p>
        </w:tc>
        <w:tc>
          <w:tcPr>
            <w:tcW w:w="2353" w:type="dxa"/>
            <w:tcBorders>
              <w:top w:val="nil"/>
              <w:left w:val="nil"/>
              <w:bottom w:val="single" w:color="auto" w:sz="6" w:space="0"/>
              <w:right w:val="single" w:color="auto" w:sz="6" w:space="0"/>
            </w:tcBorders>
            <w:shd w:val="clear" w:color="auto" w:fill="FFFFFF"/>
          </w:tcPr>
          <w:p>
            <w:pPr>
              <w:autoSpaceDE w:val="0"/>
              <w:autoSpaceDN w:val="0"/>
              <w:adjustRightInd w:val="0"/>
              <w:spacing w:before="0" w:after="0"/>
              <w:jc w:val="left"/>
              <w:rPr>
                <w:rFonts w:eastAsia="Times New Roman"/>
                <w:kern w:val="0"/>
                <w:sz w:val="21"/>
                <w:szCs w:val="21"/>
                <w:lang w:val="zh-CN"/>
              </w:rPr>
            </w:pPr>
            <w:r>
              <w:rPr>
                <w:rFonts w:hint="eastAsia" w:ascii="宋体" w:hAnsi="宋体" w:cs="宋体"/>
                <w:color w:val="333333"/>
                <w:kern w:val="0"/>
                <w:sz w:val="21"/>
                <w:szCs w:val="21"/>
                <w:lang w:val="zh-CN"/>
              </w:rPr>
              <w:t>海洋观（探）测仪器、装备与系统销售</w:t>
            </w:r>
          </w:p>
        </w:tc>
        <w:tc>
          <w:tcPr>
            <w:tcW w:w="1215" w:type="dxa"/>
            <w:tcBorders>
              <w:top w:val="nil"/>
              <w:left w:val="nil"/>
              <w:bottom w:val="single" w:color="auto" w:sz="6" w:space="0"/>
              <w:right w:val="single" w:color="auto" w:sz="6" w:space="0"/>
            </w:tcBorders>
            <w:shd w:val="clear" w:color="auto" w:fill="FFFFFF"/>
          </w:tcPr>
          <w:p>
            <w:pPr>
              <w:autoSpaceDE w:val="0"/>
              <w:autoSpaceDN w:val="0"/>
              <w:adjustRightInd w:val="0"/>
              <w:spacing w:before="0" w:after="0"/>
              <w:jc w:val="left"/>
              <w:rPr>
                <w:rFonts w:eastAsia="Times New Roman"/>
                <w:kern w:val="0"/>
                <w:sz w:val="21"/>
                <w:szCs w:val="21"/>
                <w:lang w:val="zh-CN"/>
              </w:rPr>
            </w:pPr>
            <w:r>
              <w:rPr>
                <w:rFonts w:hint="eastAsia" w:ascii="宋体" w:hAnsi="宋体" w:cs="宋体"/>
                <w:color w:val="333333"/>
                <w:kern w:val="0"/>
                <w:sz w:val="21"/>
                <w:szCs w:val="21"/>
                <w:lang w:val="zh-CN"/>
              </w:rPr>
              <w:t>港币</w:t>
            </w:r>
          </w:p>
        </w:tc>
        <w:tc>
          <w:tcPr>
            <w:tcW w:w="1213" w:type="dxa"/>
            <w:tcBorders>
              <w:top w:val="nil"/>
              <w:left w:val="nil"/>
              <w:bottom w:val="single" w:color="auto" w:sz="6" w:space="0"/>
            </w:tcBorders>
            <w:shd w:val="clear" w:color="auto" w:fill="FFFFFF"/>
          </w:tcPr>
          <w:p>
            <w:pPr>
              <w:autoSpaceDE w:val="0"/>
              <w:autoSpaceDN w:val="0"/>
              <w:adjustRightInd w:val="0"/>
              <w:spacing w:before="0" w:after="0"/>
              <w:jc w:val="left"/>
              <w:rPr>
                <w:rFonts w:eastAsia="Times New Roman"/>
                <w:kern w:val="0"/>
                <w:sz w:val="21"/>
                <w:szCs w:val="21"/>
                <w:lang w:val="zh-CN"/>
              </w:rPr>
            </w:pPr>
            <w:r>
              <w:rPr>
                <w:rFonts w:hint="eastAsia" w:ascii="宋体" w:hAnsi="宋体" w:cs="宋体"/>
                <w:color w:val="333333"/>
                <w:kern w:val="0"/>
                <w:sz w:val="21"/>
                <w:szCs w:val="21"/>
                <w:lang w:val="zh-CN"/>
              </w:rPr>
              <w:t>主要的业务结算货币</w:t>
            </w:r>
          </w:p>
        </w:tc>
      </w:tr>
      <w:tr>
        <w:tblPrEx>
          <w:tblBorders>
            <w:top w:val="none" w:color="auto" w:sz="0" w:space="0"/>
            <w:left w:val="none" w:color="auto" w:sz="0" w:space="0"/>
            <w:bottom w:val="single" w:color="auto" w:sz="6" w:space="0"/>
            <w:right w:val="single" w:color="auto" w:sz="6" w:space="0"/>
            <w:insideH w:val="none" w:color="auto" w:sz="0" w:space="0"/>
            <w:insideV w:val="none" w:color="auto" w:sz="0" w:space="0"/>
          </w:tblBorders>
          <w:tblLayout w:type="fixed"/>
          <w:tblCellMar>
            <w:top w:w="10" w:type="dxa"/>
            <w:left w:w="10" w:type="dxa"/>
            <w:bottom w:w="10" w:type="dxa"/>
            <w:right w:w="10" w:type="dxa"/>
          </w:tblCellMar>
        </w:tblPrEx>
        <w:tc>
          <w:tcPr>
            <w:tcW w:w="2563" w:type="dxa"/>
            <w:tcBorders>
              <w:top w:val="nil"/>
              <w:left w:val="single" w:color="auto" w:sz="4" w:space="0"/>
              <w:bottom w:val="single" w:color="auto" w:sz="6" w:space="0"/>
              <w:right w:val="single" w:color="auto" w:sz="6" w:space="0"/>
            </w:tcBorders>
            <w:shd w:val="clear" w:color="auto" w:fill="FFFFFF"/>
          </w:tcPr>
          <w:p>
            <w:pPr>
              <w:autoSpaceDE w:val="0"/>
              <w:autoSpaceDN w:val="0"/>
              <w:adjustRightInd w:val="0"/>
              <w:spacing w:before="0" w:after="0"/>
              <w:jc w:val="left"/>
              <w:rPr>
                <w:rFonts w:eastAsia="Times New Roman"/>
                <w:kern w:val="0"/>
                <w:sz w:val="21"/>
                <w:szCs w:val="21"/>
                <w:lang w:val="zh-CN"/>
              </w:rPr>
            </w:pPr>
            <w:r>
              <w:rPr>
                <w:rFonts w:hint="eastAsia" w:ascii="宋体" w:hAnsi="宋体" w:cs="宋体"/>
                <w:color w:val="333333"/>
                <w:kern w:val="0"/>
                <w:sz w:val="21"/>
                <w:szCs w:val="21"/>
                <w:lang w:val="zh-CN"/>
              </w:rPr>
              <w:t>海兰信（香港）航海科技有限公司</w:t>
            </w:r>
          </w:p>
        </w:tc>
        <w:tc>
          <w:tcPr>
            <w:tcW w:w="1157" w:type="dxa"/>
            <w:tcBorders>
              <w:top w:val="nil"/>
              <w:left w:val="nil"/>
              <w:bottom w:val="single" w:color="auto" w:sz="6" w:space="0"/>
              <w:right w:val="single" w:color="auto" w:sz="6" w:space="0"/>
            </w:tcBorders>
            <w:shd w:val="clear" w:color="auto" w:fill="FFFFFF"/>
          </w:tcPr>
          <w:p>
            <w:pPr>
              <w:autoSpaceDE w:val="0"/>
              <w:autoSpaceDN w:val="0"/>
              <w:adjustRightInd w:val="0"/>
              <w:spacing w:before="0" w:after="0"/>
              <w:jc w:val="left"/>
              <w:rPr>
                <w:rFonts w:eastAsia="Times New Roman"/>
                <w:kern w:val="0"/>
                <w:sz w:val="21"/>
                <w:szCs w:val="21"/>
                <w:lang w:val="zh-CN"/>
              </w:rPr>
            </w:pPr>
            <w:r>
              <w:rPr>
                <w:rFonts w:hint="eastAsia" w:ascii="宋体" w:hAnsi="宋体" w:cs="宋体"/>
                <w:color w:val="333333"/>
                <w:kern w:val="0"/>
                <w:sz w:val="21"/>
                <w:szCs w:val="21"/>
                <w:lang w:val="zh-CN"/>
              </w:rPr>
              <w:t>香港</w:t>
            </w:r>
          </w:p>
        </w:tc>
        <w:tc>
          <w:tcPr>
            <w:tcW w:w="1157" w:type="dxa"/>
            <w:tcBorders>
              <w:top w:val="nil"/>
              <w:left w:val="nil"/>
              <w:bottom w:val="single" w:color="auto" w:sz="6" w:space="0"/>
              <w:right w:val="single" w:color="auto" w:sz="6" w:space="0"/>
            </w:tcBorders>
            <w:shd w:val="clear" w:color="auto" w:fill="FFFFFF"/>
          </w:tcPr>
          <w:p>
            <w:pPr>
              <w:autoSpaceDE w:val="0"/>
              <w:autoSpaceDN w:val="0"/>
              <w:adjustRightInd w:val="0"/>
              <w:spacing w:before="0" w:after="0"/>
              <w:jc w:val="left"/>
              <w:rPr>
                <w:rFonts w:eastAsia="Times New Roman"/>
                <w:kern w:val="0"/>
                <w:sz w:val="21"/>
                <w:szCs w:val="21"/>
                <w:lang w:val="zh-CN"/>
              </w:rPr>
            </w:pPr>
            <w:r>
              <w:rPr>
                <w:rFonts w:hint="eastAsia" w:ascii="宋体" w:hAnsi="宋体" w:cs="宋体"/>
                <w:color w:val="333333"/>
                <w:kern w:val="0"/>
                <w:sz w:val="21"/>
                <w:szCs w:val="21"/>
                <w:lang w:val="zh-CN"/>
              </w:rPr>
              <w:t>香港</w:t>
            </w:r>
          </w:p>
        </w:tc>
        <w:tc>
          <w:tcPr>
            <w:tcW w:w="2353" w:type="dxa"/>
            <w:tcBorders>
              <w:top w:val="nil"/>
              <w:left w:val="nil"/>
              <w:bottom w:val="single" w:color="auto" w:sz="6" w:space="0"/>
              <w:right w:val="single" w:color="auto" w:sz="6" w:space="0"/>
            </w:tcBorders>
            <w:shd w:val="clear" w:color="auto" w:fill="FFFFFF"/>
          </w:tcPr>
          <w:p>
            <w:pPr>
              <w:autoSpaceDE w:val="0"/>
              <w:autoSpaceDN w:val="0"/>
              <w:adjustRightInd w:val="0"/>
              <w:spacing w:before="0" w:after="0"/>
              <w:jc w:val="left"/>
              <w:rPr>
                <w:rFonts w:eastAsia="Times New Roman"/>
                <w:kern w:val="0"/>
                <w:sz w:val="21"/>
                <w:szCs w:val="21"/>
                <w:lang w:val="zh-CN"/>
              </w:rPr>
            </w:pPr>
            <w:r>
              <w:rPr>
                <w:rFonts w:hint="eastAsia" w:ascii="宋体" w:hAnsi="宋体" w:cs="宋体"/>
                <w:color w:val="333333"/>
                <w:kern w:val="0"/>
                <w:sz w:val="21"/>
                <w:szCs w:val="21"/>
                <w:lang w:val="zh-CN"/>
              </w:rPr>
              <w:t>海事综合导航、智能装备与系统销售</w:t>
            </w:r>
          </w:p>
        </w:tc>
        <w:tc>
          <w:tcPr>
            <w:tcW w:w="1215" w:type="dxa"/>
            <w:tcBorders>
              <w:top w:val="nil"/>
              <w:left w:val="nil"/>
              <w:bottom w:val="single" w:color="auto" w:sz="6" w:space="0"/>
              <w:right w:val="single" w:color="auto" w:sz="6" w:space="0"/>
            </w:tcBorders>
            <w:shd w:val="clear" w:color="auto" w:fill="FFFFFF"/>
          </w:tcPr>
          <w:p>
            <w:pPr>
              <w:autoSpaceDE w:val="0"/>
              <w:autoSpaceDN w:val="0"/>
              <w:adjustRightInd w:val="0"/>
              <w:spacing w:before="0" w:after="0"/>
              <w:jc w:val="left"/>
              <w:rPr>
                <w:rFonts w:eastAsia="Times New Roman"/>
                <w:kern w:val="0"/>
                <w:sz w:val="21"/>
                <w:szCs w:val="21"/>
                <w:lang w:val="zh-CN"/>
              </w:rPr>
            </w:pPr>
            <w:r>
              <w:rPr>
                <w:rFonts w:hint="eastAsia" w:ascii="宋体" w:hAnsi="宋体" w:cs="宋体"/>
                <w:color w:val="333333"/>
                <w:kern w:val="0"/>
                <w:sz w:val="21"/>
                <w:szCs w:val="21"/>
                <w:lang w:val="zh-CN"/>
              </w:rPr>
              <w:t>美元</w:t>
            </w:r>
          </w:p>
        </w:tc>
        <w:tc>
          <w:tcPr>
            <w:tcW w:w="1213" w:type="dxa"/>
            <w:tcBorders>
              <w:top w:val="nil"/>
              <w:left w:val="nil"/>
              <w:bottom w:val="single" w:color="auto" w:sz="6" w:space="0"/>
            </w:tcBorders>
            <w:shd w:val="clear" w:color="auto" w:fill="FFFFFF"/>
          </w:tcPr>
          <w:p>
            <w:pPr>
              <w:autoSpaceDE w:val="0"/>
              <w:autoSpaceDN w:val="0"/>
              <w:adjustRightInd w:val="0"/>
              <w:spacing w:before="0" w:after="0"/>
              <w:jc w:val="left"/>
              <w:rPr>
                <w:rFonts w:eastAsia="Times New Roman"/>
                <w:kern w:val="0"/>
                <w:sz w:val="21"/>
                <w:szCs w:val="21"/>
                <w:lang w:val="zh-CN"/>
              </w:rPr>
            </w:pPr>
            <w:r>
              <w:rPr>
                <w:rFonts w:hint="eastAsia" w:ascii="宋体" w:hAnsi="宋体" w:cs="宋体"/>
                <w:color w:val="333333"/>
                <w:kern w:val="0"/>
                <w:sz w:val="21"/>
                <w:szCs w:val="21"/>
                <w:lang w:val="zh-CN"/>
              </w:rPr>
              <w:t>主要的业务结算货币</w:t>
            </w:r>
          </w:p>
        </w:tc>
      </w:tr>
      <w:tr>
        <w:tblPrEx>
          <w:tblBorders>
            <w:top w:val="none" w:color="auto" w:sz="0" w:space="0"/>
            <w:left w:val="none" w:color="auto" w:sz="0" w:space="0"/>
            <w:bottom w:val="single" w:color="auto" w:sz="6" w:space="0"/>
            <w:right w:val="single" w:color="auto" w:sz="6" w:space="0"/>
            <w:insideH w:val="none" w:color="auto" w:sz="0" w:space="0"/>
            <w:insideV w:val="none" w:color="auto" w:sz="0" w:space="0"/>
          </w:tblBorders>
          <w:tblLayout w:type="fixed"/>
          <w:tblCellMar>
            <w:top w:w="10" w:type="dxa"/>
            <w:left w:w="10" w:type="dxa"/>
            <w:bottom w:w="10" w:type="dxa"/>
            <w:right w:w="10" w:type="dxa"/>
          </w:tblCellMar>
        </w:tblPrEx>
        <w:tc>
          <w:tcPr>
            <w:tcW w:w="2563" w:type="dxa"/>
            <w:tcBorders>
              <w:top w:val="nil"/>
              <w:left w:val="single" w:color="auto" w:sz="4" w:space="0"/>
              <w:bottom w:val="single" w:color="auto" w:sz="6" w:space="0"/>
              <w:right w:val="single" w:color="auto" w:sz="6" w:space="0"/>
            </w:tcBorders>
            <w:shd w:val="clear" w:color="auto" w:fill="FFFFFF"/>
          </w:tcPr>
          <w:p>
            <w:pPr>
              <w:autoSpaceDE w:val="0"/>
              <w:autoSpaceDN w:val="0"/>
              <w:adjustRightInd w:val="0"/>
              <w:spacing w:before="0" w:after="0"/>
              <w:jc w:val="left"/>
              <w:rPr>
                <w:rFonts w:eastAsia="Times New Roman"/>
                <w:kern w:val="0"/>
                <w:sz w:val="21"/>
                <w:szCs w:val="21"/>
                <w:lang w:val="zh-CN"/>
              </w:rPr>
            </w:pPr>
            <w:r>
              <w:rPr>
                <w:rFonts w:eastAsia="Times New Roman"/>
                <w:color w:val="333333"/>
                <w:kern w:val="0"/>
                <w:sz w:val="21"/>
                <w:szCs w:val="21"/>
                <w:lang w:val="zh-CN"/>
              </w:rPr>
              <w:t>Rockson  Automation GmbH</w:t>
            </w:r>
          </w:p>
        </w:tc>
        <w:tc>
          <w:tcPr>
            <w:tcW w:w="1157" w:type="dxa"/>
            <w:tcBorders>
              <w:top w:val="nil"/>
              <w:left w:val="nil"/>
              <w:bottom w:val="single" w:color="auto" w:sz="6" w:space="0"/>
              <w:right w:val="single" w:color="auto" w:sz="6" w:space="0"/>
            </w:tcBorders>
            <w:shd w:val="clear" w:color="auto" w:fill="FFFFFF"/>
          </w:tcPr>
          <w:p>
            <w:pPr>
              <w:autoSpaceDE w:val="0"/>
              <w:autoSpaceDN w:val="0"/>
              <w:adjustRightInd w:val="0"/>
              <w:spacing w:before="0" w:after="0"/>
              <w:jc w:val="left"/>
              <w:rPr>
                <w:rFonts w:eastAsia="Times New Roman"/>
                <w:kern w:val="0"/>
                <w:sz w:val="21"/>
                <w:szCs w:val="21"/>
                <w:lang w:val="zh-CN"/>
              </w:rPr>
            </w:pPr>
            <w:r>
              <w:rPr>
                <w:rFonts w:hint="eastAsia" w:ascii="宋体" w:hAnsi="宋体" w:cs="宋体"/>
                <w:color w:val="333333"/>
                <w:kern w:val="0"/>
                <w:sz w:val="21"/>
                <w:szCs w:val="21"/>
                <w:lang w:val="zh-CN"/>
              </w:rPr>
              <w:t>德国</w:t>
            </w:r>
          </w:p>
        </w:tc>
        <w:tc>
          <w:tcPr>
            <w:tcW w:w="1157" w:type="dxa"/>
            <w:tcBorders>
              <w:top w:val="nil"/>
              <w:left w:val="nil"/>
              <w:bottom w:val="single" w:color="auto" w:sz="6" w:space="0"/>
              <w:right w:val="single" w:color="auto" w:sz="6" w:space="0"/>
            </w:tcBorders>
            <w:shd w:val="clear" w:color="auto" w:fill="FFFFFF"/>
          </w:tcPr>
          <w:p>
            <w:pPr>
              <w:autoSpaceDE w:val="0"/>
              <w:autoSpaceDN w:val="0"/>
              <w:adjustRightInd w:val="0"/>
              <w:spacing w:before="0" w:after="0"/>
              <w:jc w:val="left"/>
              <w:rPr>
                <w:rFonts w:eastAsia="Times New Roman"/>
                <w:kern w:val="0"/>
                <w:sz w:val="21"/>
                <w:szCs w:val="21"/>
                <w:lang w:val="zh-CN"/>
              </w:rPr>
            </w:pPr>
            <w:r>
              <w:rPr>
                <w:rFonts w:hint="eastAsia" w:ascii="宋体" w:hAnsi="宋体" w:cs="宋体"/>
                <w:color w:val="333333"/>
                <w:kern w:val="0"/>
                <w:sz w:val="21"/>
                <w:szCs w:val="21"/>
                <w:lang w:val="zh-CN"/>
              </w:rPr>
              <w:t>德国</w:t>
            </w:r>
          </w:p>
        </w:tc>
        <w:tc>
          <w:tcPr>
            <w:tcW w:w="2353" w:type="dxa"/>
            <w:tcBorders>
              <w:top w:val="nil"/>
              <w:left w:val="nil"/>
              <w:bottom w:val="single" w:color="auto" w:sz="6" w:space="0"/>
              <w:right w:val="single" w:color="auto" w:sz="6" w:space="0"/>
            </w:tcBorders>
            <w:shd w:val="clear" w:color="auto" w:fill="FFFFFF"/>
          </w:tcPr>
          <w:p>
            <w:pPr>
              <w:autoSpaceDE w:val="0"/>
              <w:autoSpaceDN w:val="0"/>
              <w:adjustRightInd w:val="0"/>
              <w:spacing w:before="0" w:after="0"/>
              <w:jc w:val="left"/>
              <w:rPr>
                <w:rFonts w:eastAsia="Times New Roman"/>
                <w:kern w:val="0"/>
                <w:sz w:val="21"/>
                <w:szCs w:val="21"/>
                <w:lang w:val="zh-CN"/>
              </w:rPr>
            </w:pPr>
            <w:r>
              <w:rPr>
                <w:rFonts w:hint="eastAsia" w:ascii="宋体" w:hAnsi="宋体" w:cs="宋体"/>
                <w:color w:val="333333"/>
                <w:kern w:val="0"/>
                <w:sz w:val="21"/>
                <w:szCs w:val="21"/>
                <w:lang w:val="zh-CN"/>
              </w:rPr>
              <w:t>海事综合导航、智能装备与系统研发、销售</w:t>
            </w:r>
          </w:p>
        </w:tc>
        <w:tc>
          <w:tcPr>
            <w:tcW w:w="1215" w:type="dxa"/>
            <w:tcBorders>
              <w:top w:val="nil"/>
              <w:left w:val="nil"/>
              <w:bottom w:val="single" w:color="auto" w:sz="6" w:space="0"/>
              <w:right w:val="single" w:color="auto" w:sz="6" w:space="0"/>
            </w:tcBorders>
            <w:shd w:val="clear" w:color="auto" w:fill="FFFFFF"/>
          </w:tcPr>
          <w:p>
            <w:pPr>
              <w:autoSpaceDE w:val="0"/>
              <w:autoSpaceDN w:val="0"/>
              <w:adjustRightInd w:val="0"/>
              <w:spacing w:before="0" w:after="0"/>
              <w:jc w:val="left"/>
              <w:rPr>
                <w:rFonts w:eastAsia="Times New Roman"/>
                <w:kern w:val="0"/>
                <w:sz w:val="21"/>
                <w:szCs w:val="21"/>
                <w:lang w:val="zh-CN"/>
              </w:rPr>
            </w:pPr>
            <w:r>
              <w:rPr>
                <w:rFonts w:hint="eastAsia" w:ascii="宋体" w:hAnsi="宋体" w:cs="宋体"/>
                <w:color w:val="333333"/>
                <w:kern w:val="0"/>
                <w:sz w:val="21"/>
                <w:szCs w:val="21"/>
                <w:lang w:val="zh-CN"/>
              </w:rPr>
              <w:t>欧元</w:t>
            </w:r>
          </w:p>
        </w:tc>
        <w:tc>
          <w:tcPr>
            <w:tcW w:w="1213" w:type="dxa"/>
            <w:tcBorders>
              <w:top w:val="nil"/>
              <w:left w:val="nil"/>
              <w:bottom w:val="single" w:color="auto" w:sz="6" w:space="0"/>
            </w:tcBorders>
            <w:shd w:val="clear" w:color="auto" w:fill="FFFFFF"/>
          </w:tcPr>
          <w:p>
            <w:pPr>
              <w:autoSpaceDE w:val="0"/>
              <w:autoSpaceDN w:val="0"/>
              <w:adjustRightInd w:val="0"/>
              <w:spacing w:before="0" w:after="0"/>
              <w:jc w:val="left"/>
              <w:rPr>
                <w:rFonts w:eastAsia="Times New Roman"/>
                <w:kern w:val="0"/>
                <w:sz w:val="21"/>
                <w:szCs w:val="21"/>
                <w:lang w:val="zh-CN"/>
              </w:rPr>
            </w:pPr>
            <w:r>
              <w:rPr>
                <w:rFonts w:hint="eastAsia" w:ascii="宋体" w:hAnsi="宋体" w:cs="宋体"/>
                <w:color w:val="333333"/>
                <w:kern w:val="0"/>
                <w:sz w:val="21"/>
                <w:szCs w:val="21"/>
                <w:lang w:val="zh-CN"/>
              </w:rPr>
              <w:t>主要的业务结算货币</w:t>
            </w:r>
          </w:p>
        </w:tc>
      </w:tr>
    </w:tbl>
    <w:p>
      <w:pPr>
        <w:autoSpaceDE w:val="0"/>
        <w:autoSpaceDN w:val="0"/>
        <w:adjustRightInd w:val="0"/>
        <w:spacing w:before="0" w:after="0"/>
        <w:jc w:val="left"/>
        <w:rPr>
          <w:rFonts w:eastAsia="Times New Roman"/>
          <w:kern w:val="0"/>
          <w:szCs w:val="24"/>
          <w:lang w:val="zh-CN"/>
        </w:rPr>
      </w:pPr>
    </w:p>
    <w:p>
      <w:pPr>
        <w:pStyle w:val="10"/>
        <w:outlineLvl w:val="1"/>
        <w:rPr>
          <w:bCs w:val="0"/>
        </w:rPr>
      </w:pPr>
      <w:r>
        <w:rPr>
          <w:rFonts w:hint="eastAsia"/>
          <w:bCs w:val="0"/>
        </w:rPr>
        <w:t>八、合并范围的变更</w:t>
      </w:r>
    </w:p>
    <w:p>
      <w:pPr>
        <w:pStyle w:val="11"/>
        <w:outlineLvl w:val="2"/>
        <w:rPr>
          <w:bCs w:val="0"/>
          <w:szCs w:val="24"/>
        </w:rPr>
      </w:pPr>
      <w:r>
        <w:rPr>
          <w:bCs w:val="0"/>
          <w:szCs w:val="24"/>
        </w:rPr>
        <w:t>1</w:t>
      </w:r>
      <w:r>
        <w:rPr>
          <w:rFonts w:hint="eastAsia"/>
          <w:bCs w:val="0"/>
          <w:szCs w:val="24"/>
        </w:rPr>
        <w:t>、非同一控制下企业合并</w:t>
      </w:r>
    </w:p>
    <w:p>
      <w:pPr>
        <w:pStyle w:val="11"/>
        <w:outlineLvl w:val="3"/>
        <w:rPr>
          <w:bCs w:val="0"/>
          <w:szCs w:val="24"/>
        </w:rPr>
      </w:pPr>
      <w:r>
        <w:rPr>
          <w:rFonts w:hint="eastAsia"/>
          <w:bCs w:val="0"/>
          <w:szCs w:val="24"/>
        </w:rPr>
        <w:t>（</w:t>
      </w:r>
      <w:r>
        <w:rPr>
          <w:bCs w:val="0"/>
          <w:szCs w:val="24"/>
        </w:rPr>
        <w:t>1</w:t>
      </w:r>
      <w:r>
        <w:rPr>
          <w:rFonts w:hint="eastAsia"/>
          <w:bCs w:val="0"/>
          <w:szCs w:val="24"/>
        </w:rPr>
        <w:t>）本期发生的非同一控制下企业合并</w:t>
      </w:r>
    </w:p>
    <w:p>
      <w:pPr>
        <w:jc w:val="right"/>
        <w:rPr>
          <w:szCs w:val="24"/>
        </w:rPr>
      </w:pPr>
      <w:r>
        <w:rPr>
          <w:rFonts w:hint="eastAsia"/>
          <w:szCs w:val="24"/>
        </w:rPr>
        <w:t>单位：</w:t>
      </w:r>
      <w:r>
        <w:rPr>
          <w:szCs w:val="24"/>
        </w:rPr>
        <w:t xml:space="preserve"> </w:t>
      </w:r>
      <w:r>
        <w:rPr>
          <w:rFonts w:hint="eastAsia"/>
          <w:szCs w:val="24"/>
        </w:rPr>
        <w:t>元</w:t>
      </w:r>
    </w:p>
    <w:tbl>
      <w:tblPr>
        <w:tblStyle w:val="8"/>
        <w:tblW w:w="9694" w:type="dxa"/>
        <w:tblInd w:w="0" w:type="dxa"/>
        <w:tblLayout w:type="fixed"/>
        <w:tblCellMar>
          <w:top w:w="0" w:type="dxa"/>
          <w:left w:w="28" w:type="dxa"/>
          <w:bottom w:w="0" w:type="dxa"/>
          <w:right w:w="28" w:type="dxa"/>
        </w:tblCellMar>
      </w:tblPr>
      <w:tblGrid>
        <w:gridCol w:w="1060"/>
        <w:gridCol w:w="906"/>
        <w:gridCol w:w="1264"/>
        <w:gridCol w:w="984"/>
        <w:gridCol w:w="984"/>
        <w:gridCol w:w="985"/>
        <w:gridCol w:w="983"/>
        <w:gridCol w:w="1264"/>
        <w:gridCol w:w="1264"/>
      </w:tblGrid>
      <w:tr>
        <w:tblPrEx>
          <w:tblLayout w:type="fixed"/>
          <w:tblCellMar>
            <w:top w:w="0" w:type="dxa"/>
            <w:left w:w="28" w:type="dxa"/>
            <w:bottom w:w="0" w:type="dxa"/>
            <w:right w:w="28" w:type="dxa"/>
          </w:tblCellMar>
        </w:tblPrEx>
        <w:tc>
          <w:tcPr>
            <w:tcW w:w="106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被购买方名称</w:t>
            </w:r>
          </w:p>
        </w:tc>
        <w:tc>
          <w:tcPr>
            <w:tcW w:w="90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股权取得时点</w:t>
            </w:r>
          </w:p>
        </w:tc>
        <w:tc>
          <w:tcPr>
            <w:tcW w:w="126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股权取得成本</w:t>
            </w:r>
          </w:p>
        </w:tc>
        <w:tc>
          <w:tcPr>
            <w:tcW w:w="98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股权取得比例</w:t>
            </w:r>
          </w:p>
        </w:tc>
        <w:tc>
          <w:tcPr>
            <w:tcW w:w="98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股权取得方式</w:t>
            </w:r>
          </w:p>
        </w:tc>
        <w:tc>
          <w:tcPr>
            <w:tcW w:w="98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购买日</w:t>
            </w:r>
          </w:p>
        </w:tc>
        <w:tc>
          <w:tcPr>
            <w:tcW w:w="98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购买日的确定依据</w:t>
            </w:r>
          </w:p>
        </w:tc>
        <w:tc>
          <w:tcPr>
            <w:tcW w:w="126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购买日至期末被购买方的收入</w:t>
            </w:r>
          </w:p>
        </w:tc>
        <w:tc>
          <w:tcPr>
            <w:tcW w:w="126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购买日至期末被购买方的净利润</w:t>
            </w:r>
          </w:p>
        </w:tc>
      </w:tr>
      <w:tr>
        <w:tblPrEx>
          <w:tblLayout w:type="fixed"/>
          <w:tblCellMar>
            <w:top w:w="0" w:type="dxa"/>
            <w:left w:w="28" w:type="dxa"/>
            <w:bottom w:w="0" w:type="dxa"/>
            <w:right w:w="28" w:type="dxa"/>
          </w:tblCellMar>
        </w:tblPrEx>
        <w:tc>
          <w:tcPr>
            <w:tcW w:w="1060" w:type="dxa"/>
            <w:vMerge w:val="restart"/>
            <w:tcBorders>
              <w:top w:val="single" w:color="auto" w:sz="4" w:space="0"/>
              <w:left w:val="single" w:color="auto" w:sz="4" w:space="0"/>
              <w:bottom w:val="single" w:color="auto" w:sz="4" w:space="0"/>
              <w:right w:val="single" w:color="auto" w:sz="4" w:space="0"/>
            </w:tcBorders>
            <w:vAlign w:val="center"/>
          </w:tcPr>
          <w:p>
            <w:pPr>
              <w:jc w:val="left"/>
              <w:rPr>
                <w:sz w:val="21"/>
                <w:szCs w:val="21"/>
              </w:rPr>
            </w:pPr>
            <w:r>
              <w:rPr>
                <w:rFonts w:hint="eastAsia"/>
                <w:sz w:val="21"/>
                <w:szCs w:val="21"/>
              </w:rPr>
              <w:t>广东蓝图信息技术有限公司（注</w:t>
            </w:r>
            <w:r>
              <w:rPr>
                <w:sz w:val="21"/>
                <w:szCs w:val="21"/>
              </w:rPr>
              <w:t>1</w:t>
            </w:r>
            <w:r>
              <w:rPr>
                <w:rFonts w:hint="eastAsia"/>
                <w:sz w:val="21"/>
                <w:szCs w:val="21"/>
              </w:rPr>
              <w:t>）</w:t>
            </w:r>
          </w:p>
        </w:tc>
        <w:tc>
          <w:tcPr>
            <w:tcW w:w="90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2016</w:t>
            </w:r>
            <w:r>
              <w:rPr>
                <w:rFonts w:hint="eastAsia"/>
                <w:sz w:val="21"/>
                <w:szCs w:val="21"/>
              </w:rPr>
              <w:t>年</w:t>
            </w:r>
            <w:r>
              <w:rPr>
                <w:sz w:val="21"/>
                <w:szCs w:val="21"/>
              </w:rPr>
              <w:t>12</w:t>
            </w:r>
            <w:r>
              <w:rPr>
                <w:rFonts w:hint="eastAsia"/>
                <w:sz w:val="21"/>
                <w:szCs w:val="21"/>
              </w:rPr>
              <w:t>月</w:t>
            </w:r>
            <w:r>
              <w:rPr>
                <w:sz w:val="21"/>
                <w:szCs w:val="21"/>
              </w:rPr>
              <w:t>13</w:t>
            </w:r>
            <w:r>
              <w:rPr>
                <w:rFonts w:hint="eastAsia"/>
                <w:sz w:val="21"/>
                <w:szCs w:val="21"/>
              </w:rPr>
              <w:t>日</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62,664,033.77</w:t>
            </w:r>
          </w:p>
        </w:tc>
        <w:tc>
          <w:tcPr>
            <w:tcW w:w="9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65.00%</w:t>
            </w:r>
          </w:p>
        </w:tc>
        <w:tc>
          <w:tcPr>
            <w:tcW w:w="9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现金购买</w:t>
            </w:r>
          </w:p>
        </w:tc>
        <w:tc>
          <w:tcPr>
            <w:tcW w:w="985" w:type="dxa"/>
            <w:vMerge w:val="restart"/>
            <w:tcBorders>
              <w:top w:val="single" w:color="auto" w:sz="4" w:space="0"/>
              <w:left w:val="single" w:color="auto" w:sz="4" w:space="0"/>
              <w:bottom w:val="single" w:color="auto" w:sz="4" w:space="0"/>
              <w:right w:val="single" w:color="auto" w:sz="4" w:space="0"/>
            </w:tcBorders>
            <w:vAlign w:val="center"/>
          </w:tcPr>
          <w:p>
            <w:pPr>
              <w:jc w:val="left"/>
              <w:rPr>
                <w:sz w:val="21"/>
                <w:szCs w:val="21"/>
              </w:rPr>
            </w:pPr>
            <w:r>
              <w:rPr>
                <w:sz w:val="21"/>
                <w:szCs w:val="21"/>
              </w:rPr>
              <w:t>2016</w:t>
            </w:r>
            <w:r>
              <w:rPr>
                <w:rFonts w:hint="eastAsia"/>
                <w:sz w:val="21"/>
                <w:szCs w:val="21"/>
              </w:rPr>
              <w:t>年</w:t>
            </w:r>
            <w:r>
              <w:rPr>
                <w:sz w:val="21"/>
                <w:szCs w:val="21"/>
              </w:rPr>
              <w:t>12</w:t>
            </w:r>
            <w:r>
              <w:rPr>
                <w:rFonts w:hint="eastAsia"/>
                <w:sz w:val="21"/>
                <w:szCs w:val="21"/>
              </w:rPr>
              <w:t>月</w:t>
            </w:r>
            <w:r>
              <w:rPr>
                <w:sz w:val="21"/>
                <w:szCs w:val="21"/>
              </w:rPr>
              <w:t>13</w:t>
            </w:r>
            <w:r>
              <w:rPr>
                <w:rFonts w:hint="eastAsia"/>
                <w:sz w:val="21"/>
                <w:szCs w:val="21"/>
              </w:rPr>
              <w:t>日</w:t>
            </w:r>
          </w:p>
        </w:tc>
        <w:tc>
          <w:tcPr>
            <w:tcW w:w="983" w:type="dxa"/>
            <w:vMerge w:val="restart"/>
            <w:tcBorders>
              <w:top w:val="single" w:color="auto" w:sz="4" w:space="0"/>
              <w:left w:val="single" w:color="auto" w:sz="4" w:space="0"/>
              <w:bottom w:val="single" w:color="auto" w:sz="4" w:space="0"/>
              <w:right w:val="single" w:color="auto" w:sz="4" w:space="0"/>
            </w:tcBorders>
            <w:vAlign w:val="center"/>
          </w:tcPr>
          <w:p>
            <w:pPr>
              <w:jc w:val="left"/>
              <w:rPr>
                <w:sz w:val="21"/>
                <w:szCs w:val="21"/>
              </w:rPr>
            </w:pPr>
            <w:r>
              <w:rPr>
                <w:rFonts w:hint="eastAsia"/>
                <w:sz w:val="21"/>
                <w:szCs w:val="21"/>
              </w:rPr>
              <w:t>工商登记变更完成</w:t>
            </w:r>
          </w:p>
        </w:tc>
        <w:tc>
          <w:tcPr>
            <w:tcW w:w="1264" w:type="dxa"/>
            <w:vMerge w:val="restart"/>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16,448,247.35</w:t>
            </w:r>
          </w:p>
        </w:tc>
        <w:tc>
          <w:tcPr>
            <w:tcW w:w="1264" w:type="dxa"/>
            <w:vMerge w:val="restart"/>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10,234,979.19</w:t>
            </w:r>
          </w:p>
        </w:tc>
      </w:tr>
      <w:tr>
        <w:tblPrEx>
          <w:tblLayout w:type="fixed"/>
          <w:tblCellMar>
            <w:top w:w="0" w:type="dxa"/>
            <w:left w:w="28" w:type="dxa"/>
            <w:bottom w:w="0" w:type="dxa"/>
            <w:right w:w="28" w:type="dxa"/>
          </w:tblCellMar>
        </w:tblPrEx>
        <w:tc>
          <w:tcPr>
            <w:tcW w:w="1060" w:type="dxa"/>
            <w:tcBorders>
              <w:top w:val="single" w:color="auto" w:sz="4" w:space="0"/>
              <w:left w:val="single" w:color="auto" w:sz="4" w:space="0"/>
              <w:bottom w:val="single" w:color="auto" w:sz="4" w:space="0"/>
              <w:right w:val="single" w:color="auto" w:sz="4" w:space="0"/>
            </w:tcBorders>
            <w:vAlign w:val="center"/>
          </w:tcPr>
          <w:p>
            <w:pPr>
              <w:jc w:val="left"/>
              <w:rPr>
                <w:sz w:val="21"/>
                <w:szCs w:val="21"/>
              </w:rPr>
            </w:pPr>
            <w:r>
              <w:rPr>
                <w:sz w:val="21"/>
                <w:szCs w:val="21"/>
              </w:rPr>
              <w:t>Rockson Automation GmbH</w:t>
            </w:r>
            <w:r>
              <w:rPr>
                <w:rFonts w:hint="eastAsia"/>
                <w:sz w:val="21"/>
                <w:szCs w:val="21"/>
              </w:rPr>
              <w:t>（注</w:t>
            </w:r>
            <w:r>
              <w:rPr>
                <w:sz w:val="21"/>
                <w:szCs w:val="21"/>
              </w:rPr>
              <w:t>2</w:t>
            </w:r>
            <w:r>
              <w:rPr>
                <w:rFonts w:hint="eastAsia"/>
                <w:sz w:val="21"/>
                <w:szCs w:val="21"/>
              </w:rPr>
              <w:t>）</w:t>
            </w:r>
          </w:p>
        </w:tc>
        <w:tc>
          <w:tcPr>
            <w:tcW w:w="90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2016</w:t>
            </w:r>
            <w:r>
              <w:rPr>
                <w:rFonts w:hint="eastAsia"/>
                <w:sz w:val="21"/>
                <w:szCs w:val="21"/>
              </w:rPr>
              <w:t>年</w:t>
            </w:r>
            <w:r>
              <w:rPr>
                <w:sz w:val="21"/>
                <w:szCs w:val="21"/>
              </w:rPr>
              <w:t>10</w:t>
            </w:r>
            <w:r>
              <w:rPr>
                <w:rFonts w:hint="eastAsia"/>
                <w:sz w:val="21"/>
                <w:szCs w:val="21"/>
              </w:rPr>
              <w:t>月</w:t>
            </w:r>
            <w:r>
              <w:rPr>
                <w:sz w:val="21"/>
                <w:szCs w:val="21"/>
              </w:rPr>
              <w:t>28</w:t>
            </w:r>
            <w:r>
              <w:rPr>
                <w:rFonts w:hint="eastAsia"/>
                <w:sz w:val="21"/>
                <w:szCs w:val="21"/>
              </w:rPr>
              <w:t>日</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16,142,399.00</w:t>
            </w:r>
          </w:p>
        </w:tc>
        <w:tc>
          <w:tcPr>
            <w:tcW w:w="9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51.00%</w:t>
            </w:r>
          </w:p>
        </w:tc>
        <w:tc>
          <w:tcPr>
            <w:tcW w:w="9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现金购买</w:t>
            </w:r>
          </w:p>
        </w:tc>
        <w:tc>
          <w:tcPr>
            <w:tcW w:w="985" w:type="dxa"/>
            <w:tcBorders>
              <w:top w:val="single" w:color="auto" w:sz="4" w:space="0"/>
              <w:left w:val="single" w:color="auto" w:sz="4" w:space="0"/>
              <w:bottom w:val="single" w:color="auto" w:sz="4" w:space="0"/>
              <w:right w:val="single" w:color="auto" w:sz="4" w:space="0"/>
            </w:tcBorders>
            <w:vAlign w:val="center"/>
          </w:tcPr>
          <w:p>
            <w:pPr>
              <w:jc w:val="left"/>
              <w:rPr>
                <w:sz w:val="21"/>
                <w:szCs w:val="21"/>
              </w:rPr>
            </w:pPr>
            <w:r>
              <w:rPr>
                <w:sz w:val="21"/>
                <w:szCs w:val="21"/>
              </w:rPr>
              <w:t>2016</w:t>
            </w:r>
            <w:r>
              <w:rPr>
                <w:rFonts w:hint="eastAsia"/>
                <w:sz w:val="21"/>
                <w:szCs w:val="21"/>
              </w:rPr>
              <w:t>年</w:t>
            </w:r>
            <w:r>
              <w:rPr>
                <w:sz w:val="21"/>
                <w:szCs w:val="21"/>
              </w:rPr>
              <w:t>10</w:t>
            </w:r>
            <w:r>
              <w:rPr>
                <w:rFonts w:hint="eastAsia"/>
                <w:sz w:val="21"/>
                <w:szCs w:val="21"/>
              </w:rPr>
              <w:t>月</w:t>
            </w:r>
            <w:r>
              <w:rPr>
                <w:sz w:val="21"/>
                <w:szCs w:val="21"/>
              </w:rPr>
              <w:t>28</w:t>
            </w:r>
            <w:r>
              <w:rPr>
                <w:rFonts w:hint="eastAsia"/>
                <w:sz w:val="21"/>
                <w:szCs w:val="21"/>
              </w:rPr>
              <w:t>日</w:t>
            </w:r>
          </w:p>
        </w:tc>
        <w:tc>
          <w:tcPr>
            <w:tcW w:w="983" w:type="dxa"/>
            <w:tcBorders>
              <w:top w:val="single" w:color="auto" w:sz="4" w:space="0"/>
              <w:left w:val="single" w:color="auto" w:sz="4" w:space="0"/>
              <w:bottom w:val="single" w:color="auto" w:sz="4" w:space="0"/>
              <w:right w:val="single" w:color="auto" w:sz="4" w:space="0"/>
            </w:tcBorders>
            <w:vAlign w:val="center"/>
          </w:tcPr>
          <w:p>
            <w:pPr>
              <w:jc w:val="left"/>
              <w:rPr>
                <w:sz w:val="21"/>
                <w:szCs w:val="21"/>
              </w:rPr>
            </w:pPr>
            <w:r>
              <w:rPr>
                <w:rFonts w:hint="eastAsia"/>
                <w:sz w:val="21"/>
                <w:szCs w:val="21"/>
              </w:rPr>
              <w:t>董事会批准</w:t>
            </w:r>
          </w:p>
        </w:tc>
        <w:tc>
          <w:tcPr>
            <w:tcW w:w="1264"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802,070.19</w:t>
            </w:r>
          </w:p>
        </w:tc>
        <w:tc>
          <w:tcPr>
            <w:tcW w:w="1264"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-1,121,392.41</w:t>
            </w:r>
          </w:p>
        </w:tc>
      </w:tr>
    </w:tbl>
    <w:p>
      <w:pPr>
        <w:jc w:val="left"/>
        <w:rPr>
          <w:sz w:val="21"/>
          <w:szCs w:val="21"/>
        </w:rPr>
      </w:pPr>
      <w:r>
        <w:rPr>
          <w:rFonts w:hint="eastAsia"/>
          <w:sz w:val="21"/>
          <w:szCs w:val="21"/>
        </w:rPr>
        <w:t>其他说明：</w:t>
      </w:r>
    </w:p>
    <w:p>
      <w:pPr>
        <w:autoSpaceDE w:val="0"/>
        <w:autoSpaceDN w:val="0"/>
        <w:adjustRightInd w:val="0"/>
        <w:spacing w:before="0" w:after="0" w:line="360" w:lineRule="auto"/>
        <w:ind w:firstLine="420" w:firstLineChars="200"/>
        <w:jc w:val="left"/>
        <w:rPr>
          <w:rFonts w:ascii="宋体" w:cs="宋体"/>
          <w:kern w:val="0"/>
          <w:sz w:val="21"/>
          <w:szCs w:val="21"/>
          <w:lang w:val="zh-CN"/>
        </w:rPr>
      </w:pPr>
      <w:r>
        <w:rPr>
          <w:rFonts w:hint="eastAsia" w:ascii="宋体" w:hAnsi="宋体" w:cs="宋体"/>
          <w:kern w:val="0"/>
          <w:sz w:val="21"/>
          <w:szCs w:val="21"/>
          <w:lang w:val="zh-CN"/>
        </w:rPr>
        <w:t>注</w:t>
      </w:r>
      <w:r>
        <w:rPr>
          <w:rFonts w:ascii="宋体" w:hAnsi="宋体" w:cs="宋体"/>
          <w:kern w:val="0"/>
          <w:sz w:val="21"/>
          <w:szCs w:val="21"/>
          <w:lang w:val="zh-CN"/>
        </w:rPr>
        <w:t>1</w:t>
      </w:r>
      <w:r>
        <w:rPr>
          <w:rFonts w:hint="eastAsia" w:ascii="宋体" w:hAnsi="宋体" w:cs="宋体"/>
          <w:kern w:val="0"/>
          <w:sz w:val="21"/>
          <w:szCs w:val="21"/>
          <w:lang w:val="zh-CN"/>
        </w:rPr>
        <w:t>：</w:t>
      </w:r>
      <w:r>
        <w:rPr>
          <w:rFonts w:ascii="宋体" w:hAnsi="宋体" w:cs="宋体"/>
          <w:kern w:val="0"/>
          <w:sz w:val="21"/>
          <w:szCs w:val="21"/>
          <w:lang w:val="zh-CN"/>
        </w:rPr>
        <w:t>2016</w:t>
      </w:r>
      <w:r>
        <w:rPr>
          <w:rFonts w:hint="eastAsia" w:ascii="宋体" w:hAnsi="宋体" w:cs="宋体"/>
          <w:kern w:val="0"/>
          <w:sz w:val="21"/>
          <w:szCs w:val="21"/>
          <w:lang w:val="zh-CN"/>
        </w:rPr>
        <w:t>年</w:t>
      </w:r>
      <w:r>
        <w:rPr>
          <w:rFonts w:ascii="宋体" w:hAnsi="宋体" w:cs="宋体"/>
          <w:kern w:val="0"/>
          <w:sz w:val="21"/>
          <w:szCs w:val="21"/>
          <w:lang w:val="zh-CN"/>
        </w:rPr>
        <w:t>12</w:t>
      </w:r>
      <w:r>
        <w:rPr>
          <w:rFonts w:hint="eastAsia" w:ascii="宋体" w:hAnsi="宋体" w:cs="宋体"/>
          <w:kern w:val="0"/>
          <w:sz w:val="21"/>
          <w:szCs w:val="21"/>
          <w:lang w:val="zh-CN"/>
        </w:rPr>
        <w:t>月</w:t>
      </w:r>
      <w:r>
        <w:rPr>
          <w:rFonts w:ascii="宋体" w:hAnsi="宋体" w:cs="宋体"/>
          <w:kern w:val="0"/>
          <w:sz w:val="21"/>
          <w:szCs w:val="21"/>
          <w:lang w:val="zh-CN"/>
        </w:rPr>
        <w:t>11</w:t>
      </w:r>
      <w:r>
        <w:rPr>
          <w:rFonts w:hint="eastAsia" w:ascii="宋体" w:hAnsi="宋体" w:cs="宋体"/>
          <w:kern w:val="0"/>
          <w:sz w:val="21"/>
          <w:szCs w:val="21"/>
          <w:lang w:val="zh-CN"/>
        </w:rPr>
        <w:t>日，上海劳雷、吉波与杨政、邱江华、张日锋、新余睿海投资合伙企业（有限合伙）及新余慧海投资合伙企业（有限合伙）（杨政、邱江华、张日锋、新余睿海投资合伙企业（有限合伙）及新余慧海投资合伙企业（有限合伙）合称为原股东）关于买卖广东蓝图信息技术有限公司股权签订了协议，上海劳雷购买原股东</w:t>
      </w:r>
      <w:r>
        <w:rPr>
          <w:rFonts w:ascii="宋体" w:hAnsi="宋体" w:cs="宋体"/>
          <w:kern w:val="0"/>
          <w:sz w:val="21"/>
          <w:szCs w:val="21"/>
          <w:lang w:val="zh-CN"/>
        </w:rPr>
        <w:t>65%</w:t>
      </w:r>
      <w:r>
        <w:rPr>
          <w:rFonts w:hint="eastAsia" w:ascii="宋体" w:hAnsi="宋体" w:cs="宋体"/>
          <w:kern w:val="0"/>
          <w:sz w:val="21"/>
          <w:szCs w:val="21"/>
          <w:lang w:val="zh-CN"/>
        </w:rPr>
        <w:t>的股权，交易对价</w:t>
      </w:r>
      <w:r>
        <w:rPr>
          <w:rFonts w:ascii="宋体" w:hAnsi="宋体" w:cs="宋体"/>
          <w:kern w:val="0"/>
          <w:sz w:val="21"/>
          <w:szCs w:val="21"/>
          <w:lang w:val="zh-CN"/>
        </w:rPr>
        <w:t>4,875</w:t>
      </w:r>
      <w:r>
        <w:rPr>
          <w:rFonts w:hint="eastAsia" w:ascii="宋体" w:hAnsi="宋体" w:cs="宋体"/>
          <w:kern w:val="0"/>
          <w:sz w:val="21"/>
          <w:szCs w:val="21"/>
          <w:lang w:val="zh-CN"/>
        </w:rPr>
        <w:t>万元。同时约定，广东蓝图信息技术有限公司在业绩承诺期间（</w:t>
      </w:r>
      <w:r>
        <w:rPr>
          <w:rFonts w:ascii="宋体" w:hAnsi="宋体" w:cs="宋体"/>
          <w:kern w:val="0"/>
          <w:sz w:val="21"/>
          <w:szCs w:val="21"/>
          <w:lang w:val="zh-CN"/>
        </w:rPr>
        <w:t>2016</w:t>
      </w:r>
      <w:r>
        <w:rPr>
          <w:rFonts w:hint="eastAsia" w:ascii="宋体" w:hAnsi="宋体" w:cs="宋体"/>
          <w:kern w:val="0"/>
          <w:sz w:val="21"/>
          <w:szCs w:val="21"/>
          <w:lang w:val="zh-CN"/>
        </w:rPr>
        <w:t>年度至</w:t>
      </w:r>
      <w:r>
        <w:rPr>
          <w:rFonts w:ascii="宋体" w:hAnsi="宋体" w:cs="宋体"/>
          <w:kern w:val="0"/>
          <w:sz w:val="21"/>
          <w:szCs w:val="21"/>
          <w:lang w:val="zh-CN"/>
        </w:rPr>
        <w:t>2018</w:t>
      </w:r>
      <w:r>
        <w:rPr>
          <w:rFonts w:hint="eastAsia" w:ascii="宋体" w:hAnsi="宋体" w:cs="宋体"/>
          <w:kern w:val="0"/>
          <w:sz w:val="21"/>
          <w:szCs w:val="21"/>
          <w:lang w:val="zh-CN"/>
        </w:rPr>
        <w:t>年度）的年度平均净利润大于</w:t>
      </w:r>
      <w:r>
        <w:rPr>
          <w:rFonts w:ascii="宋体" w:hAnsi="宋体" w:cs="宋体"/>
          <w:kern w:val="0"/>
          <w:sz w:val="21"/>
          <w:szCs w:val="21"/>
          <w:lang w:val="zh-CN"/>
        </w:rPr>
        <w:t>849.3</w:t>
      </w:r>
      <w:r>
        <w:rPr>
          <w:rFonts w:hint="eastAsia" w:ascii="宋体" w:hAnsi="宋体" w:cs="宋体"/>
          <w:kern w:val="0"/>
          <w:sz w:val="21"/>
          <w:szCs w:val="21"/>
          <w:lang w:val="zh-CN"/>
        </w:rPr>
        <w:t>万元但小于或等于</w:t>
      </w:r>
      <w:r>
        <w:rPr>
          <w:rFonts w:ascii="宋体" w:hAnsi="宋体" w:cs="宋体"/>
          <w:kern w:val="0"/>
          <w:sz w:val="21"/>
          <w:szCs w:val="21"/>
          <w:lang w:val="zh-CN"/>
        </w:rPr>
        <w:t>1,000</w:t>
      </w:r>
      <w:r>
        <w:rPr>
          <w:rFonts w:hint="eastAsia" w:ascii="宋体" w:hAnsi="宋体" w:cs="宋体"/>
          <w:kern w:val="0"/>
          <w:sz w:val="21"/>
          <w:szCs w:val="21"/>
          <w:lang w:val="zh-CN"/>
        </w:rPr>
        <w:t>万元，则上海劳雷按照其业绩承诺期内的实际年度平均净利润的</w:t>
      </w:r>
      <w:r>
        <w:rPr>
          <w:rFonts w:ascii="宋体" w:hAnsi="宋体" w:cs="宋体"/>
          <w:kern w:val="0"/>
          <w:sz w:val="21"/>
          <w:szCs w:val="21"/>
          <w:lang w:val="zh-CN"/>
        </w:rPr>
        <w:t>10</w:t>
      </w:r>
      <w:r>
        <w:rPr>
          <w:rFonts w:hint="eastAsia" w:ascii="宋体" w:hAnsi="宋体" w:cs="宋体"/>
          <w:kern w:val="0"/>
          <w:sz w:val="21"/>
          <w:szCs w:val="21"/>
          <w:lang w:val="zh-CN"/>
        </w:rPr>
        <w:t>倍</w:t>
      </w:r>
      <w:r>
        <w:rPr>
          <w:rFonts w:ascii="宋体" w:hAnsi="宋体" w:cs="宋体"/>
          <w:kern w:val="0"/>
          <w:sz w:val="21"/>
          <w:szCs w:val="21"/>
          <w:lang w:val="zh-CN"/>
        </w:rPr>
        <w:t>PE</w:t>
      </w:r>
      <w:r>
        <w:rPr>
          <w:rFonts w:hint="eastAsia" w:ascii="宋体" w:hAnsi="宋体" w:cs="宋体"/>
          <w:kern w:val="0"/>
          <w:sz w:val="21"/>
          <w:szCs w:val="21"/>
          <w:lang w:val="zh-CN"/>
        </w:rPr>
        <w:t>所对应的估值（即使年度平均净利润超过</w:t>
      </w:r>
      <w:r>
        <w:rPr>
          <w:rFonts w:ascii="宋体" w:hAnsi="宋体" w:cs="宋体"/>
          <w:kern w:val="0"/>
          <w:sz w:val="21"/>
          <w:szCs w:val="21"/>
          <w:lang w:val="zh-CN"/>
        </w:rPr>
        <w:t>1,000</w:t>
      </w:r>
      <w:r>
        <w:rPr>
          <w:rFonts w:hint="eastAsia" w:ascii="宋体" w:hAnsi="宋体" w:cs="宋体"/>
          <w:kern w:val="0"/>
          <w:sz w:val="21"/>
          <w:szCs w:val="21"/>
          <w:lang w:val="zh-CN"/>
        </w:rPr>
        <w:t>万元，最高估值仍以</w:t>
      </w:r>
      <w:r>
        <w:rPr>
          <w:rFonts w:ascii="宋体" w:hAnsi="宋体" w:cs="宋体"/>
          <w:kern w:val="0"/>
          <w:sz w:val="21"/>
          <w:szCs w:val="21"/>
          <w:lang w:val="zh-CN"/>
        </w:rPr>
        <w:t>1</w:t>
      </w:r>
      <w:r>
        <w:rPr>
          <w:rFonts w:hint="eastAsia" w:ascii="宋体" w:hAnsi="宋体" w:cs="宋体"/>
          <w:kern w:val="0"/>
          <w:sz w:val="21"/>
          <w:szCs w:val="21"/>
          <w:lang w:val="zh-CN"/>
        </w:rPr>
        <w:t>亿元为限），以现金向广东蓝图信息技术有限公司支付股权届时的估值与本次交易对价之差额。</w:t>
      </w:r>
    </w:p>
    <w:p>
      <w:pPr>
        <w:autoSpaceDE w:val="0"/>
        <w:autoSpaceDN w:val="0"/>
        <w:adjustRightInd w:val="0"/>
        <w:spacing w:before="0" w:after="0" w:line="360" w:lineRule="auto"/>
        <w:ind w:firstLine="420" w:firstLineChars="200"/>
        <w:jc w:val="left"/>
        <w:rPr>
          <w:rFonts w:ascii="宋体" w:cs="宋体"/>
          <w:kern w:val="0"/>
          <w:sz w:val="21"/>
          <w:szCs w:val="21"/>
          <w:lang w:val="zh-CN"/>
        </w:rPr>
      </w:pPr>
      <w:r>
        <w:rPr>
          <w:rFonts w:hint="eastAsia" w:ascii="宋体" w:hAnsi="宋体" w:cs="宋体"/>
          <w:kern w:val="0"/>
          <w:sz w:val="21"/>
          <w:szCs w:val="21"/>
          <w:lang w:val="zh-CN"/>
        </w:rPr>
        <w:t>注</w:t>
      </w:r>
      <w:r>
        <w:rPr>
          <w:rFonts w:ascii="宋体" w:hAnsi="宋体" w:cs="宋体"/>
          <w:kern w:val="0"/>
          <w:sz w:val="21"/>
          <w:szCs w:val="21"/>
          <w:lang w:val="zh-CN"/>
        </w:rPr>
        <w:t>2</w:t>
      </w:r>
      <w:r>
        <w:rPr>
          <w:rFonts w:hint="eastAsia" w:ascii="宋体" w:hAnsi="宋体" w:cs="宋体"/>
          <w:kern w:val="0"/>
          <w:sz w:val="21"/>
          <w:szCs w:val="21"/>
          <w:lang w:val="zh-CN"/>
        </w:rPr>
        <w:t>：</w:t>
      </w:r>
      <w:r>
        <w:rPr>
          <w:rFonts w:ascii="宋体" w:hAnsi="宋体" w:cs="宋体"/>
          <w:kern w:val="0"/>
          <w:sz w:val="21"/>
          <w:szCs w:val="21"/>
          <w:lang w:val="zh-CN"/>
        </w:rPr>
        <w:t>2016</w:t>
      </w:r>
      <w:r>
        <w:rPr>
          <w:rFonts w:hint="eastAsia" w:ascii="宋体" w:hAnsi="宋体" w:cs="宋体"/>
          <w:kern w:val="0"/>
          <w:sz w:val="21"/>
          <w:szCs w:val="21"/>
          <w:lang w:val="zh-CN"/>
        </w:rPr>
        <w:t>年</w:t>
      </w:r>
      <w:r>
        <w:rPr>
          <w:rFonts w:ascii="宋体" w:hAnsi="宋体" w:cs="宋体"/>
          <w:kern w:val="0"/>
          <w:sz w:val="21"/>
          <w:szCs w:val="21"/>
          <w:lang w:val="zh-CN"/>
        </w:rPr>
        <w:t>10</w:t>
      </w:r>
      <w:r>
        <w:rPr>
          <w:rFonts w:hint="eastAsia" w:ascii="宋体" w:hAnsi="宋体" w:cs="宋体"/>
          <w:kern w:val="0"/>
          <w:sz w:val="21"/>
          <w:szCs w:val="21"/>
          <w:lang w:val="zh-CN"/>
        </w:rPr>
        <w:t>月，香港海兰船舶电气系统科技有限公司与香港海兰信海洋工程技术开发有限公司签订股权转让协议，香港海兰船舶电气系统科技有限公司购买其持有的</w:t>
      </w:r>
      <w:r>
        <w:rPr>
          <w:rFonts w:ascii="宋体" w:hAnsi="宋体" w:cs="宋体"/>
          <w:kern w:val="0"/>
          <w:sz w:val="21"/>
          <w:szCs w:val="21"/>
          <w:lang w:val="zh-CN"/>
        </w:rPr>
        <w:t>Rockson Automation GmbH 51%</w:t>
      </w:r>
      <w:r>
        <w:rPr>
          <w:rFonts w:hint="eastAsia" w:ascii="宋体" w:hAnsi="宋体" w:cs="宋体"/>
          <w:kern w:val="0"/>
          <w:sz w:val="21"/>
          <w:szCs w:val="21"/>
          <w:lang w:val="zh-CN"/>
        </w:rPr>
        <w:t>股权，交易对价为</w:t>
      </w:r>
      <w:r>
        <w:rPr>
          <w:rFonts w:ascii="宋体" w:hAnsi="宋体" w:cs="宋体"/>
          <w:kern w:val="0"/>
          <w:sz w:val="21"/>
          <w:szCs w:val="21"/>
          <w:lang w:val="zh-CN"/>
        </w:rPr>
        <w:t>16,142,399.00</w:t>
      </w:r>
      <w:r>
        <w:rPr>
          <w:rFonts w:hint="eastAsia" w:ascii="宋体" w:hAnsi="宋体" w:cs="宋体"/>
          <w:kern w:val="0"/>
          <w:sz w:val="21"/>
          <w:szCs w:val="21"/>
          <w:lang w:val="zh-CN"/>
        </w:rPr>
        <w:t>元。该交易事项</w:t>
      </w:r>
      <w:r>
        <w:rPr>
          <w:rFonts w:ascii="宋体" w:hAnsi="宋体" w:cs="宋体"/>
          <w:kern w:val="0"/>
          <w:sz w:val="21"/>
          <w:szCs w:val="21"/>
          <w:lang w:val="zh-CN"/>
        </w:rPr>
        <w:t>2016</w:t>
      </w:r>
      <w:r>
        <w:rPr>
          <w:rFonts w:hint="eastAsia" w:ascii="宋体" w:hAnsi="宋体" w:cs="宋体"/>
          <w:kern w:val="0"/>
          <w:sz w:val="21"/>
          <w:szCs w:val="21"/>
          <w:lang w:val="zh-CN"/>
        </w:rPr>
        <w:t>年</w:t>
      </w:r>
      <w:r>
        <w:rPr>
          <w:rFonts w:ascii="宋体" w:hAnsi="宋体" w:cs="宋体"/>
          <w:kern w:val="0"/>
          <w:sz w:val="21"/>
          <w:szCs w:val="21"/>
          <w:lang w:val="zh-CN"/>
        </w:rPr>
        <w:t>10</w:t>
      </w:r>
      <w:r>
        <w:rPr>
          <w:rFonts w:hint="eastAsia" w:ascii="宋体" w:hAnsi="宋体" w:cs="宋体"/>
          <w:kern w:val="0"/>
          <w:sz w:val="21"/>
          <w:szCs w:val="21"/>
          <w:lang w:val="zh-CN"/>
        </w:rPr>
        <w:t>月经公司董事会批准通过。</w:t>
      </w:r>
    </w:p>
    <w:p>
      <w:pPr>
        <w:pStyle w:val="11"/>
        <w:outlineLvl w:val="3"/>
        <w:rPr>
          <w:bCs w:val="0"/>
          <w:szCs w:val="24"/>
        </w:rPr>
      </w:pPr>
      <w:r>
        <w:rPr>
          <w:rFonts w:hint="eastAsia"/>
          <w:bCs w:val="0"/>
          <w:szCs w:val="24"/>
        </w:rPr>
        <w:t>（</w:t>
      </w:r>
      <w:r>
        <w:rPr>
          <w:bCs w:val="0"/>
          <w:szCs w:val="24"/>
        </w:rPr>
        <w:t>2</w:t>
      </w:r>
      <w:r>
        <w:rPr>
          <w:rFonts w:hint="eastAsia"/>
          <w:bCs w:val="0"/>
          <w:szCs w:val="24"/>
        </w:rPr>
        <w:t>）合并成本及商誉</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570" w:type="dxa"/>
        <w:tblInd w:w="28" w:type="dxa"/>
        <w:tblLayout w:type="fixed"/>
        <w:tblCellMar>
          <w:top w:w="0" w:type="dxa"/>
          <w:left w:w="28" w:type="dxa"/>
          <w:bottom w:w="0" w:type="dxa"/>
          <w:right w:w="28" w:type="dxa"/>
        </w:tblCellMar>
      </w:tblPr>
      <w:tblGrid>
        <w:gridCol w:w="3190"/>
        <w:gridCol w:w="3190"/>
        <w:gridCol w:w="3190"/>
      </w:tblGrid>
      <w:tr>
        <w:tblPrEx>
          <w:tblLayout w:type="fixed"/>
          <w:tblCellMar>
            <w:top w:w="0" w:type="dxa"/>
            <w:left w:w="28" w:type="dxa"/>
            <w:bottom w:w="0" w:type="dxa"/>
            <w:right w:w="28" w:type="dxa"/>
          </w:tblCellMar>
        </w:tblPrEx>
        <w:tc>
          <w:tcPr>
            <w:tcW w:w="319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合并成本</w:t>
            </w:r>
          </w:p>
        </w:tc>
        <w:tc>
          <w:tcPr>
            <w:tcW w:w="3190" w:type="dxa"/>
            <w:tcBorders>
              <w:top w:val="single" w:color="auto" w:sz="4" w:space="0"/>
              <w:left w:val="single" w:color="auto" w:sz="4" w:space="0"/>
              <w:bottom w:val="single" w:color="auto" w:sz="4" w:space="0"/>
              <w:right w:val="single" w:color="auto" w:sz="4" w:space="0"/>
            </w:tcBorders>
            <w:shd w:val="clear" w:color="auto" w:fill="E1FFFF"/>
            <w:vAlign w:val="center"/>
          </w:tcPr>
          <w:p>
            <w:pPr>
              <w:jc w:val="center"/>
              <w:rPr>
                <w:sz w:val="21"/>
                <w:szCs w:val="21"/>
              </w:rPr>
            </w:pPr>
            <w:r>
              <w:rPr>
                <w:rFonts w:hint="eastAsia"/>
                <w:sz w:val="21"/>
                <w:szCs w:val="21"/>
              </w:rPr>
              <w:t>广东蓝图信息技术有限公司</w:t>
            </w:r>
          </w:p>
        </w:tc>
        <w:tc>
          <w:tcPr>
            <w:tcW w:w="3190" w:type="dxa"/>
            <w:tcBorders>
              <w:top w:val="single" w:color="auto" w:sz="4" w:space="0"/>
              <w:left w:val="single" w:color="auto" w:sz="4" w:space="0"/>
              <w:bottom w:val="single" w:color="auto" w:sz="4" w:space="0"/>
              <w:right w:val="single" w:color="auto" w:sz="4" w:space="0"/>
            </w:tcBorders>
            <w:shd w:val="clear" w:color="auto" w:fill="E1FFFF"/>
            <w:vAlign w:val="center"/>
          </w:tcPr>
          <w:p>
            <w:pPr>
              <w:jc w:val="center"/>
              <w:rPr>
                <w:sz w:val="21"/>
                <w:szCs w:val="21"/>
              </w:rPr>
            </w:pPr>
            <w:r>
              <w:rPr>
                <w:sz w:val="21"/>
                <w:szCs w:val="21"/>
              </w:rPr>
              <w:t>Rockson Automation GmbH</w:t>
            </w:r>
          </w:p>
        </w:tc>
      </w:tr>
      <w:tr>
        <w:tblPrEx>
          <w:tblLayout w:type="fixed"/>
          <w:tblCellMar>
            <w:top w:w="0" w:type="dxa"/>
            <w:left w:w="28" w:type="dxa"/>
            <w:bottom w:w="0" w:type="dxa"/>
            <w:right w:w="28" w:type="dxa"/>
          </w:tblCellMar>
        </w:tblPrEx>
        <w:tc>
          <w:tcPr>
            <w:tcW w:w="319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w:t>
            </w:r>
            <w:r>
              <w:rPr>
                <w:rFonts w:hint="eastAsia"/>
                <w:sz w:val="21"/>
                <w:szCs w:val="21"/>
              </w:rPr>
              <w:t>现金</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62,664,033.77</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16,142,399.00</w:t>
            </w:r>
          </w:p>
        </w:tc>
      </w:tr>
      <w:tr>
        <w:tblPrEx>
          <w:tblLayout w:type="fixed"/>
          <w:tblCellMar>
            <w:top w:w="0" w:type="dxa"/>
            <w:left w:w="28" w:type="dxa"/>
            <w:bottom w:w="0" w:type="dxa"/>
            <w:right w:w="28" w:type="dxa"/>
          </w:tblCellMar>
        </w:tblPrEx>
        <w:tc>
          <w:tcPr>
            <w:tcW w:w="319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合并成本合计</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62,664,033.77</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16,142,399.00</w:t>
            </w:r>
          </w:p>
        </w:tc>
      </w:tr>
      <w:tr>
        <w:tblPrEx>
          <w:tblLayout w:type="fixed"/>
          <w:tblCellMar>
            <w:top w:w="0" w:type="dxa"/>
            <w:left w:w="28" w:type="dxa"/>
            <w:bottom w:w="0" w:type="dxa"/>
            <w:right w:w="28" w:type="dxa"/>
          </w:tblCellMar>
        </w:tblPrEx>
        <w:tc>
          <w:tcPr>
            <w:tcW w:w="319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减：取得的可辨认净资产公允价值份额</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4,653,677.78</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2,217,212.90</w:t>
            </w:r>
          </w:p>
        </w:tc>
      </w:tr>
      <w:tr>
        <w:tblPrEx>
          <w:tblLayout w:type="fixed"/>
          <w:tblCellMar>
            <w:top w:w="0" w:type="dxa"/>
            <w:left w:w="28" w:type="dxa"/>
            <w:bottom w:w="0" w:type="dxa"/>
            <w:right w:w="28" w:type="dxa"/>
          </w:tblCellMar>
        </w:tblPrEx>
        <w:tc>
          <w:tcPr>
            <w:tcW w:w="3190"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商誉</w:t>
            </w:r>
            <w:r>
              <w:rPr>
                <w:sz w:val="21"/>
                <w:szCs w:val="21"/>
              </w:rPr>
              <w:t>/</w:t>
            </w:r>
            <w:r>
              <w:rPr>
                <w:rFonts w:hint="eastAsia"/>
                <w:sz w:val="21"/>
                <w:szCs w:val="21"/>
              </w:rPr>
              <w:t>合并成本小于取得的可辨认净资产公允价值份额的金额</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58,010,355.99</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13,925,186.10</w:t>
            </w:r>
          </w:p>
        </w:tc>
      </w:tr>
    </w:tbl>
    <w:p>
      <w:pPr>
        <w:autoSpaceDE w:val="0"/>
        <w:autoSpaceDN w:val="0"/>
        <w:adjustRightInd w:val="0"/>
        <w:spacing w:before="0" w:after="0" w:line="360" w:lineRule="auto"/>
        <w:jc w:val="left"/>
        <w:rPr>
          <w:rFonts w:ascii="宋体" w:cs="宋体"/>
          <w:kern w:val="0"/>
          <w:sz w:val="21"/>
          <w:szCs w:val="21"/>
          <w:lang w:val="zh-CN"/>
        </w:rPr>
      </w:pPr>
      <w:r>
        <w:rPr>
          <w:rFonts w:hint="eastAsia" w:ascii="宋体" w:hAnsi="宋体" w:cs="宋体"/>
          <w:kern w:val="0"/>
          <w:sz w:val="21"/>
          <w:szCs w:val="21"/>
          <w:lang w:val="zh-CN"/>
        </w:rPr>
        <w:t>合并成本公允价值的确定方法、或有对价及其变动的说明：</w:t>
      </w:r>
    </w:p>
    <w:p>
      <w:pPr>
        <w:autoSpaceDE w:val="0"/>
        <w:autoSpaceDN w:val="0"/>
        <w:adjustRightInd w:val="0"/>
        <w:spacing w:before="0" w:after="0" w:line="360" w:lineRule="auto"/>
        <w:ind w:firstLine="420" w:firstLineChars="200"/>
        <w:jc w:val="left"/>
        <w:rPr>
          <w:rFonts w:ascii="宋体" w:cs="宋体"/>
          <w:kern w:val="0"/>
          <w:sz w:val="21"/>
          <w:szCs w:val="21"/>
          <w:lang w:val="zh-CN"/>
        </w:rPr>
      </w:pPr>
      <w:r>
        <w:rPr>
          <w:rFonts w:hint="eastAsia" w:ascii="宋体" w:hAnsi="宋体" w:cs="宋体"/>
          <w:kern w:val="0"/>
          <w:sz w:val="21"/>
          <w:szCs w:val="21"/>
          <w:lang w:val="zh-CN"/>
        </w:rPr>
        <w:t>合并成本公允价值根据评估报告确定。</w:t>
      </w:r>
    </w:p>
    <w:p>
      <w:pPr>
        <w:autoSpaceDE w:val="0"/>
        <w:autoSpaceDN w:val="0"/>
        <w:adjustRightInd w:val="0"/>
        <w:spacing w:before="0" w:after="0" w:line="360" w:lineRule="auto"/>
        <w:jc w:val="left"/>
        <w:rPr>
          <w:rFonts w:ascii="宋体" w:cs="宋体"/>
          <w:kern w:val="0"/>
          <w:sz w:val="21"/>
          <w:szCs w:val="21"/>
          <w:lang w:val="zh-CN"/>
        </w:rPr>
      </w:pPr>
      <w:r>
        <w:rPr>
          <w:rFonts w:hint="eastAsia" w:ascii="宋体" w:hAnsi="宋体" w:cs="宋体"/>
          <w:kern w:val="0"/>
          <w:sz w:val="21"/>
          <w:szCs w:val="21"/>
          <w:lang w:val="zh-CN"/>
        </w:rPr>
        <w:t>大额商誉形成的主要原因：</w:t>
      </w:r>
    </w:p>
    <w:p>
      <w:pPr>
        <w:autoSpaceDE w:val="0"/>
        <w:autoSpaceDN w:val="0"/>
        <w:adjustRightInd w:val="0"/>
        <w:spacing w:before="0" w:after="0" w:line="360" w:lineRule="auto"/>
        <w:ind w:firstLine="420" w:firstLineChars="200"/>
        <w:jc w:val="left"/>
        <w:rPr>
          <w:rFonts w:ascii="宋体" w:cs="宋体"/>
          <w:kern w:val="0"/>
          <w:sz w:val="21"/>
          <w:szCs w:val="21"/>
          <w:lang w:val="zh-CN"/>
        </w:rPr>
      </w:pPr>
      <w:r>
        <w:rPr>
          <w:rFonts w:hint="eastAsia" w:ascii="宋体" w:hAnsi="宋体" w:cs="宋体"/>
          <w:kern w:val="0"/>
          <w:sz w:val="21"/>
          <w:szCs w:val="21"/>
          <w:lang w:val="zh-CN"/>
        </w:rPr>
        <w:t>详见七、（十五）商誉。</w:t>
      </w:r>
    </w:p>
    <w:p>
      <w:pPr>
        <w:pStyle w:val="11"/>
        <w:outlineLvl w:val="3"/>
        <w:rPr>
          <w:bCs w:val="0"/>
          <w:szCs w:val="24"/>
        </w:rPr>
      </w:pPr>
      <w:r>
        <w:rPr>
          <w:rFonts w:hint="eastAsia"/>
          <w:bCs w:val="0"/>
          <w:szCs w:val="24"/>
        </w:rPr>
        <w:t>（</w:t>
      </w:r>
      <w:r>
        <w:rPr>
          <w:bCs w:val="0"/>
          <w:szCs w:val="24"/>
        </w:rPr>
        <w:t>3</w:t>
      </w:r>
      <w:r>
        <w:rPr>
          <w:rFonts w:hint="eastAsia"/>
          <w:bCs w:val="0"/>
          <w:szCs w:val="24"/>
        </w:rPr>
        <w:t>）被购买方于购买日可辨认资产、负债</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694" w:type="dxa"/>
        <w:tblInd w:w="0" w:type="dxa"/>
        <w:tblLayout w:type="fixed"/>
        <w:tblCellMar>
          <w:top w:w="0" w:type="dxa"/>
          <w:left w:w="28" w:type="dxa"/>
          <w:bottom w:w="0" w:type="dxa"/>
          <w:right w:w="28" w:type="dxa"/>
        </w:tblCellMar>
      </w:tblPr>
      <w:tblGrid>
        <w:gridCol w:w="1938"/>
        <w:gridCol w:w="1939"/>
        <w:gridCol w:w="1939"/>
        <w:gridCol w:w="1939"/>
        <w:gridCol w:w="1939"/>
      </w:tblGrid>
      <w:tr>
        <w:tblPrEx>
          <w:tblLayout w:type="fixed"/>
          <w:tblCellMar>
            <w:top w:w="0" w:type="dxa"/>
            <w:left w:w="28" w:type="dxa"/>
            <w:bottom w:w="0" w:type="dxa"/>
            <w:right w:w="28" w:type="dxa"/>
          </w:tblCellMar>
        </w:tblPrEx>
        <w:tc>
          <w:tcPr>
            <w:tcW w:w="1938"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p>
        </w:tc>
        <w:tc>
          <w:tcPr>
            <w:tcW w:w="3878" w:type="dxa"/>
            <w:gridSpan w:val="2"/>
            <w:tcBorders>
              <w:top w:val="single" w:color="auto" w:sz="4" w:space="0"/>
              <w:left w:val="single" w:color="auto" w:sz="4" w:space="0"/>
              <w:bottom w:val="single" w:color="auto" w:sz="4" w:space="0"/>
              <w:right w:val="single" w:color="auto" w:sz="4" w:space="0"/>
            </w:tcBorders>
            <w:shd w:val="clear" w:color="auto" w:fill="E1FFFF"/>
            <w:vAlign w:val="center"/>
          </w:tcPr>
          <w:p>
            <w:pPr>
              <w:jc w:val="center"/>
              <w:rPr>
                <w:sz w:val="21"/>
                <w:szCs w:val="21"/>
              </w:rPr>
            </w:pPr>
            <w:r>
              <w:rPr>
                <w:rFonts w:hint="eastAsia"/>
                <w:sz w:val="21"/>
                <w:szCs w:val="21"/>
              </w:rPr>
              <w:t>广东蓝图信息技术有限公司</w:t>
            </w:r>
          </w:p>
        </w:tc>
        <w:tc>
          <w:tcPr>
            <w:tcW w:w="3878" w:type="dxa"/>
            <w:gridSpan w:val="2"/>
            <w:tcBorders>
              <w:top w:val="single" w:color="auto" w:sz="4" w:space="0"/>
              <w:left w:val="single" w:color="auto" w:sz="4" w:space="0"/>
              <w:bottom w:val="single" w:color="auto" w:sz="4" w:space="0"/>
              <w:right w:val="single" w:color="auto" w:sz="4" w:space="0"/>
            </w:tcBorders>
            <w:shd w:val="clear" w:color="auto" w:fill="E1FFFF"/>
            <w:vAlign w:val="center"/>
          </w:tcPr>
          <w:p>
            <w:pPr>
              <w:jc w:val="center"/>
              <w:rPr>
                <w:sz w:val="21"/>
                <w:szCs w:val="21"/>
              </w:rPr>
            </w:pPr>
            <w:r>
              <w:rPr>
                <w:sz w:val="21"/>
                <w:szCs w:val="21"/>
              </w:rPr>
              <w:t>Rockson Automation GmbH</w:t>
            </w:r>
          </w:p>
        </w:tc>
      </w:tr>
      <w:tr>
        <w:tblPrEx>
          <w:tblLayout w:type="fixed"/>
          <w:tblCellMar>
            <w:top w:w="0" w:type="dxa"/>
            <w:left w:w="28" w:type="dxa"/>
            <w:bottom w:w="0" w:type="dxa"/>
            <w:right w:w="28" w:type="dxa"/>
          </w:tblCellMar>
        </w:tblPrEx>
        <w:tc>
          <w:tcPr>
            <w:tcW w:w="1938"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p>
        </w:tc>
        <w:tc>
          <w:tcPr>
            <w:tcW w:w="193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购买日公允价值</w:t>
            </w:r>
          </w:p>
        </w:tc>
        <w:tc>
          <w:tcPr>
            <w:tcW w:w="193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购买日账面价值</w:t>
            </w:r>
          </w:p>
        </w:tc>
        <w:tc>
          <w:tcPr>
            <w:tcW w:w="193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购买日公允价值</w:t>
            </w:r>
          </w:p>
        </w:tc>
        <w:tc>
          <w:tcPr>
            <w:tcW w:w="193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购买日账面价值</w:t>
            </w:r>
          </w:p>
        </w:tc>
      </w:tr>
      <w:tr>
        <w:tblPrEx>
          <w:tblLayout w:type="fixed"/>
          <w:tblCellMar>
            <w:top w:w="0" w:type="dxa"/>
            <w:left w:w="28" w:type="dxa"/>
            <w:bottom w:w="0" w:type="dxa"/>
            <w:right w:w="28" w:type="dxa"/>
          </w:tblCellMar>
        </w:tblPrEx>
        <w:tc>
          <w:tcPr>
            <w:tcW w:w="1938"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资产：</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938"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货币资金</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12,477,866.13</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12,477,866.13</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3,637,024.95</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3,637,024.95</w:t>
            </w:r>
          </w:p>
        </w:tc>
      </w:tr>
      <w:tr>
        <w:tblPrEx>
          <w:tblLayout w:type="fixed"/>
          <w:tblCellMar>
            <w:top w:w="0" w:type="dxa"/>
            <w:left w:w="28" w:type="dxa"/>
            <w:bottom w:w="0" w:type="dxa"/>
            <w:right w:w="28" w:type="dxa"/>
          </w:tblCellMar>
        </w:tblPrEx>
        <w:tc>
          <w:tcPr>
            <w:tcW w:w="1938"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应收款项</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3,925,964.10</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3,925,964.10</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503,438.12</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503,438.12</w:t>
            </w:r>
          </w:p>
        </w:tc>
      </w:tr>
      <w:tr>
        <w:tblPrEx>
          <w:tblLayout w:type="fixed"/>
          <w:tblCellMar>
            <w:top w:w="0" w:type="dxa"/>
            <w:left w:w="28" w:type="dxa"/>
            <w:bottom w:w="0" w:type="dxa"/>
            <w:right w:w="28" w:type="dxa"/>
          </w:tblCellMar>
        </w:tblPrEx>
        <w:tc>
          <w:tcPr>
            <w:tcW w:w="1938"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存货</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2,052,287.50</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2,052,287.50</w:t>
            </w:r>
          </w:p>
        </w:tc>
      </w:tr>
      <w:tr>
        <w:tblPrEx>
          <w:tblLayout w:type="fixed"/>
          <w:tblCellMar>
            <w:top w:w="0" w:type="dxa"/>
            <w:left w:w="28" w:type="dxa"/>
            <w:bottom w:w="0" w:type="dxa"/>
            <w:right w:w="28" w:type="dxa"/>
          </w:tblCellMar>
        </w:tblPrEx>
        <w:tc>
          <w:tcPr>
            <w:tcW w:w="1938"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固定资产</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781,376.29</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781,376.29</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67,416.75</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67,416.75</w:t>
            </w:r>
          </w:p>
        </w:tc>
      </w:tr>
      <w:tr>
        <w:tblPrEx>
          <w:tblLayout w:type="fixed"/>
          <w:tblCellMar>
            <w:top w:w="0" w:type="dxa"/>
            <w:left w:w="28" w:type="dxa"/>
            <w:bottom w:w="0" w:type="dxa"/>
            <w:right w:w="28" w:type="dxa"/>
          </w:tblCellMar>
        </w:tblPrEx>
        <w:tc>
          <w:tcPr>
            <w:tcW w:w="1938"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无形资产</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3,863,701.22</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3,863,701.22</w:t>
            </w:r>
          </w:p>
        </w:tc>
      </w:tr>
      <w:tr>
        <w:tblPrEx>
          <w:tblLayout w:type="fixed"/>
          <w:tblCellMar>
            <w:top w:w="0" w:type="dxa"/>
            <w:left w:w="28" w:type="dxa"/>
            <w:bottom w:w="0" w:type="dxa"/>
            <w:right w:w="28" w:type="dxa"/>
          </w:tblCellMar>
        </w:tblPrEx>
        <w:tc>
          <w:tcPr>
            <w:tcW w:w="1938" w:type="dxa"/>
            <w:tcBorders>
              <w:top w:val="single" w:color="auto" w:sz="4" w:space="0"/>
              <w:left w:val="single" w:color="auto" w:sz="4" w:space="0"/>
              <w:bottom w:val="single" w:color="auto" w:sz="4" w:space="0"/>
              <w:right w:val="single" w:color="auto" w:sz="4" w:space="0"/>
            </w:tcBorders>
            <w:shd w:val="clear" w:color="auto" w:fill="E1FFFF"/>
            <w:vAlign w:val="center"/>
          </w:tcPr>
          <w:p>
            <w:pPr>
              <w:jc w:val="left"/>
              <w:rPr>
                <w:sz w:val="21"/>
                <w:szCs w:val="21"/>
              </w:rPr>
            </w:pPr>
            <w:r>
              <w:rPr>
                <w:rFonts w:hint="eastAsia"/>
                <w:sz w:val="21"/>
                <w:szCs w:val="21"/>
              </w:rPr>
              <w:t>预付账款</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684,850.00</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684,850.00</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22,031.14</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22,031.14</w:t>
            </w:r>
          </w:p>
        </w:tc>
      </w:tr>
      <w:tr>
        <w:tblPrEx>
          <w:tblLayout w:type="fixed"/>
          <w:tblCellMar>
            <w:top w:w="0" w:type="dxa"/>
            <w:left w:w="28" w:type="dxa"/>
            <w:bottom w:w="0" w:type="dxa"/>
            <w:right w:w="28" w:type="dxa"/>
          </w:tblCellMar>
        </w:tblPrEx>
        <w:tc>
          <w:tcPr>
            <w:tcW w:w="1938" w:type="dxa"/>
            <w:tcBorders>
              <w:top w:val="single" w:color="auto" w:sz="4" w:space="0"/>
              <w:left w:val="single" w:color="auto" w:sz="4" w:space="0"/>
              <w:bottom w:val="single" w:color="auto" w:sz="4" w:space="0"/>
              <w:right w:val="single" w:color="auto" w:sz="4" w:space="0"/>
            </w:tcBorders>
            <w:shd w:val="clear" w:color="auto" w:fill="E1FFFF"/>
            <w:vAlign w:val="center"/>
          </w:tcPr>
          <w:p>
            <w:pPr>
              <w:jc w:val="left"/>
              <w:rPr>
                <w:sz w:val="21"/>
                <w:szCs w:val="21"/>
              </w:rPr>
            </w:pPr>
            <w:r>
              <w:rPr>
                <w:rFonts w:hint="eastAsia"/>
                <w:sz w:val="21"/>
                <w:szCs w:val="21"/>
              </w:rPr>
              <w:t>其他应收款</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1,364,607.50</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1,364,607.50</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238,876.13</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238,876.13</w:t>
            </w:r>
          </w:p>
        </w:tc>
      </w:tr>
      <w:tr>
        <w:tblPrEx>
          <w:tblLayout w:type="fixed"/>
          <w:tblCellMar>
            <w:top w:w="0" w:type="dxa"/>
            <w:left w:w="28" w:type="dxa"/>
            <w:bottom w:w="0" w:type="dxa"/>
            <w:right w:w="28" w:type="dxa"/>
          </w:tblCellMar>
        </w:tblPrEx>
        <w:tc>
          <w:tcPr>
            <w:tcW w:w="1938" w:type="dxa"/>
            <w:tcBorders>
              <w:top w:val="single" w:color="auto" w:sz="4" w:space="0"/>
              <w:left w:val="single" w:color="auto" w:sz="4" w:space="0"/>
              <w:bottom w:val="single" w:color="auto" w:sz="4" w:space="0"/>
              <w:right w:val="single" w:color="auto" w:sz="4" w:space="0"/>
            </w:tcBorders>
            <w:shd w:val="clear" w:color="auto" w:fill="E1FFFF"/>
            <w:vAlign w:val="center"/>
          </w:tcPr>
          <w:p>
            <w:pPr>
              <w:jc w:val="left"/>
              <w:rPr>
                <w:sz w:val="21"/>
                <w:szCs w:val="21"/>
              </w:rPr>
            </w:pPr>
            <w:r>
              <w:rPr>
                <w:rFonts w:hint="eastAsia"/>
                <w:sz w:val="21"/>
                <w:szCs w:val="21"/>
              </w:rPr>
              <w:t>其他流动资产</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18,000,000.00</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18,000,000.00</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938" w:type="dxa"/>
            <w:tcBorders>
              <w:top w:val="single" w:color="auto" w:sz="4" w:space="0"/>
              <w:left w:val="single" w:color="auto" w:sz="4" w:space="0"/>
              <w:bottom w:val="single" w:color="auto" w:sz="4" w:space="0"/>
              <w:right w:val="single" w:color="auto" w:sz="4" w:space="0"/>
            </w:tcBorders>
            <w:shd w:val="clear" w:color="auto" w:fill="E1FFFF"/>
            <w:vAlign w:val="center"/>
          </w:tcPr>
          <w:p>
            <w:pPr>
              <w:jc w:val="left"/>
              <w:rPr>
                <w:sz w:val="21"/>
                <w:szCs w:val="21"/>
              </w:rPr>
            </w:pPr>
            <w:r>
              <w:rPr>
                <w:rFonts w:hint="eastAsia"/>
                <w:sz w:val="21"/>
                <w:szCs w:val="21"/>
              </w:rPr>
              <w:t>递延所得税资产</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32,397.59</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32,397.59</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938" w:type="dxa"/>
            <w:tcBorders>
              <w:top w:val="single" w:color="auto" w:sz="4" w:space="0"/>
              <w:left w:val="single" w:color="auto" w:sz="4" w:space="0"/>
              <w:bottom w:val="single" w:color="auto" w:sz="4" w:space="0"/>
              <w:right w:val="single" w:color="auto" w:sz="4" w:space="0"/>
            </w:tcBorders>
            <w:shd w:val="clear" w:color="auto" w:fill="E1FFFF"/>
            <w:vAlign w:val="center"/>
          </w:tcPr>
          <w:p>
            <w:pPr>
              <w:jc w:val="left"/>
              <w:rPr>
                <w:sz w:val="21"/>
                <w:szCs w:val="21"/>
              </w:rPr>
            </w:pP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938"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负债：</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938"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借款</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938"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应付款项</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938"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递延所得税负债</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938" w:type="dxa"/>
            <w:tcBorders>
              <w:top w:val="single" w:color="auto" w:sz="4" w:space="0"/>
              <w:left w:val="single" w:color="auto" w:sz="4" w:space="0"/>
              <w:bottom w:val="single" w:color="auto" w:sz="4" w:space="0"/>
              <w:right w:val="single" w:color="auto" w:sz="4" w:space="0"/>
            </w:tcBorders>
            <w:shd w:val="clear" w:color="auto" w:fill="E1FFFF"/>
            <w:vAlign w:val="center"/>
          </w:tcPr>
          <w:p>
            <w:pPr>
              <w:jc w:val="left"/>
              <w:rPr>
                <w:sz w:val="21"/>
                <w:szCs w:val="21"/>
              </w:rPr>
            </w:pPr>
            <w:r>
              <w:rPr>
                <w:rFonts w:hint="eastAsia"/>
                <w:sz w:val="21"/>
                <w:szCs w:val="21"/>
              </w:rPr>
              <w:t>流动负债</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30,107,557.34</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30,107,557.34</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3,065,539.54</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3,065,539.54</w:t>
            </w:r>
          </w:p>
        </w:tc>
      </w:tr>
      <w:tr>
        <w:tblPrEx>
          <w:tblLayout w:type="fixed"/>
          <w:tblCellMar>
            <w:top w:w="0" w:type="dxa"/>
            <w:left w:w="28" w:type="dxa"/>
            <w:bottom w:w="0" w:type="dxa"/>
            <w:right w:w="28" w:type="dxa"/>
          </w:tblCellMar>
        </w:tblPrEx>
        <w:tc>
          <w:tcPr>
            <w:tcW w:w="1938" w:type="dxa"/>
            <w:tcBorders>
              <w:top w:val="single" w:color="auto" w:sz="4" w:space="0"/>
              <w:left w:val="single" w:color="auto" w:sz="4" w:space="0"/>
              <w:bottom w:val="single" w:color="auto" w:sz="4" w:space="0"/>
              <w:right w:val="single" w:color="auto" w:sz="4" w:space="0"/>
            </w:tcBorders>
            <w:shd w:val="clear" w:color="auto" w:fill="E1FFFF"/>
            <w:vAlign w:val="center"/>
          </w:tcPr>
          <w:p>
            <w:pPr>
              <w:jc w:val="left"/>
              <w:rPr>
                <w:sz w:val="21"/>
                <w:szCs w:val="21"/>
              </w:rPr>
            </w:pPr>
            <w:r>
              <w:rPr>
                <w:rFonts w:hint="eastAsia"/>
                <w:sz w:val="21"/>
                <w:szCs w:val="21"/>
              </w:rPr>
              <w:t>非流动负债</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2,971,760.00</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2,971,760.00</w:t>
            </w:r>
          </w:p>
        </w:tc>
      </w:tr>
      <w:tr>
        <w:tblPrEx>
          <w:tblLayout w:type="fixed"/>
          <w:tblCellMar>
            <w:top w:w="0" w:type="dxa"/>
            <w:left w:w="28" w:type="dxa"/>
            <w:bottom w:w="0" w:type="dxa"/>
            <w:right w:w="28" w:type="dxa"/>
          </w:tblCellMar>
        </w:tblPrEx>
        <w:tc>
          <w:tcPr>
            <w:tcW w:w="1938"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净资产</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7,159,504.27</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7,159,504.27</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4,347,476.27</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4,347,476.27</w:t>
            </w:r>
          </w:p>
        </w:tc>
      </w:tr>
      <w:tr>
        <w:tblPrEx>
          <w:tblLayout w:type="fixed"/>
          <w:tblCellMar>
            <w:top w:w="0" w:type="dxa"/>
            <w:left w:w="28" w:type="dxa"/>
            <w:bottom w:w="0" w:type="dxa"/>
            <w:right w:w="28" w:type="dxa"/>
          </w:tblCellMar>
        </w:tblPrEx>
        <w:tc>
          <w:tcPr>
            <w:tcW w:w="1938"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减：少数股东权益</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2,505,826.49</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2,505,826.49</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2,130,263.37</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2,130,263.37</w:t>
            </w:r>
          </w:p>
        </w:tc>
      </w:tr>
      <w:tr>
        <w:tblPrEx>
          <w:tblLayout w:type="fixed"/>
          <w:tblCellMar>
            <w:top w:w="0" w:type="dxa"/>
            <w:left w:w="28" w:type="dxa"/>
            <w:bottom w:w="0" w:type="dxa"/>
            <w:right w:w="28" w:type="dxa"/>
          </w:tblCellMar>
        </w:tblPrEx>
        <w:tc>
          <w:tcPr>
            <w:tcW w:w="1938"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取得的净资产</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4,653,677.78</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4,653,677.78</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2,217,212.90</w:t>
            </w:r>
          </w:p>
        </w:tc>
        <w:tc>
          <w:tcPr>
            <w:tcW w:w="193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2,217,212.90</w:t>
            </w:r>
          </w:p>
        </w:tc>
      </w:tr>
    </w:tbl>
    <w:p>
      <w:pPr>
        <w:jc w:val="left"/>
        <w:rPr>
          <w:sz w:val="21"/>
          <w:szCs w:val="21"/>
        </w:rPr>
      </w:pPr>
      <w:r>
        <w:rPr>
          <w:rFonts w:hint="eastAsia"/>
          <w:sz w:val="21"/>
          <w:szCs w:val="21"/>
        </w:rPr>
        <w:t>可辨认资产、负债公允价值的确定方法：</w:t>
      </w:r>
    </w:p>
    <w:p>
      <w:pPr>
        <w:autoSpaceDE w:val="0"/>
        <w:autoSpaceDN w:val="0"/>
        <w:adjustRightInd w:val="0"/>
        <w:spacing w:before="0" w:after="0"/>
        <w:jc w:val="left"/>
        <w:rPr>
          <w:rFonts w:eastAsia="Times New Roman"/>
          <w:kern w:val="0"/>
          <w:sz w:val="21"/>
          <w:szCs w:val="21"/>
          <w:lang w:val="zh-CN"/>
        </w:rPr>
      </w:pPr>
      <w:r>
        <w:rPr>
          <w:rFonts w:hint="eastAsia" w:ascii="宋体" w:hAnsi="宋体" w:cs="宋体"/>
          <w:kern w:val="0"/>
          <w:sz w:val="21"/>
          <w:szCs w:val="21"/>
          <w:lang w:val="zh-CN"/>
        </w:rPr>
        <w:t>根据并购时点的财务报表和相应的评估报告资产基础法确定的公允价值计算确定。</w:t>
      </w:r>
    </w:p>
    <w:p>
      <w:pPr>
        <w:autoSpaceDE w:val="0"/>
        <w:autoSpaceDN w:val="0"/>
        <w:adjustRightInd w:val="0"/>
        <w:spacing w:before="0" w:after="0"/>
        <w:jc w:val="left"/>
        <w:rPr>
          <w:rFonts w:eastAsia="Times New Roman"/>
          <w:kern w:val="0"/>
          <w:sz w:val="21"/>
          <w:szCs w:val="21"/>
          <w:lang w:val="zh-CN"/>
        </w:rPr>
      </w:pPr>
    </w:p>
    <w:p>
      <w:pPr>
        <w:jc w:val="left"/>
        <w:rPr>
          <w:sz w:val="21"/>
          <w:szCs w:val="21"/>
        </w:rPr>
      </w:pPr>
      <w:r>
        <w:rPr>
          <w:rFonts w:hint="eastAsia"/>
          <w:sz w:val="21"/>
          <w:szCs w:val="21"/>
        </w:rPr>
        <w:t>企业合并中承担的被购买方的或有负债：</w:t>
      </w:r>
    </w:p>
    <w:p>
      <w:pPr>
        <w:autoSpaceDE w:val="0"/>
        <w:autoSpaceDN w:val="0"/>
        <w:adjustRightInd w:val="0"/>
        <w:spacing w:before="0" w:after="0"/>
        <w:jc w:val="left"/>
        <w:rPr>
          <w:rFonts w:eastAsia="Times New Roman"/>
          <w:kern w:val="0"/>
          <w:sz w:val="21"/>
          <w:szCs w:val="21"/>
          <w:lang w:val="zh-CN"/>
        </w:rPr>
      </w:pPr>
      <w:r>
        <w:rPr>
          <w:rFonts w:hint="eastAsia" w:ascii="宋体" w:hAnsi="宋体" w:cs="宋体"/>
          <w:kern w:val="0"/>
          <w:sz w:val="21"/>
          <w:szCs w:val="21"/>
          <w:lang w:val="zh-CN"/>
        </w:rPr>
        <w:t>无</w:t>
      </w:r>
    </w:p>
    <w:p>
      <w:pPr>
        <w:jc w:val="left"/>
        <w:rPr>
          <w:sz w:val="21"/>
          <w:szCs w:val="21"/>
        </w:rPr>
      </w:pPr>
      <w:r>
        <w:rPr>
          <w:rFonts w:hint="eastAsia"/>
          <w:sz w:val="21"/>
          <w:szCs w:val="21"/>
        </w:rPr>
        <w:t>其他说明：</w:t>
      </w:r>
    </w:p>
    <w:p>
      <w:pPr>
        <w:pStyle w:val="10"/>
        <w:outlineLvl w:val="1"/>
        <w:rPr>
          <w:bCs w:val="0"/>
        </w:rPr>
      </w:pPr>
      <w:r>
        <w:rPr>
          <w:rFonts w:hint="eastAsia"/>
          <w:bCs w:val="0"/>
        </w:rPr>
        <w:t>九、在其他主体中的权益</w:t>
      </w:r>
    </w:p>
    <w:p>
      <w:pPr>
        <w:pStyle w:val="11"/>
        <w:outlineLvl w:val="2"/>
        <w:rPr>
          <w:bCs w:val="0"/>
          <w:szCs w:val="24"/>
        </w:rPr>
      </w:pPr>
      <w:r>
        <w:rPr>
          <w:bCs w:val="0"/>
          <w:szCs w:val="24"/>
        </w:rPr>
        <w:t>1</w:t>
      </w:r>
      <w:r>
        <w:rPr>
          <w:rFonts w:hint="eastAsia"/>
          <w:bCs w:val="0"/>
          <w:szCs w:val="24"/>
        </w:rPr>
        <w:t>、在子公司中的权益</w:t>
      </w:r>
    </w:p>
    <w:p>
      <w:pPr>
        <w:pStyle w:val="11"/>
        <w:outlineLvl w:val="3"/>
        <w:rPr>
          <w:bCs w:val="0"/>
          <w:szCs w:val="24"/>
        </w:rPr>
      </w:pPr>
      <w:r>
        <w:rPr>
          <w:rFonts w:hint="eastAsia"/>
          <w:bCs w:val="0"/>
          <w:szCs w:val="24"/>
        </w:rPr>
        <w:t>（</w:t>
      </w:r>
      <w:r>
        <w:rPr>
          <w:bCs w:val="0"/>
          <w:szCs w:val="24"/>
        </w:rPr>
        <w:t>1</w:t>
      </w:r>
      <w:r>
        <w:rPr>
          <w:rFonts w:hint="eastAsia"/>
          <w:bCs w:val="0"/>
          <w:szCs w:val="24"/>
        </w:rPr>
        <w:t>）企业集团的构成</w:t>
      </w:r>
    </w:p>
    <w:tbl>
      <w:tblPr>
        <w:tblStyle w:val="8"/>
        <w:tblW w:w="9694" w:type="dxa"/>
        <w:tblInd w:w="0" w:type="dxa"/>
        <w:tblLayout w:type="fixed"/>
        <w:tblCellMar>
          <w:top w:w="0" w:type="dxa"/>
          <w:left w:w="28" w:type="dxa"/>
          <w:bottom w:w="0" w:type="dxa"/>
          <w:right w:w="28" w:type="dxa"/>
        </w:tblCellMar>
      </w:tblPr>
      <w:tblGrid>
        <w:gridCol w:w="1389"/>
        <w:gridCol w:w="1385"/>
        <w:gridCol w:w="1384"/>
        <w:gridCol w:w="1384"/>
        <w:gridCol w:w="1384"/>
        <w:gridCol w:w="1384"/>
        <w:gridCol w:w="1384"/>
      </w:tblGrid>
      <w:tr>
        <w:tblPrEx>
          <w:tblLayout w:type="fixed"/>
          <w:tblCellMar>
            <w:top w:w="0" w:type="dxa"/>
            <w:left w:w="28" w:type="dxa"/>
            <w:bottom w:w="0" w:type="dxa"/>
            <w:right w:w="28" w:type="dxa"/>
          </w:tblCellMar>
        </w:tblPrEx>
        <w:tc>
          <w:tcPr>
            <w:tcW w:w="1389"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子公司名称</w:t>
            </w:r>
          </w:p>
        </w:tc>
        <w:tc>
          <w:tcPr>
            <w:tcW w:w="1385"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主要经营地</w:t>
            </w:r>
          </w:p>
        </w:tc>
        <w:tc>
          <w:tcPr>
            <w:tcW w:w="1384"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注册地</w:t>
            </w:r>
          </w:p>
        </w:tc>
        <w:tc>
          <w:tcPr>
            <w:tcW w:w="1384"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业务性质</w:t>
            </w:r>
          </w:p>
        </w:tc>
        <w:tc>
          <w:tcPr>
            <w:tcW w:w="2768"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持股比例</w:t>
            </w:r>
          </w:p>
        </w:tc>
        <w:tc>
          <w:tcPr>
            <w:tcW w:w="1384"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取得方式</w:t>
            </w:r>
          </w:p>
        </w:tc>
      </w:tr>
      <w:tr>
        <w:tblPrEx>
          <w:tblLayout w:type="fixed"/>
          <w:tblCellMar>
            <w:top w:w="0" w:type="dxa"/>
            <w:left w:w="28" w:type="dxa"/>
            <w:bottom w:w="0" w:type="dxa"/>
            <w:right w:w="28" w:type="dxa"/>
          </w:tblCellMar>
        </w:tblPrEx>
        <w:tc>
          <w:tcPr>
            <w:tcW w:w="1389"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385"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384"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384"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直接</w:t>
            </w:r>
          </w:p>
        </w:tc>
        <w:tc>
          <w:tcPr>
            <w:tcW w:w="138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间接</w:t>
            </w:r>
          </w:p>
        </w:tc>
        <w:tc>
          <w:tcPr>
            <w:tcW w:w="1384"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r>
      <w:tr>
        <w:tblPrEx>
          <w:tblLayout w:type="fixed"/>
          <w:tblCellMar>
            <w:top w:w="0" w:type="dxa"/>
            <w:left w:w="28" w:type="dxa"/>
            <w:bottom w:w="0" w:type="dxa"/>
            <w:right w:w="28" w:type="dxa"/>
          </w:tblCellMar>
        </w:tblPrEx>
        <w:tc>
          <w:tcPr>
            <w:tcW w:w="13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北京海兰信船舶设备有限公司</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北京</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北京</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生产</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100.00%</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投资设立</w:t>
            </w:r>
          </w:p>
        </w:tc>
      </w:tr>
      <w:tr>
        <w:tblPrEx>
          <w:tblLayout w:type="fixed"/>
          <w:tblCellMar>
            <w:top w:w="0" w:type="dxa"/>
            <w:left w:w="28" w:type="dxa"/>
            <w:bottom w:w="0" w:type="dxa"/>
            <w:right w:w="28" w:type="dxa"/>
          </w:tblCellMar>
        </w:tblPrEx>
        <w:tc>
          <w:tcPr>
            <w:tcW w:w="13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成都海兰天澄科技股份有限公司</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成都</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成都</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生产</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51.00%</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投资设立加收购</w:t>
            </w:r>
          </w:p>
        </w:tc>
      </w:tr>
      <w:tr>
        <w:tblPrEx>
          <w:tblLayout w:type="fixed"/>
          <w:tblCellMar>
            <w:top w:w="0" w:type="dxa"/>
            <w:left w:w="28" w:type="dxa"/>
            <w:bottom w:w="0" w:type="dxa"/>
            <w:right w:w="28" w:type="dxa"/>
          </w:tblCellMar>
        </w:tblPrEx>
        <w:tc>
          <w:tcPr>
            <w:tcW w:w="13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海兰信（香港）航海科技有限公司</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北京</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香港</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贸易</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100.00%</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投资设立</w:t>
            </w:r>
          </w:p>
        </w:tc>
      </w:tr>
      <w:tr>
        <w:tblPrEx>
          <w:tblLayout w:type="fixed"/>
          <w:tblCellMar>
            <w:top w:w="0" w:type="dxa"/>
            <w:left w:w="28" w:type="dxa"/>
            <w:bottom w:w="0" w:type="dxa"/>
            <w:right w:w="28" w:type="dxa"/>
          </w:tblCellMar>
        </w:tblPrEx>
        <w:tc>
          <w:tcPr>
            <w:tcW w:w="13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北京海兰弘义科技有限公司</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北京</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北京</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服务</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100.00%</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投资设立加收购</w:t>
            </w:r>
          </w:p>
        </w:tc>
      </w:tr>
      <w:tr>
        <w:tblPrEx>
          <w:tblLayout w:type="fixed"/>
          <w:tblCellMar>
            <w:top w:w="0" w:type="dxa"/>
            <w:left w:w="28" w:type="dxa"/>
            <w:bottom w:w="0" w:type="dxa"/>
            <w:right w:w="28" w:type="dxa"/>
          </w:tblCellMar>
        </w:tblPrEx>
        <w:tc>
          <w:tcPr>
            <w:tcW w:w="13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北京海兰盈华科技有限公司</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北京</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北京</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服务</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100.00%</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投资设立</w:t>
            </w:r>
          </w:p>
        </w:tc>
      </w:tr>
      <w:tr>
        <w:tblPrEx>
          <w:tblLayout w:type="fixed"/>
          <w:tblCellMar>
            <w:top w:w="0" w:type="dxa"/>
            <w:left w:w="28" w:type="dxa"/>
            <w:bottom w:w="0" w:type="dxa"/>
            <w:right w:w="28" w:type="dxa"/>
          </w:tblCellMar>
        </w:tblPrEx>
        <w:tc>
          <w:tcPr>
            <w:tcW w:w="13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海兰盈华（香港）航海科技有限公司</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color w:val="000000"/>
                <w:sz w:val="21"/>
                <w:szCs w:val="21"/>
              </w:rPr>
              <w:t>香港</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香港</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服务</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100.00%</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投资设立</w:t>
            </w:r>
          </w:p>
        </w:tc>
      </w:tr>
      <w:tr>
        <w:tblPrEx>
          <w:tblLayout w:type="fixed"/>
          <w:tblCellMar>
            <w:top w:w="0" w:type="dxa"/>
            <w:left w:w="28" w:type="dxa"/>
            <w:bottom w:w="0" w:type="dxa"/>
            <w:right w:w="28" w:type="dxa"/>
          </w:tblCellMar>
        </w:tblPrEx>
        <w:tc>
          <w:tcPr>
            <w:tcW w:w="13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江苏海兰船舶电气系统科技有限公司</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南通</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南通</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生产</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60.00%</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投资设立</w:t>
            </w:r>
          </w:p>
        </w:tc>
      </w:tr>
      <w:tr>
        <w:tblPrEx>
          <w:tblLayout w:type="fixed"/>
          <w:tblCellMar>
            <w:top w:w="0" w:type="dxa"/>
            <w:left w:w="28" w:type="dxa"/>
            <w:bottom w:w="0" w:type="dxa"/>
            <w:right w:w="28" w:type="dxa"/>
          </w:tblCellMar>
        </w:tblPrEx>
        <w:tc>
          <w:tcPr>
            <w:tcW w:w="13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香港海兰船舶电气系统科技有限公司</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color w:val="000000"/>
                <w:sz w:val="21"/>
                <w:szCs w:val="21"/>
              </w:rPr>
              <w:t>香港</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香港</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贸易</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60.00%</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投资设立</w:t>
            </w:r>
          </w:p>
        </w:tc>
      </w:tr>
      <w:tr>
        <w:tblPrEx>
          <w:tblLayout w:type="fixed"/>
          <w:tblCellMar>
            <w:top w:w="0" w:type="dxa"/>
            <w:left w:w="28" w:type="dxa"/>
            <w:bottom w:w="0" w:type="dxa"/>
            <w:right w:w="28" w:type="dxa"/>
          </w:tblCellMar>
        </w:tblPrEx>
        <w:tc>
          <w:tcPr>
            <w:tcW w:w="13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Rockson Automation GmbH</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ascii="宋体" w:hAnsi="宋体"/>
                <w:color w:val="000000"/>
                <w:sz w:val="21"/>
                <w:szCs w:val="21"/>
              </w:rPr>
              <w:t>德国</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德国基尔</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技术服务</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30.60%</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收购</w:t>
            </w:r>
          </w:p>
        </w:tc>
      </w:tr>
      <w:tr>
        <w:tblPrEx>
          <w:tblLayout w:type="fixed"/>
          <w:tblCellMar>
            <w:top w:w="0" w:type="dxa"/>
            <w:left w:w="28" w:type="dxa"/>
            <w:bottom w:w="0" w:type="dxa"/>
            <w:right w:w="28" w:type="dxa"/>
          </w:tblCellMar>
        </w:tblPrEx>
        <w:tc>
          <w:tcPr>
            <w:tcW w:w="13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上海海兰劳雷海洋科技有限公司</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color w:val="000000"/>
                <w:sz w:val="21"/>
                <w:szCs w:val="21"/>
              </w:rPr>
              <w:t>上海</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上海</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服务</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100.00%</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收购</w:t>
            </w:r>
          </w:p>
        </w:tc>
      </w:tr>
      <w:tr>
        <w:tblPrEx>
          <w:tblLayout w:type="fixed"/>
          <w:tblCellMar>
            <w:top w:w="0" w:type="dxa"/>
            <w:left w:w="28" w:type="dxa"/>
            <w:bottom w:w="0" w:type="dxa"/>
            <w:right w:w="28" w:type="dxa"/>
          </w:tblCellMar>
        </w:tblPrEx>
        <w:tc>
          <w:tcPr>
            <w:tcW w:w="13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劳雷海洋系统有限公司</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香港</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香港</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贸易与服务</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55.00%</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收购</w:t>
            </w:r>
          </w:p>
        </w:tc>
      </w:tr>
      <w:tr>
        <w:tblPrEx>
          <w:tblLayout w:type="fixed"/>
          <w:tblCellMar>
            <w:top w:w="0" w:type="dxa"/>
            <w:left w:w="28" w:type="dxa"/>
            <w:bottom w:w="0" w:type="dxa"/>
            <w:right w:w="28" w:type="dxa"/>
          </w:tblCellMar>
        </w:tblPrEx>
        <w:tc>
          <w:tcPr>
            <w:tcW w:w="13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Summerview Company Limited</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香港</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香港</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投资与一般贸易</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55.00%</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收购</w:t>
            </w:r>
          </w:p>
        </w:tc>
      </w:tr>
      <w:tr>
        <w:tblPrEx>
          <w:tblLayout w:type="fixed"/>
          <w:tblCellMar>
            <w:top w:w="0" w:type="dxa"/>
            <w:left w:w="28" w:type="dxa"/>
            <w:bottom w:w="0" w:type="dxa"/>
            <w:right w:w="28" w:type="dxa"/>
          </w:tblCellMar>
        </w:tblPrEx>
        <w:tc>
          <w:tcPr>
            <w:tcW w:w="13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广东蓝图信息技术有限公司</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广东</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广州</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软件技术</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65.00%</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收购</w:t>
            </w:r>
          </w:p>
        </w:tc>
      </w:tr>
      <w:tr>
        <w:tblPrEx>
          <w:tblLayout w:type="fixed"/>
          <w:tblCellMar>
            <w:top w:w="0" w:type="dxa"/>
            <w:left w:w="28" w:type="dxa"/>
            <w:bottom w:w="0" w:type="dxa"/>
            <w:right w:w="28" w:type="dxa"/>
          </w:tblCellMar>
        </w:tblPrEx>
        <w:tc>
          <w:tcPr>
            <w:tcW w:w="13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北京劳雷海洋仪器有限公司</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北京</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北京</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系统集成</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55.00%</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收购</w:t>
            </w:r>
          </w:p>
        </w:tc>
      </w:tr>
      <w:tr>
        <w:tblPrEx>
          <w:tblLayout w:type="fixed"/>
          <w:tblCellMar>
            <w:top w:w="0" w:type="dxa"/>
            <w:left w:w="28" w:type="dxa"/>
            <w:bottom w:w="0" w:type="dxa"/>
            <w:right w:w="28" w:type="dxa"/>
          </w:tblCellMar>
        </w:tblPrEx>
        <w:tc>
          <w:tcPr>
            <w:tcW w:w="13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江苏海兰信船舶设备有限公司</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南通</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南通</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生产</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100.00%</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投资设立</w:t>
            </w:r>
          </w:p>
        </w:tc>
      </w:tr>
      <w:tr>
        <w:tblPrEx>
          <w:tblLayout w:type="fixed"/>
          <w:tblCellMar>
            <w:top w:w="0" w:type="dxa"/>
            <w:left w:w="28" w:type="dxa"/>
            <w:bottom w:w="0" w:type="dxa"/>
            <w:right w:w="28" w:type="dxa"/>
          </w:tblCellMar>
        </w:tblPrEx>
        <w:tc>
          <w:tcPr>
            <w:tcW w:w="13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三沙海兰信海洋信息科技有限公司</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三沙</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三沙</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服务</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100.00%</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投资设立</w:t>
            </w:r>
          </w:p>
        </w:tc>
      </w:tr>
    </w:tbl>
    <w:p>
      <w:pPr>
        <w:jc w:val="left"/>
        <w:rPr>
          <w:sz w:val="21"/>
          <w:szCs w:val="21"/>
        </w:rPr>
      </w:pPr>
      <w:r>
        <w:rPr>
          <w:rFonts w:hint="eastAsia"/>
          <w:sz w:val="21"/>
          <w:szCs w:val="21"/>
        </w:rPr>
        <w:t>在子公司的持股比例不同于表决权比例的说明：</w:t>
      </w:r>
    </w:p>
    <w:p>
      <w:pPr>
        <w:autoSpaceDE w:val="0"/>
        <w:autoSpaceDN w:val="0"/>
        <w:adjustRightInd w:val="0"/>
        <w:spacing w:before="0" w:after="0"/>
        <w:jc w:val="left"/>
        <w:rPr>
          <w:rFonts w:eastAsia="Times New Roman"/>
          <w:kern w:val="0"/>
          <w:sz w:val="21"/>
          <w:szCs w:val="21"/>
          <w:lang w:val="zh-CN"/>
        </w:rPr>
      </w:pPr>
      <w:r>
        <w:rPr>
          <w:rFonts w:hint="eastAsia" w:ascii="宋体" w:hAnsi="宋体" w:cs="宋体"/>
          <w:kern w:val="0"/>
          <w:sz w:val="21"/>
          <w:szCs w:val="21"/>
          <w:lang w:val="zh-CN"/>
        </w:rPr>
        <w:t>无</w:t>
      </w:r>
    </w:p>
    <w:p>
      <w:pPr>
        <w:jc w:val="left"/>
        <w:rPr>
          <w:sz w:val="21"/>
          <w:szCs w:val="21"/>
        </w:rPr>
      </w:pPr>
      <w:r>
        <w:rPr>
          <w:rFonts w:hint="eastAsia"/>
          <w:sz w:val="21"/>
          <w:szCs w:val="21"/>
        </w:rPr>
        <w:t>持有半数或以下表决权但仍控制被投资单位、以及持有半数以上表决权但不控制被投资单位的依据：</w:t>
      </w:r>
    </w:p>
    <w:p>
      <w:pPr>
        <w:autoSpaceDE w:val="0"/>
        <w:autoSpaceDN w:val="0"/>
        <w:adjustRightInd w:val="0"/>
        <w:spacing w:before="0" w:after="0"/>
        <w:jc w:val="left"/>
        <w:rPr>
          <w:rFonts w:eastAsia="Times New Roman"/>
          <w:kern w:val="0"/>
          <w:sz w:val="21"/>
          <w:szCs w:val="21"/>
          <w:lang w:val="zh-CN"/>
        </w:rPr>
      </w:pPr>
      <w:r>
        <w:rPr>
          <w:rFonts w:hint="eastAsia" w:ascii="宋体" w:hAnsi="宋体" w:cs="宋体"/>
          <w:kern w:val="0"/>
          <w:sz w:val="21"/>
          <w:szCs w:val="21"/>
          <w:lang w:val="zh-CN"/>
        </w:rPr>
        <w:t>无</w:t>
      </w:r>
    </w:p>
    <w:p>
      <w:pPr>
        <w:jc w:val="left"/>
        <w:rPr>
          <w:sz w:val="21"/>
          <w:szCs w:val="21"/>
        </w:rPr>
      </w:pPr>
      <w:r>
        <w:rPr>
          <w:rFonts w:hint="eastAsia"/>
          <w:sz w:val="21"/>
          <w:szCs w:val="21"/>
        </w:rPr>
        <w:t>对于纳入合并范围的重要的结构化主体，控制的依据：</w:t>
      </w:r>
    </w:p>
    <w:p>
      <w:pPr>
        <w:jc w:val="left"/>
        <w:rPr>
          <w:sz w:val="21"/>
          <w:szCs w:val="21"/>
        </w:rPr>
      </w:pPr>
      <w:r>
        <w:rPr>
          <w:rFonts w:hint="eastAsia"/>
          <w:sz w:val="21"/>
          <w:szCs w:val="21"/>
        </w:rPr>
        <w:t>确定公司是代理人还是委托人的依据：</w:t>
      </w:r>
    </w:p>
    <w:p>
      <w:pPr>
        <w:jc w:val="left"/>
        <w:rPr>
          <w:sz w:val="21"/>
          <w:szCs w:val="21"/>
        </w:rPr>
      </w:pPr>
      <w:r>
        <w:rPr>
          <w:rFonts w:hint="eastAsia"/>
          <w:sz w:val="21"/>
          <w:szCs w:val="21"/>
        </w:rPr>
        <w:t>其他说明：</w:t>
      </w:r>
    </w:p>
    <w:p>
      <w:pPr>
        <w:pStyle w:val="11"/>
        <w:outlineLvl w:val="3"/>
        <w:rPr>
          <w:bCs w:val="0"/>
          <w:szCs w:val="24"/>
        </w:rPr>
      </w:pPr>
      <w:r>
        <w:rPr>
          <w:rFonts w:hint="eastAsia"/>
          <w:bCs w:val="0"/>
          <w:szCs w:val="24"/>
        </w:rPr>
        <w:t>（</w:t>
      </w:r>
      <w:r>
        <w:rPr>
          <w:bCs w:val="0"/>
          <w:szCs w:val="24"/>
        </w:rPr>
        <w:t>2</w:t>
      </w:r>
      <w:r>
        <w:rPr>
          <w:rFonts w:hint="eastAsia"/>
          <w:bCs w:val="0"/>
          <w:szCs w:val="24"/>
        </w:rPr>
        <w:t>）重要的非全资子公司</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570" w:type="dxa"/>
        <w:tblInd w:w="28" w:type="dxa"/>
        <w:tblLayout w:type="fixed"/>
        <w:tblCellMar>
          <w:top w:w="0" w:type="dxa"/>
          <w:left w:w="28" w:type="dxa"/>
          <w:bottom w:w="0" w:type="dxa"/>
          <w:right w:w="28" w:type="dxa"/>
        </w:tblCellMar>
      </w:tblPr>
      <w:tblGrid>
        <w:gridCol w:w="1916"/>
        <w:gridCol w:w="1914"/>
        <w:gridCol w:w="1914"/>
        <w:gridCol w:w="1913"/>
        <w:gridCol w:w="1913"/>
      </w:tblGrid>
      <w:tr>
        <w:tblPrEx>
          <w:tblLayout w:type="fixed"/>
          <w:tblCellMar>
            <w:top w:w="0" w:type="dxa"/>
            <w:left w:w="28" w:type="dxa"/>
            <w:bottom w:w="0" w:type="dxa"/>
            <w:right w:w="28" w:type="dxa"/>
          </w:tblCellMar>
        </w:tblPrEx>
        <w:trPr>
          <w:trHeight w:val="352" w:hRule="atLeast"/>
        </w:trPr>
        <w:tc>
          <w:tcPr>
            <w:tcW w:w="1916"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子公司名称</w:t>
            </w:r>
          </w:p>
        </w:tc>
        <w:tc>
          <w:tcPr>
            <w:tcW w:w="1914"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少数股东持股比例</w:t>
            </w:r>
          </w:p>
        </w:tc>
        <w:tc>
          <w:tcPr>
            <w:tcW w:w="1914"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本期归属于少数股东的损益</w:t>
            </w:r>
          </w:p>
        </w:tc>
        <w:tc>
          <w:tcPr>
            <w:tcW w:w="1913"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本期向少数股东宣告分派的股利</w:t>
            </w:r>
          </w:p>
        </w:tc>
        <w:tc>
          <w:tcPr>
            <w:tcW w:w="1913"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期末少数股东权益余额</w:t>
            </w:r>
          </w:p>
        </w:tc>
      </w:tr>
      <w:tr>
        <w:tblPrEx>
          <w:tblLayout w:type="fixed"/>
          <w:tblCellMar>
            <w:top w:w="0" w:type="dxa"/>
            <w:left w:w="28" w:type="dxa"/>
            <w:bottom w:w="0" w:type="dxa"/>
            <w:right w:w="28" w:type="dxa"/>
          </w:tblCellMar>
        </w:tblPrEx>
        <w:trPr>
          <w:trHeight w:val="392" w:hRule="atLeast"/>
        </w:trPr>
        <w:tc>
          <w:tcPr>
            <w:tcW w:w="1916" w:type="dxa"/>
            <w:vMerge w:val="continue"/>
            <w:tcBorders>
              <w:top w:val="single" w:color="auto" w:sz="4" w:space="0"/>
              <w:left w:val="single" w:color="auto" w:sz="4" w:space="0"/>
              <w:bottom w:val="single" w:color="auto" w:sz="4" w:space="0"/>
              <w:right w:val="single" w:color="auto" w:sz="4" w:space="0"/>
            </w:tcBorders>
            <w:vAlign w:val="center"/>
          </w:tcPr>
          <w:p>
            <w:pPr>
              <w:rPr>
                <w:sz w:val="21"/>
                <w:szCs w:val="21"/>
              </w:rPr>
            </w:pPr>
          </w:p>
        </w:tc>
        <w:tc>
          <w:tcPr>
            <w:tcW w:w="1914" w:type="dxa"/>
            <w:vMerge w:val="continue"/>
            <w:tcBorders>
              <w:top w:val="single" w:color="auto" w:sz="4" w:space="0"/>
              <w:left w:val="single" w:color="auto" w:sz="4" w:space="0"/>
              <w:bottom w:val="single" w:color="auto" w:sz="4" w:space="0"/>
              <w:right w:val="single" w:color="auto" w:sz="4" w:space="0"/>
            </w:tcBorders>
            <w:vAlign w:val="center"/>
          </w:tcPr>
          <w:p>
            <w:pPr>
              <w:rPr>
                <w:sz w:val="21"/>
                <w:szCs w:val="21"/>
              </w:rPr>
            </w:pPr>
          </w:p>
        </w:tc>
        <w:tc>
          <w:tcPr>
            <w:tcW w:w="1914" w:type="dxa"/>
            <w:vMerge w:val="continue"/>
            <w:tcBorders>
              <w:top w:val="single" w:color="auto" w:sz="4" w:space="0"/>
              <w:left w:val="single" w:color="auto" w:sz="4" w:space="0"/>
              <w:bottom w:val="single" w:color="auto" w:sz="4" w:space="0"/>
              <w:right w:val="single" w:color="auto" w:sz="4" w:space="0"/>
            </w:tcBorders>
            <w:vAlign w:val="center"/>
          </w:tcPr>
          <w:p>
            <w:pPr>
              <w:rPr>
                <w:sz w:val="21"/>
                <w:szCs w:val="21"/>
              </w:rPr>
            </w:pPr>
          </w:p>
        </w:tc>
        <w:tc>
          <w:tcPr>
            <w:tcW w:w="1913" w:type="dxa"/>
            <w:vMerge w:val="continue"/>
            <w:tcBorders>
              <w:top w:val="single" w:color="auto" w:sz="4" w:space="0"/>
              <w:left w:val="single" w:color="auto" w:sz="4" w:space="0"/>
              <w:bottom w:val="single" w:color="auto" w:sz="4" w:space="0"/>
              <w:right w:val="single" w:color="auto" w:sz="4" w:space="0"/>
            </w:tcBorders>
            <w:vAlign w:val="center"/>
          </w:tcPr>
          <w:p>
            <w:pPr>
              <w:rPr>
                <w:sz w:val="21"/>
                <w:szCs w:val="21"/>
              </w:rPr>
            </w:pPr>
          </w:p>
        </w:tc>
        <w:tc>
          <w:tcPr>
            <w:tcW w:w="1913" w:type="dxa"/>
            <w:vMerge w:val="continue"/>
            <w:tcBorders>
              <w:top w:val="single" w:color="auto" w:sz="4" w:space="0"/>
              <w:left w:val="single" w:color="auto" w:sz="4" w:space="0"/>
              <w:bottom w:val="single" w:color="auto" w:sz="4" w:space="0"/>
              <w:right w:val="single" w:color="auto" w:sz="4" w:space="0"/>
            </w:tcBorders>
            <w:vAlign w:val="center"/>
          </w:tcPr>
          <w:p>
            <w:pPr>
              <w:rPr>
                <w:sz w:val="21"/>
                <w:szCs w:val="21"/>
              </w:rPr>
            </w:pPr>
          </w:p>
        </w:tc>
      </w:tr>
      <w:tr>
        <w:tblPrEx>
          <w:tblLayout w:type="fixed"/>
          <w:tblCellMar>
            <w:top w:w="0" w:type="dxa"/>
            <w:left w:w="28" w:type="dxa"/>
            <w:bottom w:w="0" w:type="dxa"/>
            <w:right w:w="28" w:type="dxa"/>
          </w:tblCellMar>
        </w:tblPrEx>
        <w:tc>
          <w:tcPr>
            <w:tcW w:w="191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成都海兰天澄科技股份有限公司</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49.00%</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-109,694.86</w:t>
            </w:r>
          </w:p>
        </w:tc>
        <w:tc>
          <w:tcPr>
            <w:tcW w:w="191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91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7,575,379.74</w:t>
            </w:r>
          </w:p>
        </w:tc>
      </w:tr>
      <w:tr>
        <w:tblPrEx>
          <w:tblLayout w:type="fixed"/>
          <w:tblCellMar>
            <w:top w:w="0" w:type="dxa"/>
            <w:left w:w="28" w:type="dxa"/>
            <w:bottom w:w="0" w:type="dxa"/>
            <w:right w:w="28" w:type="dxa"/>
          </w:tblCellMar>
        </w:tblPrEx>
        <w:tc>
          <w:tcPr>
            <w:tcW w:w="191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江苏海兰船舶电气系统科技有限公司</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40.00%</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1,448,890.03</w:t>
            </w:r>
          </w:p>
        </w:tc>
        <w:tc>
          <w:tcPr>
            <w:tcW w:w="191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51,422.70</w:t>
            </w:r>
          </w:p>
        </w:tc>
        <w:tc>
          <w:tcPr>
            <w:tcW w:w="191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46,478,683.78</w:t>
            </w:r>
          </w:p>
        </w:tc>
      </w:tr>
      <w:tr>
        <w:tblPrEx>
          <w:tblLayout w:type="fixed"/>
          <w:tblCellMar>
            <w:top w:w="0" w:type="dxa"/>
            <w:left w:w="28" w:type="dxa"/>
            <w:bottom w:w="0" w:type="dxa"/>
            <w:right w:w="28" w:type="dxa"/>
          </w:tblCellMar>
        </w:tblPrEx>
        <w:tc>
          <w:tcPr>
            <w:tcW w:w="191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劳雷海洋系统有限公司</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45.00%</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22,615,779.78</w:t>
            </w:r>
          </w:p>
        </w:tc>
        <w:tc>
          <w:tcPr>
            <w:tcW w:w="191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23,085,000.00</w:t>
            </w:r>
          </w:p>
        </w:tc>
        <w:tc>
          <w:tcPr>
            <w:tcW w:w="191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82,576,740.96</w:t>
            </w:r>
          </w:p>
        </w:tc>
      </w:tr>
      <w:tr>
        <w:tblPrEx>
          <w:tblLayout w:type="fixed"/>
          <w:tblCellMar>
            <w:top w:w="0" w:type="dxa"/>
            <w:left w:w="28" w:type="dxa"/>
            <w:bottom w:w="0" w:type="dxa"/>
            <w:right w:w="28" w:type="dxa"/>
          </w:tblCellMar>
        </w:tblPrEx>
        <w:tc>
          <w:tcPr>
            <w:tcW w:w="191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Summerview Company Limited</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45.00%</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1,289,508.32</w:t>
            </w:r>
          </w:p>
        </w:tc>
        <w:tc>
          <w:tcPr>
            <w:tcW w:w="191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91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31,799,616.18</w:t>
            </w:r>
          </w:p>
        </w:tc>
      </w:tr>
      <w:tr>
        <w:tblPrEx>
          <w:tblLayout w:type="fixed"/>
          <w:tblCellMar>
            <w:top w:w="0" w:type="dxa"/>
            <w:left w:w="28" w:type="dxa"/>
            <w:bottom w:w="0" w:type="dxa"/>
            <w:right w:w="28" w:type="dxa"/>
          </w:tblCellMar>
        </w:tblPrEx>
        <w:tc>
          <w:tcPr>
            <w:tcW w:w="191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广东蓝图信息技术有限公司</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35.00%</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3,582,242.72</w:t>
            </w:r>
          </w:p>
        </w:tc>
        <w:tc>
          <w:tcPr>
            <w:tcW w:w="191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91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6,088,069.21</w:t>
            </w:r>
          </w:p>
        </w:tc>
      </w:tr>
      <w:tr>
        <w:tblPrEx>
          <w:tblLayout w:type="fixed"/>
          <w:tblCellMar>
            <w:top w:w="0" w:type="dxa"/>
            <w:left w:w="28" w:type="dxa"/>
            <w:bottom w:w="0" w:type="dxa"/>
            <w:right w:w="28" w:type="dxa"/>
          </w:tblCellMar>
        </w:tblPrEx>
        <w:tc>
          <w:tcPr>
            <w:tcW w:w="191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合计</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28,826,725.99</w:t>
            </w:r>
          </w:p>
        </w:tc>
        <w:tc>
          <w:tcPr>
            <w:tcW w:w="191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23,136,422.70</w:t>
            </w:r>
          </w:p>
        </w:tc>
        <w:tc>
          <w:tcPr>
            <w:tcW w:w="191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174,518,489.87</w:t>
            </w:r>
          </w:p>
        </w:tc>
      </w:tr>
    </w:tbl>
    <w:p>
      <w:pPr>
        <w:jc w:val="left"/>
        <w:rPr>
          <w:sz w:val="21"/>
          <w:szCs w:val="21"/>
        </w:rPr>
      </w:pPr>
      <w:r>
        <w:rPr>
          <w:rFonts w:hint="eastAsia"/>
          <w:sz w:val="21"/>
          <w:szCs w:val="21"/>
        </w:rPr>
        <w:t>子公司少数股东的持股比例不同于表决权比例的说明：</w:t>
      </w:r>
    </w:p>
    <w:p>
      <w:pPr>
        <w:jc w:val="left"/>
        <w:rPr>
          <w:sz w:val="21"/>
          <w:szCs w:val="21"/>
        </w:rPr>
      </w:pPr>
      <w:r>
        <w:rPr>
          <w:rFonts w:hint="eastAsia"/>
          <w:sz w:val="21"/>
          <w:szCs w:val="21"/>
        </w:rPr>
        <w:t>其他说明：</w:t>
      </w:r>
    </w:p>
    <w:p>
      <w:pPr>
        <w:pStyle w:val="11"/>
        <w:outlineLvl w:val="3"/>
        <w:rPr>
          <w:bCs w:val="0"/>
          <w:szCs w:val="24"/>
        </w:rPr>
      </w:pPr>
      <w:r>
        <w:rPr>
          <w:rFonts w:hint="eastAsia"/>
          <w:bCs w:val="0"/>
          <w:szCs w:val="24"/>
        </w:rPr>
        <w:t>（</w:t>
      </w:r>
      <w:r>
        <w:rPr>
          <w:bCs w:val="0"/>
          <w:szCs w:val="24"/>
        </w:rPr>
        <w:t>3</w:t>
      </w:r>
      <w:r>
        <w:rPr>
          <w:rFonts w:hint="eastAsia"/>
          <w:bCs w:val="0"/>
          <w:szCs w:val="24"/>
        </w:rPr>
        <w:t>）重要非全资子公司的主要财务信息</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694" w:type="dxa"/>
        <w:tblInd w:w="0" w:type="dxa"/>
        <w:tblLayout w:type="fixed"/>
        <w:tblCellMar>
          <w:top w:w="0" w:type="dxa"/>
          <w:left w:w="28" w:type="dxa"/>
          <w:bottom w:w="0" w:type="dxa"/>
          <w:right w:w="28" w:type="dxa"/>
        </w:tblCellMar>
      </w:tblPr>
      <w:tblGrid>
        <w:gridCol w:w="1016"/>
        <w:gridCol w:w="776"/>
        <w:gridCol w:w="686"/>
        <w:gridCol w:w="776"/>
        <w:gridCol w:w="776"/>
        <w:gridCol w:w="649"/>
        <w:gridCol w:w="770"/>
        <w:gridCol w:w="776"/>
        <w:gridCol w:w="686"/>
        <w:gridCol w:w="776"/>
        <w:gridCol w:w="686"/>
        <w:gridCol w:w="635"/>
        <w:gridCol w:w="686"/>
      </w:tblGrid>
      <w:tr>
        <w:tblPrEx>
          <w:tblLayout w:type="fixed"/>
          <w:tblCellMar>
            <w:top w:w="0" w:type="dxa"/>
            <w:left w:w="28" w:type="dxa"/>
            <w:bottom w:w="0" w:type="dxa"/>
            <w:right w:w="28" w:type="dxa"/>
          </w:tblCellMar>
        </w:tblPrEx>
        <w:tc>
          <w:tcPr>
            <w:tcW w:w="1016"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子公司名称</w:t>
            </w:r>
          </w:p>
        </w:tc>
        <w:tc>
          <w:tcPr>
            <w:tcW w:w="4433" w:type="dxa"/>
            <w:gridSpan w:val="6"/>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c>
          <w:tcPr>
            <w:tcW w:w="4245" w:type="dxa"/>
            <w:gridSpan w:val="6"/>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期初余额</w:t>
            </w:r>
          </w:p>
        </w:tc>
      </w:tr>
      <w:tr>
        <w:tblPrEx>
          <w:tblLayout w:type="fixed"/>
          <w:tblCellMar>
            <w:top w:w="0" w:type="dxa"/>
            <w:left w:w="28" w:type="dxa"/>
            <w:bottom w:w="0" w:type="dxa"/>
            <w:right w:w="28" w:type="dxa"/>
          </w:tblCellMar>
        </w:tblPrEx>
        <w:tc>
          <w:tcPr>
            <w:tcW w:w="1016"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77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流动资产</w:t>
            </w:r>
          </w:p>
        </w:tc>
        <w:tc>
          <w:tcPr>
            <w:tcW w:w="68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非流动资产</w:t>
            </w:r>
          </w:p>
        </w:tc>
        <w:tc>
          <w:tcPr>
            <w:tcW w:w="77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资产合计</w:t>
            </w:r>
          </w:p>
        </w:tc>
        <w:tc>
          <w:tcPr>
            <w:tcW w:w="77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流动负债</w:t>
            </w:r>
          </w:p>
        </w:tc>
        <w:tc>
          <w:tcPr>
            <w:tcW w:w="64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非流动负债</w:t>
            </w:r>
          </w:p>
        </w:tc>
        <w:tc>
          <w:tcPr>
            <w:tcW w:w="77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负债合计</w:t>
            </w:r>
          </w:p>
        </w:tc>
        <w:tc>
          <w:tcPr>
            <w:tcW w:w="77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流动资产</w:t>
            </w:r>
          </w:p>
        </w:tc>
        <w:tc>
          <w:tcPr>
            <w:tcW w:w="68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非流动资产</w:t>
            </w:r>
          </w:p>
        </w:tc>
        <w:tc>
          <w:tcPr>
            <w:tcW w:w="77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资产合计</w:t>
            </w:r>
          </w:p>
        </w:tc>
        <w:tc>
          <w:tcPr>
            <w:tcW w:w="68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流动负债</w:t>
            </w:r>
          </w:p>
        </w:tc>
        <w:tc>
          <w:tcPr>
            <w:tcW w:w="63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非流动负债</w:t>
            </w:r>
          </w:p>
        </w:tc>
        <w:tc>
          <w:tcPr>
            <w:tcW w:w="68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负债合计</w:t>
            </w:r>
          </w:p>
        </w:tc>
      </w:tr>
      <w:tr>
        <w:tblPrEx>
          <w:tblLayout w:type="fixed"/>
          <w:tblCellMar>
            <w:top w:w="0" w:type="dxa"/>
            <w:left w:w="28" w:type="dxa"/>
            <w:bottom w:w="0" w:type="dxa"/>
            <w:right w:w="28" w:type="dxa"/>
          </w:tblCellMar>
        </w:tblPrEx>
        <w:tc>
          <w:tcPr>
            <w:tcW w:w="101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成都海兰天澄科技股份有限公司</w:t>
            </w:r>
          </w:p>
        </w:tc>
        <w:tc>
          <w:tcPr>
            <w:tcW w:w="7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4,152.04</w:t>
            </w:r>
          </w:p>
        </w:tc>
        <w:tc>
          <w:tcPr>
            <w:tcW w:w="68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1,031.63</w:t>
            </w:r>
          </w:p>
        </w:tc>
        <w:tc>
          <w:tcPr>
            <w:tcW w:w="7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5,183.67</w:t>
            </w:r>
          </w:p>
        </w:tc>
        <w:tc>
          <w:tcPr>
            <w:tcW w:w="7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3,637.67</w:t>
            </w:r>
          </w:p>
        </w:tc>
        <w:tc>
          <w:tcPr>
            <w:tcW w:w="64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p>
        </w:tc>
        <w:tc>
          <w:tcPr>
            <w:tcW w:w="77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3,637.67</w:t>
            </w:r>
          </w:p>
        </w:tc>
        <w:tc>
          <w:tcPr>
            <w:tcW w:w="7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4,394.65</w:t>
            </w:r>
          </w:p>
        </w:tc>
        <w:tc>
          <w:tcPr>
            <w:tcW w:w="68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1,011.22</w:t>
            </w:r>
          </w:p>
        </w:tc>
        <w:tc>
          <w:tcPr>
            <w:tcW w:w="7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5,405.87</w:t>
            </w:r>
          </w:p>
        </w:tc>
        <w:tc>
          <w:tcPr>
            <w:tcW w:w="68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3,819.02</w:t>
            </w:r>
          </w:p>
        </w:tc>
        <w:tc>
          <w:tcPr>
            <w:tcW w:w="63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18.46</w:t>
            </w:r>
          </w:p>
        </w:tc>
        <w:tc>
          <w:tcPr>
            <w:tcW w:w="68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3,837.48</w:t>
            </w:r>
          </w:p>
        </w:tc>
      </w:tr>
      <w:tr>
        <w:tblPrEx>
          <w:tblLayout w:type="fixed"/>
          <w:tblCellMar>
            <w:top w:w="0" w:type="dxa"/>
            <w:left w:w="28" w:type="dxa"/>
            <w:bottom w:w="0" w:type="dxa"/>
            <w:right w:w="28" w:type="dxa"/>
          </w:tblCellMar>
        </w:tblPrEx>
        <w:tc>
          <w:tcPr>
            <w:tcW w:w="101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江苏海兰船舶电气系统科技有限公司</w:t>
            </w:r>
          </w:p>
        </w:tc>
        <w:tc>
          <w:tcPr>
            <w:tcW w:w="7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7,525.51</w:t>
            </w:r>
          </w:p>
        </w:tc>
        <w:tc>
          <w:tcPr>
            <w:tcW w:w="68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8,828.33</w:t>
            </w:r>
          </w:p>
        </w:tc>
        <w:tc>
          <w:tcPr>
            <w:tcW w:w="7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16,353.84</w:t>
            </w:r>
          </w:p>
        </w:tc>
        <w:tc>
          <w:tcPr>
            <w:tcW w:w="7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3,992.31</w:t>
            </w:r>
          </w:p>
        </w:tc>
        <w:tc>
          <w:tcPr>
            <w:tcW w:w="64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888.76</w:t>
            </w:r>
          </w:p>
        </w:tc>
        <w:tc>
          <w:tcPr>
            <w:tcW w:w="77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4,881.07</w:t>
            </w:r>
          </w:p>
        </w:tc>
        <w:tc>
          <w:tcPr>
            <w:tcW w:w="7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8,507.50</w:t>
            </w:r>
          </w:p>
        </w:tc>
        <w:tc>
          <w:tcPr>
            <w:tcW w:w="68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7,102.25</w:t>
            </w:r>
          </w:p>
        </w:tc>
        <w:tc>
          <w:tcPr>
            <w:tcW w:w="7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15,609.75</w:t>
            </w:r>
          </w:p>
        </w:tc>
        <w:tc>
          <w:tcPr>
            <w:tcW w:w="68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4,173.90</w:t>
            </w:r>
          </w:p>
        </w:tc>
        <w:tc>
          <w:tcPr>
            <w:tcW w:w="63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716.85</w:t>
            </w:r>
          </w:p>
        </w:tc>
        <w:tc>
          <w:tcPr>
            <w:tcW w:w="68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4,890.75</w:t>
            </w:r>
          </w:p>
        </w:tc>
      </w:tr>
      <w:tr>
        <w:tblPrEx>
          <w:tblLayout w:type="fixed"/>
          <w:tblCellMar>
            <w:top w:w="0" w:type="dxa"/>
            <w:left w:w="28" w:type="dxa"/>
            <w:bottom w:w="0" w:type="dxa"/>
            <w:right w:w="28" w:type="dxa"/>
          </w:tblCellMar>
        </w:tblPrEx>
        <w:tc>
          <w:tcPr>
            <w:tcW w:w="101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劳雷海洋系统有限公司</w:t>
            </w:r>
          </w:p>
        </w:tc>
        <w:tc>
          <w:tcPr>
            <w:tcW w:w="7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25,913.74</w:t>
            </w:r>
          </w:p>
        </w:tc>
        <w:tc>
          <w:tcPr>
            <w:tcW w:w="68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176.60</w:t>
            </w:r>
          </w:p>
        </w:tc>
        <w:tc>
          <w:tcPr>
            <w:tcW w:w="7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26,090.33</w:t>
            </w:r>
          </w:p>
        </w:tc>
        <w:tc>
          <w:tcPr>
            <w:tcW w:w="7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10,752.44</w:t>
            </w:r>
          </w:p>
        </w:tc>
        <w:tc>
          <w:tcPr>
            <w:tcW w:w="64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254.60</w:t>
            </w:r>
          </w:p>
        </w:tc>
        <w:tc>
          <w:tcPr>
            <w:tcW w:w="77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11,007.04</w:t>
            </w:r>
          </w:p>
        </w:tc>
        <w:tc>
          <w:tcPr>
            <w:tcW w:w="7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22,064.02</w:t>
            </w:r>
          </w:p>
        </w:tc>
        <w:tc>
          <w:tcPr>
            <w:tcW w:w="68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296.19</w:t>
            </w:r>
          </w:p>
        </w:tc>
        <w:tc>
          <w:tcPr>
            <w:tcW w:w="7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22,360.21</w:t>
            </w:r>
          </w:p>
        </w:tc>
        <w:tc>
          <w:tcPr>
            <w:tcW w:w="68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7,638.63</w:t>
            </w:r>
          </w:p>
        </w:tc>
        <w:tc>
          <w:tcPr>
            <w:tcW w:w="63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p>
        </w:tc>
        <w:tc>
          <w:tcPr>
            <w:tcW w:w="68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7,638.63</w:t>
            </w:r>
          </w:p>
        </w:tc>
      </w:tr>
      <w:tr>
        <w:tblPrEx>
          <w:tblLayout w:type="fixed"/>
          <w:tblCellMar>
            <w:top w:w="0" w:type="dxa"/>
            <w:left w:w="28" w:type="dxa"/>
            <w:bottom w:w="0" w:type="dxa"/>
            <w:right w:w="28" w:type="dxa"/>
          </w:tblCellMar>
        </w:tblPrEx>
        <w:tc>
          <w:tcPr>
            <w:tcW w:w="101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t>Summerview Company Limited</w:t>
            </w:r>
          </w:p>
        </w:tc>
        <w:tc>
          <w:tcPr>
            <w:tcW w:w="7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7,871.64</w:t>
            </w:r>
          </w:p>
        </w:tc>
        <w:tc>
          <w:tcPr>
            <w:tcW w:w="68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328.02</w:t>
            </w:r>
          </w:p>
        </w:tc>
        <w:tc>
          <w:tcPr>
            <w:tcW w:w="7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8,199.66</w:t>
            </w:r>
          </w:p>
        </w:tc>
        <w:tc>
          <w:tcPr>
            <w:tcW w:w="7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6,820.81</w:t>
            </w:r>
          </w:p>
        </w:tc>
        <w:tc>
          <w:tcPr>
            <w:tcW w:w="64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p>
        </w:tc>
        <w:tc>
          <w:tcPr>
            <w:tcW w:w="77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6,820.81</w:t>
            </w:r>
          </w:p>
        </w:tc>
        <w:tc>
          <w:tcPr>
            <w:tcW w:w="7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7,922.81</w:t>
            </w:r>
          </w:p>
        </w:tc>
        <w:tc>
          <w:tcPr>
            <w:tcW w:w="68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494.37</w:t>
            </w:r>
          </w:p>
        </w:tc>
        <w:tc>
          <w:tcPr>
            <w:tcW w:w="7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8,417.18</w:t>
            </w:r>
          </w:p>
        </w:tc>
        <w:tc>
          <w:tcPr>
            <w:tcW w:w="68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7,121.97</w:t>
            </w:r>
          </w:p>
        </w:tc>
        <w:tc>
          <w:tcPr>
            <w:tcW w:w="63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198.83</w:t>
            </w:r>
          </w:p>
        </w:tc>
        <w:tc>
          <w:tcPr>
            <w:tcW w:w="68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7,320.80</w:t>
            </w:r>
          </w:p>
        </w:tc>
      </w:tr>
      <w:tr>
        <w:tblPrEx>
          <w:tblLayout w:type="fixed"/>
          <w:tblCellMar>
            <w:top w:w="0" w:type="dxa"/>
            <w:left w:w="28" w:type="dxa"/>
            <w:bottom w:w="0" w:type="dxa"/>
            <w:right w:w="28" w:type="dxa"/>
          </w:tblCellMar>
        </w:tblPrEx>
        <w:tc>
          <w:tcPr>
            <w:tcW w:w="101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广东蓝图信息技术有限公司</w:t>
            </w:r>
          </w:p>
        </w:tc>
        <w:tc>
          <w:tcPr>
            <w:tcW w:w="7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4,152.46</w:t>
            </w:r>
          </w:p>
        </w:tc>
        <w:tc>
          <w:tcPr>
            <w:tcW w:w="68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80.24</w:t>
            </w:r>
          </w:p>
        </w:tc>
        <w:tc>
          <w:tcPr>
            <w:tcW w:w="7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4,232.70</w:t>
            </w:r>
          </w:p>
        </w:tc>
        <w:tc>
          <w:tcPr>
            <w:tcW w:w="7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2,493.25</w:t>
            </w:r>
          </w:p>
        </w:tc>
        <w:tc>
          <w:tcPr>
            <w:tcW w:w="64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p>
        </w:tc>
        <w:tc>
          <w:tcPr>
            <w:tcW w:w="77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2,493.25</w:t>
            </w:r>
          </w:p>
        </w:tc>
        <w:tc>
          <w:tcPr>
            <w:tcW w:w="7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p>
        </w:tc>
        <w:tc>
          <w:tcPr>
            <w:tcW w:w="68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p>
        </w:tc>
        <w:tc>
          <w:tcPr>
            <w:tcW w:w="7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p>
        </w:tc>
        <w:tc>
          <w:tcPr>
            <w:tcW w:w="68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p>
        </w:tc>
        <w:tc>
          <w:tcPr>
            <w:tcW w:w="63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p>
        </w:tc>
        <w:tc>
          <w:tcPr>
            <w:tcW w:w="68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p>
        </w:tc>
      </w:tr>
    </w:tbl>
    <w:p>
      <w:pPr>
        <w:jc w:val="right"/>
        <w:rPr>
          <w:szCs w:val="24"/>
        </w:rPr>
      </w:pPr>
      <w:r>
        <w:rPr>
          <w:rFonts w:hint="eastAsia"/>
          <w:szCs w:val="24"/>
        </w:rPr>
        <w:t>单位：</w:t>
      </w:r>
      <w:r>
        <w:rPr>
          <w:szCs w:val="24"/>
        </w:rPr>
        <w:t xml:space="preserve"> </w:t>
      </w:r>
      <w:r>
        <w:rPr>
          <w:rFonts w:hint="eastAsia"/>
          <w:szCs w:val="24"/>
        </w:rPr>
        <w:t>元</w:t>
      </w:r>
    </w:p>
    <w:tbl>
      <w:tblPr>
        <w:tblStyle w:val="8"/>
        <w:tblW w:w="9694" w:type="dxa"/>
        <w:tblInd w:w="0" w:type="dxa"/>
        <w:tblLayout w:type="fixed"/>
        <w:tblCellMar>
          <w:top w:w="0" w:type="dxa"/>
          <w:left w:w="28" w:type="dxa"/>
          <w:bottom w:w="0" w:type="dxa"/>
          <w:right w:w="28" w:type="dxa"/>
        </w:tblCellMar>
      </w:tblPr>
      <w:tblGrid>
        <w:gridCol w:w="1075"/>
        <w:gridCol w:w="1075"/>
        <w:gridCol w:w="1076"/>
        <w:gridCol w:w="1078"/>
        <w:gridCol w:w="1080"/>
        <w:gridCol w:w="1076"/>
        <w:gridCol w:w="1076"/>
        <w:gridCol w:w="1076"/>
        <w:gridCol w:w="1082"/>
      </w:tblGrid>
      <w:tr>
        <w:tblPrEx>
          <w:tblLayout w:type="fixed"/>
          <w:tblCellMar>
            <w:top w:w="0" w:type="dxa"/>
            <w:left w:w="28" w:type="dxa"/>
            <w:bottom w:w="0" w:type="dxa"/>
            <w:right w:w="28" w:type="dxa"/>
          </w:tblCellMar>
        </w:tblPrEx>
        <w:tc>
          <w:tcPr>
            <w:tcW w:w="1075"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子公司名称</w:t>
            </w:r>
          </w:p>
        </w:tc>
        <w:tc>
          <w:tcPr>
            <w:tcW w:w="4309" w:type="dxa"/>
            <w:gridSpan w:val="4"/>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本期发生额</w:t>
            </w:r>
          </w:p>
        </w:tc>
        <w:tc>
          <w:tcPr>
            <w:tcW w:w="4310" w:type="dxa"/>
            <w:gridSpan w:val="4"/>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上期发生额</w:t>
            </w:r>
          </w:p>
        </w:tc>
      </w:tr>
      <w:tr>
        <w:tblPrEx>
          <w:tblLayout w:type="fixed"/>
          <w:tblCellMar>
            <w:top w:w="0" w:type="dxa"/>
            <w:left w:w="28" w:type="dxa"/>
            <w:bottom w:w="0" w:type="dxa"/>
            <w:right w:w="28" w:type="dxa"/>
          </w:tblCellMar>
        </w:tblPrEx>
        <w:tc>
          <w:tcPr>
            <w:tcW w:w="1075"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07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营业收入</w:t>
            </w:r>
          </w:p>
        </w:tc>
        <w:tc>
          <w:tcPr>
            <w:tcW w:w="107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净利润</w:t>
            </w:r>
          </w:p>
        </w:tc>
        <w:tc>
          <w:tcPr>
            <w:tcW w:w="1078"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综合收益总额</w:t>
            </w:r>
          </w:p>
        </w:tc>
        <w:tc>
          <w:tcPr>
            <w:tcW w:w="108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经营活动现金流量</w:t>
            </w:r>
          </w:p>
        </w:tc>
        <w:tc>
          <w:tcPr>
            <w:tcW w:w="107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营业收入</w:t>
            </w:r>
          </w:p>
        </w:tc>
        <w:tc>
          <w:tcPr>
            <w:tcW w:w="107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净利润</w:t>
            </w:r>
          </w:p>
        </w:tc>
        <w:tc>
          <w:tcPr>
            <w:tcW w:w="107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综合收益总额</w:t>
            </w:r>
          </w:p>
        </w:tc>
        <w:tc>
          <w:tcPr>
            <w:tcW w:w="108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经营活动现金流量</w:t>
            </w:r>
          </w:p>
        </w:tc>
      </w:tr>
      <w:tr>
        <w:tblPrEx>
          <w:tblLayout w:type="fixed"/>
          <w:tblCellMar>
            <w:top w:w="0" w:type="dxa"/>
            <w:left w:w="28" w:type="dxa"/>
            <w:bottom w:w="0" w:type="dxa"/>
            <w:right w:w="28" w:type="dxa"/>
          </w:tblCellMar>
        </w:tblPrEx>
        <w:tc>
          <w:tcPr>
            <w:tcW w:w="107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成都海兰天澄科技股份有限公司</w:t>
            </w:r>
          </w:p>
        </w:tc>
        <w:tc>
          <w:tcPr>
            <w:tcW w:w="10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2,272.75</w:t>
            </w:r>
          </w:p>
        </w:tc>
        <w:tc>
          <w:tcPr>
            <w:tcW w:w="10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-22.39</w:t>
            </w:r>
          </w:p>
        </w:tc>
        <w:tc>
          <w:tcPr>
            <w:tcW w:w="10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-22.39</w:t>
            </w:r>
          </w:p>
        </w:tc>
        <w:tc>
          <w:tcPr>
            <w:tcW w:w="10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168.44</w:t>
            </w:r>
          </w:p>
        </w:tc>
        <w:tc>
          <w:tcPr>
            <w:tcW w:w="10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2,324.47</w:t>
            </w:r>
          </w:p>
        </w:tc>
        <w:tc>
          <w:tcPr>
            <w:tcW w:w="10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-221.36</w:t>
            </w:r>
          </w:p>
        </w:tc>
        <w:tc>
          <w:tcPr>
            <w:tcW w:w="10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-221.36</w:t>
            </w:r>
          </w:p>
        </w:tc>
        <w:tc>
          <w:tcPr>
            <w:tcW w:w="108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475.40</w:t>
            </w:r>
          </w:p>
        </w:tc>
      </w:tr>
      <w:tr>
        <w:tblPrEx>
          <w:tblLayout w:type="fixed"/>
          <w:tblCellMar>
            <w:top w:w="0" w:type="dxa"/>
            <w:left w:w="28" w:type="dxa"/>
            <w:bottom w:w="0" w:type="dxa"/>
            <w:right w:w="28" w:type="dxa"/>
          </w:tblCellMar>
        </w:tblPrEx>
        <w:tc>
          <w:tcPr>
            <w:tcW w:w="107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江苏海兰船舶电气系统科技有限公司</w:t>
            </w:r>
          </w:p>
        </w:tc>
        <w:tc>
          <w:tcPr>
            <w:tcW w:w="10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3,553.14</w:t>
            </w:r>
          </w:p>
        </w:tc>
        <w:tc>
          <w:tcPr>
            <w:tcW w:w="10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394.12</w:t>
            </w:r>
          </w:p>
        </w:tc>
        <w:tc>
          <w:tcPr>
            <w:tcW w:w="10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425.27</w:t>
            </w:r>
          </w:p>
        </w:tc>
        <w:tc>
          <w:tcPr>
            <w:tcW w:w="10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1,904.85</w:t>
            </w:r>
          </w:p>
        </w:tc>
        <w:tc>
          <w:tcPr>
            <w:tcW w:w="10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6,700.14</w:t>
            </w:r>
          </w:p>
        </w:tc>
        <w:tc>
          <w:tcPr>
            <w:tcW w:w="10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328.81</w:t>
            </w:r>
          </w:p>
        </w:tc>
        <w:tc>
          <w:tcPr>
            <w:tcW w:w="10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328.81</w:t>
            </w:r>
          </w:p>
        </w:tc>
        <w:tc>
          <w:tcPr>
            <w:tcW w:w="108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672.25</w:t>
            </w:r>
          </w:p>
        </w:tc>
      </w:tr>
      <w:tr>
        <w:tblPrEx>
          <w:tblLayout w:type="fixed"/>
          <w:tblCellMar>
            <w:top w:w="0" w:type="dxa"/>
            <w:left w:w="28" w:type="dxa"/>
            <w:bottom w:w="0" w:type="dxa"/>
            <w:right w:w="28" w:type="dxa"/>
          </w:tblCellMar>
        </w:tblPrEx>
        <w:tc>
          <w:tcPr>
            <w:tcW w:w="107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劳雷海洋系统有限公司</w:t>
            </w:r>
          </w:p>
        </w:tc>
        <w:tc>
          <w:tcPr>
            <w:tcW w:w="10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40,022.03</w:t>
            </w:r>
          </w:p>
        </w:tc>
        <w:tc>
          <w:tcPr>
            <w:tcW w:w="10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5,025.73</w:t>
            </w:r>
          </w:p>
        </w:tc>
        <w:tc>
          <w:tcPr>
            <w:tcW w:w="10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5,983.92</w:t>
            </w:r>
          </w:p>
        </w:tc>
        <w:tc>
          <w:tcPr>
            <w:tcW w:w="10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9,741.17</w:t>
            </w:r>
          </w:p>
        </w:tc>
        <w:tc>
          <w:tcPr>
            <w:tcW w:w="10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28,202.08</w:t>
            </w:r>
          </w:p>
        </w:tc>
        <w:tc>
          <w:tcPr>
            <w:tcW w:w="10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2,962.45</w:t>
            </w:r>
          </w:p>
        </w:tc>
        <w:tc>
          <w:tcPr>
            <w:tcW w:w="10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3,627.27</w:t>
            </w:r>
          </w:p>
        </w:tc>
        <w:tc>
          <w:tcPr>
            <w:tcW w:w="108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2,726.34</w:t>
            </w:r>
          </w:p>
        </w:tc>
      </w:tr>
      <w:tr>
        <w:tblPrEx>
          <w:tblLayout w:type="fixed"/>
          <w:tblCellMar>
            <w:top w:w="0" w:type="dxa"/>
            <w:left w:w="28" w:type="dxa"/>
            <w:bottom w:w="0" w:type="dxa"/>
            <w:right w:w="28" w:type="dxa"/>
          </w:tblCellMar>
        </w:tblPrEx>
        <w:tc>
          <w:tcPr>
            <w:tcW w:w="107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t>Summerview Company Limited</w:t>
            </w:r>
          </w:p>
        </w:tc>
        <w:tc>
          <w:tcPr>
            <w:tcW w:w="10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11,772.35</w:t>
            </w:r>
          </w:p>
        </w:tc>
        <w:tc>
          <w:tcPr>
            <w:tcW w:w="10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286.56</w:t>
            </w:r>
          </w:p>
        </w:tc>
        <w:tc>
          <w:tcPr>
            <w:tcW w:w="10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300.73</w:t>
            </w:r>
          </w:p>
        </w:tc>
        <w:tc>
          <w:tcPr>
            <w:tcW w:w="10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-920.11</w:t>
            </w:r>
          </w:p>
        </w:tc>
        <w:tc>
          <w:tcPr>
            <w:tcW w:w="10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6,708.10</w:t>
            </w:r>
          </w:p>
        </w:tc>
        <w:tc>
          <w:tcPr>
            <w:tcW w:w="10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-16.32</w:t>
            </w:r>
          </w:p>
        </w:tc>
        <w:tc>
          <w:tcPr>
            <w:tcW w:w="10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-16.32</w:t>
            </w:r>
          </w:p>
        </w:tc>
        <w:tc>
          <w:tcPr>
            <w:tcW w:w="108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2,016.51</w:t>
            </w:r>
          </w:p>
        </w:tc>
      </w:tr>
      <w:tr>
        <w:tblPrEx>
          <w:tblLayout w:type="fixed"/>
          <w:tblCellMar>
            <w:top w:w="0" w:type="dxa"/>
            <w:left w:w="28" w:type="dxa"/>
            <w:bottom w:w="0" w:type="dxa"/>
            <w:right w:w="28" w:type="dxa"/>
          </w:tblCellMar>
        </w:tblPrEx>
        <w:tc>
          <w:tcPr>
            <w:tcW w:w="107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pPr>
            <w:r>
              <w:rPr>
                <w:rFonts w:hint="eastAsia"/>
              </w:rPr>
              <w:t>广东蓝图信息技术有限公司</w:t>
            </w:r>
          </w:p>
        </w:tc>
        <w:tc>
          <w:tcPr>
            <w:tcW w:w="10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1,644.82</w:t>
            </w:r>
          </w:p>
        </w:tc>
        <w:tc>
          <w:tcPr>
            <w:tcW w:w="10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1,023.50</w:t>
            </w:r>
          </w:p>
        </w:tc>
        <w:tc>
          <w:tcPr>
            <w:tcW w:w="107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1,023.50</w:t>
            </w:r>
          </w:p>
        </w:tc>
        <w:tc>
          <w:tcPr>
            <w:tcW w:w="10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517.68</w:t>
            </w:r>
          </w:p>
        </w:tc>
        <w:tc>
          <w:tcPr>
            <w:tcW w:w="10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p>
        </w:tc>
        <w:tc>
          <w:tcPr>
            <w:tcW w:w="10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p>
        </w:tc>
        <w:tc>
          <w:tcPr>
            <w:tcW w:w="10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p>
        </w:tc>
        <w:tc>
          <w:tcPr>
            <w:tcW w:w="108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p>
        </w:tc>
      </w:tr>
    </w:tbl>
    <w:p>
      <w:pPr>
        <w:pStyle w:val="11"/>
        <w:outlineLvl w:val="2"/>
        <w:rPr>
          <w:bCs w:val="0"/>
          <w:szCs w:val="24"/>
        </w:rPr>
      </w:pPr>
      <w:r>
        <w:rPr>
          <w:bCs w:val="0"/>
          <w:szCs w:val="24"/>
        </w:rPr>
        <w:t>2</w:t>
      </w:r>
      <w:r>
        <w:rPr>
          <w:rFonts w:hint="eastAsia"/>
          <w:bCs w:val="0"/>
          <w:szCs w:val="24"/>
        </w:rPr>
        <w:t>、在子公司的所有者权益份额发生变化且仍控制子公司的交易</w:t>
      </w:r>
    </w:p>
    <w:p>
      <w:pPr>
        <w:pStyle w:val="11"/>
        <w:outlineLvl w:val="3"/>
        <w:rPr>
          <w:bCs w:val="0"/>
          <w:szCs w:val="24"/>
        </w:rPr>
      </w:pPr>
      <w:r>
        <w:rPr>
          <w:rFonts w:hint="eastAsia"/>
          <w:bCs w:val="0"/>
          <w:szCs w:val="24"/>
        </w:rPr>
        <w:t>（</w:t>
      </w:r>
      <w:r>
        <w:rPr>
          <w:bCs w:val="0"/>
          <w:szCs w:val="24"/>
        </w:rPr>
        <w:t>1</w:t>
      </w:r>
      <w:r>
        <w:rPr>
          <w:rFonts w:hint="eastAsia"/>
          <w:bCs w:val="0"/>
          <w:szCs w:val="24"/>
        </w:rPr>
        <w:t>）在子公司所有者权益份额发生变化的情况说明</w:t>
      </w:r>
    </w:p>
    <w:p>
      <w:pPr>
        <w:autoSpaceDE w:val="0"/>
        <w:autoSpaceDN w:val="0"/>
        <w:adjustRightInd w:val="0"/>
        <w:spacing w:before="240" w:after="240" w:line="360" w:lineRule="auto"/>
        <w:ind w:firstLine="440"/>
        <w:jc w:val="left"/>
        <w:rPr>
          <w:rFonts w:eastAsia="Times New Roman"/>
          <w:kern w:val="0"/>
          <w:sz w:val="21"/>
          <w:szCs w:val="21"/>
          <w:lang w:val="zh-CN"/>
        </w:rPr>
      </w:pPr>
      <w:r>
        <w:rPr>
          <w:rFonts w:eastAsia="Times New Roman"/>
          <w:kern w:val="0"/>
          <w:sz w:val="21"/>
          <w:szCs w:val="21"/>
          <w:lang w:val="en-GB"/>
        </w:rPr>
        <w:t>2015</w:t>
      </w:r>
      <w:r>
        <w:rPr>
          <w:rFonts w:hint="eastAsia" w:ascii="宋体" w:hAnsi="宋体" w:cs="宋体"/>
          <w:kern w:val="0"/>
          <w:sz w:val="21"/>
          <w:szCs w:val="21"/>
          <w:lang w:val="zh-CN"/>
        </w:rPr>
        <w:t>年</w:t>
      </w:r>
      <w:r>
        <w:rPr>
          <w:rFonts w:eastAsia="Times New Roman"/>
          <w:kern w:val="0"/>
          <w:sz w:val="21"/>
          <w:szCs w:val="21"/>
          <w:lang w:val="en-GB"/>
        </w:rPr>
        <w:t>7</w:t>
      </w:r>
      <w:r>
        <w:rPr>
          <w:rFonts w:hint="eastAsia" w:ascii="宋体" w:hAnsi="宋体" w:cs="宋体"/>
          <w:kern w:val="0"/>
          <w:sz w:val="21"/>
          <w:szCs w:val="21"/>
          <w:lang w:val="zh-CN"/>
        </w:rPr>
        <w:t>月</w:t>
      </w:r>
      <w:r>
        <w:rPr>
          <w:rFonts w:eastAsia="Times New Roman"/>
          <w:kern w:val="0"/>
          <w:sz w:val="21"/>
          <w:szCs w:val="21"/>
          <w:lang w:val="en-GB"/>
        </w:rPr>
        <w:t>27</w:t>
      </w:r>
      <w:r>
        <w:rPr>
          <w:rFonts w:hint="eastAsia" w:ascii="宋体" w:hAnsi="宋体" w:cs="宋体"/>
          <w:kern w:val="0"/>
          <w:sz w:val="21"/>
          <w:szCs w:val="21"/>
          <w:lang w:val="zh-CN"/>
        </w:rPr>
        <w:t>日，本公司之子公司江苏海兰信船舶设备有限公司与本公司之子公司江苏海兰船舶电气系统科技有限公司少数股东江苏弈淳集团有限公司签订股权转让协议，江苏海兰信船舶设备有限公司以人民币</w:t>
      </w:r>
      <w:r>
        <w:rPr>
          <w:rFonts w:eastAsia="Times New Roman"/>
          <w:kern w:val="0"/>
          <w:sz w:val="21"/>
          <w:szCs w:val="21"/>
          <w:lang w:val="en-GB"/>
        </w:rPr>
        <w:t>1,400</w:t>
      </w:r>
      <w:r>
        <w:rPr>
          <w:rFonts w:hint="eastAsia" w:ascii="宋体" w:hAnsi="宋体" w:cs="宋体"/>
          <w:kern w:val="0"/>
          <w:sz w:val="21"/>
          <w:szCs w:val="21"/>
          <w:lang w:val="zh-CN"/>
        </w:rPr>
        <w:t>万元收购江苏弈淳集团有限公司持有的江苏海兰船舶电气系统科技有限公司的</w:t>
      </w:r>
      <w:r>
        <w:rPr>
          <w:rFonts w:eastAsia="Times New Roman"/>
          <w:kern w:val="0"/>
          <w:sz w:val="21"/>
          <w:szCs w:val="21"/>
          <w:lang w:val="en-GB"/>
        </w:rPr>
        <w:t>10%</w:t>
      </w:r>
      <w:r>
        <w:rPr>
          <w:rFonts w:hint="eastAsia" w:ascii="宋体" w:hAnsi="宋体" w:cs="宋体"/>
          <w:kern w:val="0"/>
          <w:sz w:val="21"/>
          <w:szCs w:val="21"/>
          <w:lang w:val="zh-CN"/>
        </w:rPr>
        <w:t>股权。上述股权转让于</w:t>
      </w:r>
      <w:r>
        <w:rPr>
          <w:rFonts w:eastAsia="Times New Roman"/>
          <w:kern w:val="0"/>
          <w:sz w:val="21"/>
          <w:szCs w:val="21"/>
          <w:lang w:val="en-GB"/>
        </w:rPr>
        <w:t>2016</w:t>
      </w:r>
      <w:r>
        <w:rPr>
          <w:rFonts w:hint="eastAsia" w:ascii="宋体" w:hAnsi="宋体" w:cs="宋体"/>
          <w:kern w:val="0"/>
          <w:sz w:val="21"/>
          <w:szCs w:val="21"/>
          <w:lang w:val="zh-CN"/>
        </w:rPr>
        <w:t>年</w:t>
      </w:r>
      <w:r>
        <w:rPr>
          <w:rFonts w:eastAsia="Times New Roman"/>
          <w:kern w:val="0"/>
          <w:sz w:val="21"/>
          <w:szCs w:val="21"/>
          <w:lang w:val="en-GB"/>
        </w:rPr>
        <w:t>2</w:t>
      </w:r>
      <w:r>
        <w:rPr>
          <w:rFonts w:hint="eastAsia" w:ascii="宋体" w:hAnsi="宋体" w:cs="宋体"/>
          <w:kern w:val="0"/>
          <w:sz w:val="21"/>
          <w:szCs w:val="21"/>
          <w:lang w:val="zh-CN"/>
        </w:rPr>
        <w:t>月完成工商变更，股权转让完成后本公司对江苏海兰船舶电气系统科技有限公司直接及间接持股比例达到</w:t>
      </w:r>
      <w:r>
        <w:rPr>
          <w:rFonts w:eastAsia="Times New Roman"/>
          <w:kern w:val="0"/>
          <w:sz w:val="21"/>
          <w:szCs w:val="21"/>
          <w:lang w:val="en-GB"/>
        </w:rPr>
        <w:t>60%</w:t>
      </w:r>
      <w:r>
        <w:rPr>
          <w:rFonts w:hint="eastAsia" w:ascii="宋体" w:hAnsi="宋体" w:cs="宋体"/>
          <w:kern w:val="0"/>
          <w:sz w:val="21"/>
          <w:szCs w:val="21"/>
          <w:lang w:val="zh-CN"/>
        </w:rPr>
        <w:t>。</w:t>
      </w:r>
    </w:p>
    <w:p>
      <w:pPr>
        <w:pStyle w:val="11"/>
        <w:outlineLvl w:val="3"/>
        <w:rPr>
          <w:bCs w:val="0"/>
          <w:szCs w:val="24"/>
        </w:rPr>
      </w:pPr>
      <w:r>
        <w:rPr>
          <w:rFonts w:hint="eastAsia"/>
          <w:bCs w:val="0"/>
          <w:szCs w:val="24"/>
        </w:rPr>
        <w:t>（</w:t>
      </w:r>
      <w:r>
        <w:rPr>
          <w:bCs w:val="0"/>
          <w:szCs w:val="24"/>
        </w:rPr>
        <w:t>2</w:t>
      </w:r>
      <w:r>
        <w:rPr>
          <w:rFonts w:hint="eastAsia"/>
          <w:bCs w:val="0"/>
          <w:szCs w:val="24"/>
        </w:rPr>
        <w:t>）交易对于少数股东权益及归属于母公司所有者权益的影响</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694" w:type="dxa"/>
        <w:tblInd w:w="0" w:type="dxa"/>
        <w:tblLayout w:type="fixed"/>
        <w:tblCellMar>
          <w:top w:w="0" w:type="dxa"/>
          <w:left w:w="28" w:type="dxa"/>
          <w:bottom w:w="0" w:type="dxa"/>
          <w:right w:w="28" w:type="dxa"/>
        </w:tblCellMar>
      </w:tblPr>
      <w:tblGrid>
        <w:gridCol w:w="4847"/>
        <w:gridCol w:w="4847"/>
      </w:tblGrid>
      <w:tr>
        <w:tblPrEx>
          <w:tblLayout w:type="fixed"/>
          <w:tblCellMar>
            <w:top w:w="0" w:type="dxa"/>
            <w:left w:w="28" w:type="dxa"/>
            <w:bottom w:w="0" w:type="dxa"/>
            <w:right w:w="28" w:type="dxa"/>
          </w:tblCellMar>
        </w:tblPrEx>
        <w:tc>
          <w:tcPr>
            <w:tcW w:w="484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p>
        </w:tc>
        <w:tc>
          <w:tcPr>
            <w:tcW w:w="4847" w:type="dxa"/>
            <w:tcBorders>
              <w:top w:val="single" w:color="auto" w:sz="4" w:space="0"/>
              <w:left w:val="single" w:color="auto" w:sz="4" w:space="0"/>
              <w:bottom w:val="single" w:color="auto" w:sz="4" w:space="0"/>
              <w:right w:val="single" w:color="auto" w:sz="4" w:space="0"/>
            </w:tcBorders>
            <w:shd w:val="clear" w:color="auto" w:fill="E1FFFF"/>
            <w:vAlign w:val="center"/>
          </w:tcPr>
          <w:p>
            <w:pPr>
              <w:jc w:val="center"/>
              <w:rPr>
                <w:sz w:val="21"/>
                <w:szCs w:val="21"/>
              </w:rPr>
            </w:pPr>
            <w:r>
              <w:rPr>
                <w:rFonts w:hint="eastAsia"/>
                <w:sz w:val="21"/>
                <w:szCs w:val="21"/>
              </w:rPr>
              <w:t>江苏海兰船舶电气系统科技有限公司</w:t>
            </w:r>
          </w:p>
        </w:tc>
      </w:tr>
      <w:tr>
        <w:tblPrEx>
          <w:tblLayout w:type="fixed"/>
          <w:tblCellMar>
            <w:top w:w="0" w:type="dxa"/>
            <w:left w:w="28" w:type="dxa"/>
            <w:bottom w:w="0" w:type="dxa"/>
            <w:right w:w="28" w:type="dxa"/>
          </w:tblCellMar>
        </w:tblPrEx>
        <w:tc>
          <w:tcPr>
            <w:tcW w:w="484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w:t>
            </w:r>
            <w:r>
              <w:rPr>
                <w:rFonts w:hint="eastAsia"/>
                <w:sz w:val="21"/>
                <w:szCs w:val="21"/>
              </w:rPr>
              <w:t>现金</w:t>
            </w:r>
          </w:p>
        </w:tc>
        <w:tc>
          <w:tcPr>
            <w:tcW w:w="48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14,000,000.00</w:t>
            </w:r>
          </w:p>
        </w:tc>
      </w:tr>
      <w:tr>
        <w:tblPrEx>
          <w:tblLayout w:type="fixed"/>
          <w:tblCellMar>
            <w:top w:w="0" w:type="dxa"/>
            <w:left w:w="28" w:type="dxa"/>
            <w:bottom w:w="0" w:type="dxa"/>
            <w:right w:w="28" w:type="dxa"/>
          </w:tblCellMar>
        </w:tblPrEx>
        <w:tc>
          <w:tcPr>
            <w:tcW w:w="484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购买成本</w:t>
            </w:r>
            <w:r>
              <w:rPr>
                <w:sz w:val="21"/>
                <w:szCs w:val="21"/>
              </w:rPr>
              <w:t>/</w:t>
            </w:r>
            <w:r>
              <w:rPr>
                <w:rFonts w:hint="eastAsia"/>
                <w:sz w:val="21"/>
                <w:szCs w:val="21"/>
              </w:rPr>
              <w:t>处置对价合计</w:t>
            </w:r>
          </w:p>
        </w:tc>
        <w:tc>
          <w:tcPr>
            <w:tcW w:w="48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14,000,000.00</w:t>
            </w:r>
          </w:p>
        </w:tc>
      </w:tr>
      <w:tr>
        <w:tblPrEx>
          <w:tblLayout w:type="fixed"/>
          <w:tblCellMar>
            <w:top w:w="0" w:type="dxa"/>
            <w:left w:w="28" w:type="dxa"/>
            <w:bottom w:w="0" w:type="dxa"/>
            <w:right w:w="28" w:type="dxa"/>
          </w:tblCellMar>
        </w:tblPrEx>
        <w:tc>
          <w:tcPr>
            <w:tcW w:w="484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减：按取得</w:t>
            </w:r>
            <w:r>
              <w:rPr>
                <w:sz w:val="21"/>
                <w:szCs w:val="21"/>
              </w:rPr>
              <w:t>/</w:t>
            </w:r>
            <w:r>
              <w:rPr>
                <w:rFonts w:hint="eastAsia"/>
                <w:sz w:val="21"/>
                <w:szCs w:val="21"/>
              </w:rPr>
              <w:t>处置的股权比例计算的子公司净资产份额</w:t>
            </w:r>
          </w:p>
        </w:tc>
        <w:tc>
          <w:tcPr>
            <w:tcW w:w="48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10,926,339.50</w:t>
            </w:r>
          </w:p>
        </w:tc>
      </w:tr>
      <w:tr>
        <w:tblPrEx>
          <w:tblLayout w:type="fixed"/>
          <w:tblCellMar>
            <w:top w:w="0" w:type="dxa"/>
            <w:left w:w="28" w:type="dxa"/>
            <w:bottom w:w="0" w:type="dxa"/>
            <w:right w:w="28" w:type="dxa"/>
          </w:tblCellMar>
        </w:tblPrEx>
        <w:tc>
          <w:tcPr>
            <w:tcW w:w="484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差额</w:t>
            </w:r>
          </w:p>
        </w:tc>
        <w:tc>
          <w:tcPr>
            <w:tcW w:w="48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3,073,660.50</w:t>
            </w:r>
          </w:p>
        </w:tc>
      </w:tr>
      <w:tr>
        <w:tblPrEx>
          <w:tblLayout w:type="fixed"/>
          <w:tblCellMar>
            <w:top w:w="0" w:type="dxa"/>
            <w:left w:w="28" w:type="dxa"/>
            <w:bottom w:w="0" w:type="dxa"/>
            <w:right w:w="28" w:type="dxa"/>
          </w:tblCellMar>
        </w:tblPrEx>
        <w:tc>
          <w:tcPr>
            <w:tcW w:w="484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其中：调整资本公积</w:t>
            </w:r>
          </w:p>
        </w:tc>
        <w:tc>
          <w:tcPr>
            <w:tcW w:w="48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3,073,660.50</w:t>
            </w:r>
          </w:p>
        </w:tc>
      </w:tr>
    </w:tbl>
    <w:p>
      <w:pPr>
        <w:pStyle w:val="11"/>
        <w:outlineLvl w:val="2"/>
        <w:rPr>
          <w:bCs w:val="0"/>
          <w:szCs w:val="24"/>
        </w:rPr>
      </w:pPr>
      <w:r>
        <w:rPr>
          <w:bCs w:val="0"/>
          <w:szCs w:val="24"/>
        </w:rPr>
        <w:t>3</w:t>
      </w:r>
      <w:r>
        <w:rPr>
          <w:rFonts w:hint="eastAsia"/>
          <w:bCs w:val="0"/>
          <w:szCs w:val="24"/>
        </w:rPr>
        <w:t>、在合营安排或联营企业中的权益</w:t>
      </w:r>
    </w:p>
    <w:p>
      <w:pPr>
        <w:pStyle w:val="11"/>
        <w:outlineLvl w:val="3"/>
        <w:rPr>
          <w:bCs w:val="0"/>
          <w:szCs w:val="24"/>
        </w:rPr>
      </w:pPr>
      <w:r>
        <w:rPr>
          <w:rFonts w:hint="eastAsia"/>
          <w:bCs w:val="0"/>
          <w:szCs w:val="24"/>
        </w:rPr>
        <w:t>（</w:t>
      </w:r>
      <w:r>
        <w:rPr>
          <w:bCs w:val="0"/>
          <w:szCs w:val="24"/>
        </w:rPr>
        <w:t>1</w:t>
      </w:r>
      <w:r>
        <w:rPr>
          <w:rFonts w:hint="eastAsia"/>
          <w:bCs w:val="0"/>
          <w:szCs w:val="24"/>
        </w:rPr>
        <w:t>）重要的合营企业或联营企业</w:t>
      </w:r>
    </w:p>
    <w:tbl>
      <w:tblPr>
        <w:tblStyle w:val="8"/>
        <w:tblW w:w="9694" w:type="dxa"/>
        <w:tblInd w:w="0" w:type="dxa"/>
        <w:tblLayout w:type="fixed"/>
        <w:tblCellMar>
          <w:top w:w="0" w:type="dxa"/>
          <w:left w:w="28" w:type="dxa"/>
          <w:bottom w:w="0" w:type="dxa"/>
          <w:right w:w="28" w:type="dxa"/>
        </w:tblCellMar>
      </w:tblPr>
      <w:tblGrid>
        <w:gridCol w:w="1389"/>
        <w:gridCol w:w="1385"/>
        <w:gridCol w:w="1384"/>
        <w:gridCol w:w="1384"/>
        <w:gridCol w:w="1384"/>
        <w:gridCol w:w="1384"/>
        <w:gridCol w:w="1384"/>
      </w:tblGrid>
      <w:tr>
        <w:tblPrEx>
          <w:tblLayout w:type="fixed"/>
          <w:tblCellMar>
            <w:top w:w="0" w:type="dxa"/>
            <w:left w:w="28" w:type="dxa"/>
            <w:bottom w:w="0" w:type="dxa"/>
            <w:right w:w="28" w:type="dxa"/>
          </w:tblCellMar>
        </w:tblPrEx>
        <w:tc>
          <w:tcPr>
            <w:tcW w:w="1389"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合营企业或联营企业名称</w:t>
            </w:r>
          </w:p>
        </w:tc>
        <w:tc>
          <w:tcPr>
            <w:tcW w:w="1385"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主要经营地</w:t>
            </w:r>
          </w:p>
        </w:tc>
        <w:tc>
          <w:tcPr>
            <w:tcW w:w="1384"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注册地</w:t>
            </w:r>
          </w:p>
        </w:tc>
        <w:tc>
          <w:tcPr>
            <w:tcW w:w="1384"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业务性质</w:t>
            </w:r>
          </w:p>
        </w:tc>
        <w:tc>
          <w:tcPr>
            <w:tcW w:w="2768"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持股比例</w:t>
            </w:r>
          </w:p>
        </w:tc>
        <w:tc>
          <w:tcPr>
            <w:tcW w:w="1384"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对合营企业或联营企业投资的会计处理方法</w:t>
            </w:r>
          </w:p>
        </w:tc>
      </w:tr>
      <w:tr>
        <w:tblPrEx>
          <w:tblLayout w:type="fixed"/>
          <w:tblCellMar>
            <w:top w:w="0" w:type="dxa"/>
            <w:left w:w="28" w:type="dxa"/>
            <w:bottom w:w="0" w:type="dxa"/>
            <w:right w:w="28" w:type="dxa"/>
          </w:tblCellMar>
        </w:tblPrEx>
        <w:tc>
          <w:tcPr>
            <w:tcW w:w="1389"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385"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384"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384"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直接</w:t>
            </w:r>
          </w:p>
        </w:tc>
        <w:tc>
          <w:tcPr>
            <w:tcW w:w="138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间接</w:t>
            </w:r>
          </w:p>
        </w:tc>
        <w:tc>
          <w:tcPr>
            <w:tcW w:w="1384"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r>
      <w:tr>
        <w:tblPrEx>
          <w:tblLayout w:type="fixed"/>
          <w:tblCellMar>
            <w:top w:w="0" w:type="dxa"/>
            <w:left w:w="28" w:type="dxa"/>
            <w:bottom w:w="0" w:type="dxa"/>
            <w:right w:w="28" w:type="dxa"/>
          </w:tblCellMar>
        </w:tblPrEx>
        <w:tc>
          <w:tcPr>
            <w:tcW w:w="13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北京蓝鲸众合投资管理有限公司</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北京</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北京</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投资</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16.67%</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权益法核算</w:t>
            </w:r>
          </w:p>
        </w:tc>
      </w:tr>
      <w:tr>
        <w:tblPrEx>
          <w:tblLayout w:type="fixed"/>
          <w:tblCellMar>
            <w:top w:w="0" w:type="dxa"/>
            <w:left w:w="28" w:type="dxa"/>
            <w:bottom w:w="0" w:type="dxa"/>
            <w:right w:w="28" w:type="dxa"/>
          </w:tblCellMar>
        </w:tblPrEx>
        <w:tc>
          <w:tcPr>
            <w:tcW w:w="13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江苏海兰信海洋工程技术开发有限公司</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南通</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南通</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技术</w:t>
            </w:r>
            <w:r>
              <w:rPr>
                <w:sz w:val="21"/>
                <w:szCs w:val="21"/>
              </w:rPr>
              <w:t>/</w:t>
            </w:r>
            <w:r>
              <w:rPr>
                <w:rFonts w:hint="eastAsia"/>
                <w:sz w:val="21"/>
                <w:szCs w:val="21"/>
              </w:rPr>
              <w:t>开发</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42.86%</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权益法核算</w:t>
            </w:r>
          </w:p>
        </w:tc>
      </w:tr>
      <w:tr>
        <w:tblPrEx>
          <w:tblLayout w:type="fixed"/>
          <w:tblCellMar>
            <w:top w:w="0" w:type="dxa"/>
            <w:left w:w="28" w:type="dxa"/>
            <w:bottom w:w="0" w:type="dxa"/>
            <w:right w:w="28" w:type="dxa"/>
          </w:tblCellMar>
        </w:tblPrEx>
        <w:tc>
          <w:tcPr>
            <w:tcW w:w="13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杭州边界电子技术有限公司</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杭州</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杭州</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生产</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30.00%</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权益法核算</w:t>
            </w:r>
          </w:p>
        </w:tc>
      </w:tr>
      <w:tr>
        <w:tblPrEx>
          <w:tblLayout w:type="fixed"/>
          <w:tblCellMar>
            <w:top w:w="0" w:type="dxa"/>
            <w:left w:w="28" w:type="dxa"/>
            <w:bottom w:w="0" w:type="dxa"/>
            <w:right w:w="28" w:type="dxa"/>
          </w:tblCellMar>
        </w:tblPrEx>
        <w:tc>
          <w:tcPr>
            <w:tcW w:w="13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武汉劳雷绿湾船舶科技有限公司</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武汉</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武汉</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生产</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35.00%</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权益法核算</w:t>
            </w:r>
          </w:p>
        </w:tc>
      </w:tr>
      <w:tr>
        <w:tblPrEx>
          <w:tblLayout w:type="fixed"/>
          <w:tblCellMar>
            <w:top w:w="0" w:type="dxa"/>
            <w:left w:w="28" w:type="dxa"/>
            <w:bottom w:w="0" w:type="dxa"/>
            <w:right w:w="28" w:type="dxa"/>
          </w:tblCellMar>
        </w:tblPrEx>
        <w:tc>
          <w:tcPr>
            <w:tcW w:w="13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浙江海兰信海洋信息科技有限公司</w:t>
            </w:r>
          </w:p>
        </w:tc>
        <w:tc>
          <w:tcPr>
            <w:tcW w:w="138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杭州</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杭州</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技术</w:t>
            </w:r>
            <w:r>
              <w:rPr>
                <w:sz w:val="21"/>
                <w:szCs w:val="21"/>
              </w:rPr>
              <w:t>/</w:t>
            </w:r>
            <w:r>
              <w:rPr>
                <w:rFonts w:hint="eastAsia"/>
                <w:sz w:val="21"/>
                <w:szCs w:val="21"/>
              </w:rPr>
              <w:t>开发</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40.00%</w:t>
            </w: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8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权益法核算</w:t>
            </w:r>
          </w:p>
        </w:tc>
      </w:tr>
    </w:tbl>
    <w:p>
      <w:pPr>
        <w:jc w:val="left"/>
        <w:rPr>
          <w:sz w:val="21"/>
          <w:szCs w:val="21"/>
        </w:rPr>
      </w:pPr>
      <w:r>
        <w:rPr>
          <w:rFonts w:hint="eastAsia"/>
          <w:sz w:val="21"/>
          <w:szCs w:val="21"/>
        </w:rPr>
        <w:t>在合营企业或联营企业的持股比例不同于表决权比例的说明：</w:t>
      </w:r>
    </w:p>
    <w:p>
      <w:pPr>
        <w:jc w:val="left"/>
        <w:rPr>
          <w:sz w:val="21"/>
          <w:szCs w:val="21"/>
        </w:rPr>
      </w:pPr>
      <w:r>
        <w:rPr>
          <w:rFonts w:hint="eastAsia"/>
          <w:sz w:val="21"/>
          <w:szCs w:val="21"/>
        </w:rPr>
        <w:t>持有</w:t>
      </w:r>
      <w:r>
        <w:rPr>
          <w:sz w:val="21"/>
          <w:szCs w:val="21"/>
        </w:rPr>
        <w:t>20%</w:t>
      </w:r>
      <w:r>
        <w:rPr>
          <w:rFonts w:hint="eastAsia"/>
          <w:sz w:val="21"/>
          <w:szCs w:val="21"/>
        </w:rPr>
        <w:t>以下表决权但具有重大影响，或者持有</w:t>
      </w:r>
      <w:r>
        <w:rPr>
          <w:sz w:val="21"/>
          <w:szCs w:val="21"/>
        </w:rPr>
        <w:t>20%</w:t>
      </w:r>
      <w:r>
        <w:rPr>
          <w:rFonts w:hint="eastAsia"/>
          <w:sz w:val="21"/>
          <w:szCs w:val="21"/>
        </w:rPr>
        <w:t>或以上表决权但不具有重大影响的依据：</w:t>
      </w:r>
    </w:p>
    <w:p>
      <w:pPr>
        <w:pStyle w:val="11"/>
        <w:outlineLvl w:val="3"/>
        <w:rPr>
          <w:bCs w:val="0"/>
          <w:szCs w:val="24"/>
        </w:rPr>
      </w:pPr>
      <w:r>
        <w:rPr>
          <w:rFonts w:hint="eastAsia"/>
          <w:bCs w:val="0"/>
          <w:szCs w:val="24"/>
        </w:rPr>
        <w:t>（</w:t>
      </w:r>
      <w:r>
        <w:rPr>
          <w:bCs w:val="0"/>
          <w:szCs w:val="24"/>
        </w:rPr>
        <w:t>2</w:t>
      </w:r>
      <w:r>
        <w:rPr>
          <w:rFonts w:hint="eastAsia"/>
          <w:bCs w:val="0"/>
          <w:szCs w:val="24"/>
        </w:rPr>
        <w:t>）重要联营企业的主要财务信息</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694" w:type="dxa"/>
        <w:tblInd w:w="0" w:type="dxa"/>
        <w:tblLayout w:type="fixed"/>
        <w:tblCellMar>
          <w:top w:w="0" w:type="dxa"/>
          <w:left w:w="28" w:type="dxa"/>
          <w:bottom w:w="0" w:type="dxa"/>
          <w:right w:w="28" w:type="dxa"/>
        </w:tblCellMar>
      </w:tblPr>
      <w:tblGrid>
        <w:gridCol w:w="457"/>
        <w:gridCol w:w="976"/>
        <w:gridCol w:w="975"/>
        <w:gridCol w:w="971"/>
        <w:gridCol w:w="975"/>
        <w:gridCol w:w="979"/>
        <w:gridCol w:w="971"/>
        <w:gridCol w:w="975"/>
        <w:gridCol w:w="975"/>
        <w:gridCol w:w="975"/>
        <w:gridCol w:w="465"/>
      </w:tblGrid>
      <w:tr>
        <w:tblPrEx>
          <w:tblLayout w:type="fixed"/>
          <w:tblCellMar>
            <w:top w:w="0" w:type="dxa"/>
            <w:left w:w="28" w:type="dxa"/>
            <w:bottom w:w="0" w:type="dxa"/>
            <w:right w:w="28" w:type="dxa"/>
          </w:tblCellMar>
        </w:tblPrEx>
        <w:tc>
          <w:tcPr>
            <w:tcW w:w="45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p>
        </w:tc>
        <w:tc>
          <w:tcPr>
            <w:tcW w:w="4876" w:type="dxa"/>
            <w:gridSpan w:val="5"/>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r>
              <w:rPr>
                <w:sz w:val="21"/>
                <w:szCs w:val="21"/>
              </w:rPr>
              <w:t>/</w:t>
            </w:r>
            <w:r>
              <w:rPr>
                <w:rFonts w:hint="eastAsia"/>
                <w:sz w:val="21"/>
                <w:szCs w:val="21"/>
              </w:rPr>
              <w:t>本期发生额</w:t>
            </w:r>
          </w:p>
        </w:tc>
        <w:tc>
          <w:tcPr>
            <w:tcW w:w="4361" w:type="dxa"/>
            <w:gridSpan w:val="5"/>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期初余额</w:t>
            </w:r>
            <w:r>
              <w:rPr>
                <w:sz w:val="21"/>
                <w:szCs w:val="21"/>
              </w:rPr>
              <w:t>/</w:t>
            </w:r>
            <w:r>
              <w:rPr>
                <w:rFonts w:hint="eastAsia"/>
                <w:sz w:val="21"/>
                <w:szCs w:val="21"/>
              </w:rPr>
              <w:t>上期发生额</w:t>
            </w:r>
          </w:p>
        </w:tc>
      </w:tr>
      <w:tr>
        <w:tblPrEx>
          <w:tblLayout w:type="fixed"/>
          <w:tblCellMar>
            <w:top w:w="0" w:type="dxa"/>
            <w:left w:w="28" w:type="dxa"/>
            <w:bottom w:w="0" w:type="dxa"/>
            <w:right w:w="28" w:type="dxa"/>
          </w:tblCellMar>
        </w:tblPrEx>
        <w:tc>
          <w:tcPr>
            <w:tcW w:w="45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p>
        </w:tc>
        <w:tc>
          <w:tcPr>
            <w:tcW w:w="976" w:type="dxa"/>
            <w:tcBorders>
              <w:top w:val="single" w:color="auto" w:sz="4" w:space="0"/>
              <w:left w:val="single" w:color="auto" w:sz="4" w:space="0"/>
              <w:bottom w:val="single" w:color="auto" w:sz="4" w:space="0"/>
              <w:right w:val="single" w:color="auto" w:sz="4" w:space="0"/>
            </w:tcBorders>
            <w:shd w:val="clear" w:color="auto" w:fill="E1FFFF"/>
            <w:vAlign w:val="center"/>
          </w:tcPr>
          <w:p>
            <w:pPr>
              <w:jc w:val="center"/>
              <w:rPr>
                <w:sz w:val="21"/>
                <w:szCs w:val="21"/>
              </w:rPr>
            </w:pPr>
            <w:r>
              <w:rPr>
                <w:rFonts w:hint="eastAsia"/>
                <w:sz w:val="21"/>
                <w:szCs w:val="21"/>
              </w:rPr>
              <w:t>北京蓝鲸众合投资管理有限公司</w:t>
            </w:r>
          </w:p>
        </w:tc>
        <w:tc>
          <w:tcPr>
            <w:tcW w:w="975" w:type="dxa"/>
            <w:tcBorders>
              <w:top w:val="single" w:color="auto" w:sz="4" w:space="0"/>
              <w:left w:val="single" w:color="auto" w:sz="4" w:space="0"/>
              <w:bottom w:val="single" w:color="auto" w:sz="4" w:space="0"/>
              <w:right w:val="single" w:color="auto" w:sz="4" w:space="0"/>
            </w:tcBorders>
            <w:shd w:val="clear" w:color="auto" w:fill="E1FFFF"/>
            <w:vAlign w:val="center"/>
          </w:tcPr>
          <w:p>
            <w:pPr>
              <w:jc w:val="center"/>
              <w:rPr>
                <w:sz w:val="21"/>
                <w:szCs w:val="21"/>
              </w:rPr>
            </w:pPr>
            <w:r>
              <w:rPr>
                <w:rFonts w:hint="eastAsia"/>
                <w:sz w:val="21"/>
                <w:szCs w:val="21"/>
              </w:rPr>
              <w:t>江苏海兰信海洋工程技术开发有限公司</w:t>
            </w:r>
          </w:p>
        </w:tc>
        <w:tc>
          <w:tcPr>
            <w:tcW w:w="971" w:type="dxa"/>
            <w:tcBorders>
              <w:top w:val="single" w:color="auto" w:sz="4" w:space="0"/>
              <w:left w:val="single" w:color="auto" w:sz="4" w:space="0"/>
              <w:bottom w:val="single" w:color="auto" w:sz="4" w:space="0"/>
              <w:right w:val="single" w:color="auto" w:sz="4" w:space="0"/>
            </w:tcBorders>
            <w:shd w:val="clear" w:color="auto" w:fill="E1FFFF"/>
            <w:vAlign w:val="center"/>
          </w:tcPr>
          <w:p>
            <w:pPr>
              <w:jc w:val="center"/>
              <w:rPr>
                <w:sz w:val="21"/>
                <w:szCs w:val="21"/>
              </w:rPr>
            </w:pPr>
            <w:r>
              <w:rPr>
                <w:rFonts w:hint="eastAsia"/>
                <w:sz w:val="21"/>
                <w:szCs w:val="21"/>
              </w:rPr>
              <w:t>杭州边界电子技术有限公司</w:t>
            </w:r>
          </w:p>
        </w:tc>
        <w:tc>
          <w:tcPr>
            <w:tcW w:w="975" w:type="dxa"/>
            <w:tcBorders>
              <w:top w:val="single" w:color="auto" w:sz="4" w:space="0"/>
              <w:left w:val="single" w:color="auto" w:sz="4" w:space="0"/>
              <w:bottom w:val="single" w:color="auto" w:sz="4" w:space="0"/>
              <w:right w:val="single" w:color="auto" w:sz="4" w:space="0"/>
            </w:tcBorders>
            <w:shd w:val="clear" w:color="auto" w:fill="E1FFFF"/>
            <w:vAlign w:val="center"/>
          </w:tcPr>
          <w:p>
            <w:pPr>
              <w:jc w:val="center"/>
              <w:rPr>
                <w:sz w:val="21"/>
                <w:szCs w:val="21"/>
              </w:rPr>
            </w:pPr>
            <w:r>
              <w:rPr>
                <w:rFonts w:hint="eastAsia"/>
                <w:sz w:val="21"/>
                <w:szCs w:val="21"/>
              </w:rPr>
              <w:t>武汉劳雷绿湾船舶科技有限公司</w:t>
            </w:r>
          </w:p>
        </w:tc>
        <w:tc>
          <w:tcPr>
            <w:tcW w:w="979" w:type="dxa"/>
            <w:tcBorders>
              <w:top w:val="single" w:color="auto" w:sz="4" w:space="0"/>
              <w:left w:val="single" w:color="auto" w:sz="4" w:space="0"/>
              <w:bottom w:val="single" w:color="auto" w:sz="4" w:space="0"/>
              <w:right w:val="single" w:color="auto" w:sz="4" w:space="0"/>
            </w:tcBorders>
            <w:shd w:val="clear" w:color="auto" w:fill="E1FFFF"/>
            <w:vAlign w:val="center"/>
          </w:tcPr>
          <w:p>
            <w:pPr>
              <w:jc w:val="center"/>
              <w:rPr>
                <w:sz w:val="21"/>
                <w:szCs w:val="21"/>
              </w:rPr>
            </w:pPr>
            <w:r>
              <w:rPr>
                <w:rFonts w:hint="eastAsia"/>
                <w:sz w:val="21"/>
                <w:szCs w:val="21"/>
              </w:rPr>
              <w:t>浙江海兰信海洋信息科技有限公司</w:t>
            </w:r>
          </w:p>
        </w:tc>
        <w:tc>
          <w:tcPr>
            <w:tcW w:w="971" w:type="dxa"/>
            <w:tcBorders>
              <w:top w:val="single" w:color="auto" w:sz="4" w:space="0"/>
              <w:left w:val="single" w:color="auto" w:sz="4" w:space="0"/>
              <w:bottom w:val="single" w:color="auto" w:sz="4" w:space="0"/>
              <w:right w:val="single" w:color="auto" w:sz="4" w:space="0"/>
            </w:tcBorders>
            <w:shd w:val="clear" w:color="auto" w:fill="E1FFFF"/>
            <w:vAlign w:val="center"/>
          </w:tcPr>
          <w:p>
            <w:pPr>
              <w:jc w:val="center"/>
              <w:rPr>
                <w:sz w:val="21"/>
                <w:szCs w:val="21"/>
              </w:rPr>
            </w:pPr>
            <w:r>
              <w:rPr>
                <w:rFonts w:hint="eastAsia"/>
                <w:sz w:val="21"/>
                <w:szCs w:val="21"/>
              </w:rPr>
              <w:t>北京蓝鲸众合投资管理有限公司</w:t>
            </w:r>
          </w:p>
        </w:tc>
        <w:tc>
          <w:tcPr>
            <w:tcW w:w="975" w:type="dxa"/>
            <w:tcBorders>
              <w:top w:val="single" w:color="auto" w:sz="4" w:space="0"/>
              <w:left w:val="single" w:color="auto" w:sz="4" w:space="0"/>
              <w:bottom w:val="single" w:color="auto" w:sz="4" w:space="0"/>
              <w:right w:val="single" w:color="auto" w:sz="4" w:space="0"/>
            </w:tcBorders>
            <w:shd w:val="clear" w:color="auto" w:fill="E1FFFF"/>
            <w:vAlign w:val="center"/>
          </w:tcPr>
          <w:p>
            <w:pPr>
              <w:jc w:val="center"/>
              <w:rPr>
                <w:sz w:val="21"/>
                <w:szCs w:val="21"/>
              </w:rPr>
            </w:pPr>
            <w:r>
              <w:rPr>
                <w:rFonts w:hint="eastAsia"/>
                <w:sz w:val="21"/>
                <w:szCs w:val="21"/>
              </w:rPr>
              <w:t>江苏海兰信海洋工程技术开发有限公司</w:t>
            </w:r>
          </w:p>
        </w:tc>
        <w:tc>
          <w:tcPr>
            <w:tcW w:w="975" w:type="dxa"/>
            <w:tcBorders>
              <w:top w:val="single" w:color="auto" w:sz="4" w:space="0"/>
              <w:left w:val="single" w:color="auto" w:sz="4" w:space="0"/>
              <w:bottom w:val="single" w:color="auto" w:sz="4" w:space="0"/>
              <w:right w:val="single" w:color="auto" w:sz="4" w:space="0"/>
            </w:tcBorders>
            <w:shd w:val="clear" w:color="auto" w:fill="E1FFFF"/>
            <w:vAlign w:val="center"/>
          </w:tcPr>
          <w:p>
            <w:pPr>
              <w:jc w:val="center"/>
              <w:rPr>
                <w:sz w:val="21"/>
                <w:szCs w:val="21"/>
              </w:rPr>
            </w:pPr>
            <w:r>
              <w:rPr>
                <w:rFonts w:hint="eastAsia"/>
                <w:sz w:val="21"/>
                <w:szCs w:val="21"/>
              </w:rPr>
              <w:t>杭州边界电子技术有限公司</w:t>
            </w:r>
          </w:p>
        </w:tc>
        <w:tc>
          <w:tcPr>
            <w:tcW w:w="975" w:type="dxa"/>
            <w:tcBorders>
              <w:top w:val="single" w:color="auto" w:sz="4" w:space="0"/>
              <w:left w:val="single" w:color="auto" w:sz="4" w:space="0"/>
              <w:bottom w:val="single" w:color="auto" w:sz="4" w:space="0"/>
              <w:right w:val="single" w:color="auto" w:sz="4" w:space="0"/>
            </w:tcBorders>
            <w:shd w:val="clear" w:color="auto" w:fill="E1FFFF"/>
            <w:vAlign w:val="center"/>
          </w:tcPr>
          <w:p>
            <w:pPr>
              <w:jc w:val="center"/>
              <w:rPr>
                <w:sz w:val="21"/>
                <w:szCs w:val="21"/>
              </w:rPr>
            </w:pPr>
            <w:r>
              <w:rPr>
                <w:rFonts w:hint="eastAsia"/>
                <w:sz w:val="21"/>
                <w:szCs w:val="21"/>
              </w:rPr>
              <w:t>武汉劳雷绿湾船舶科技有限公司</w:t>
            </w:r>
          </w:p>
        </w:tc>
        <w:tc>
          <w:tcPr>
            <w:tcW w:w="465" w:type="dxa"/>
            <w:tcBorders>
              <w:top w:val="single" w:color="auto" w:sz="4" w:space="0"/>
              <w:left w:val="single" w:color="auto" w:sz="4" w:space="0"/>
              <w:bottom w:val="single" w:color="auto" w:sz="4" w:space="0"/>
              <w:right w:val="single" w:color="auto" w:sz="4" w:space="0"/>
            </w:tcBorders>
            <w:shd w:val="clear" w:color="auto" w:fill="E1FFFF"/>
            <w:vAlign w:val="center"/>
          </w:tcPr>
          <w:p>
            <w:pPr>
              <w:jc w:val="center"/>
              <w:rPr>
                <w:sz w:val="21"/>
                <w:szCs w:val="21"/>
              </w:rPr>
            </w:pPr>
            <w:r>
              <w:rPr>
                <w:rFonts w:hint="eastAsia"/>
                <w:sz w:val="21"/>
                <w:szCs w:val="21"/>
              </w:rPr>
              <w:t>浙江海兰信海洋信息科技有限公司</w:t>
            </w:r>
          </w:p>
        </w:tc>
      </w:tr>
      <w:tr>
        <w:tblPrEx>
          <w:tblLayout w:type="fixed"/>
          <w:tblCellMar>
            <w:top w:w="0" w:type="dxa"/>
            <w:left w:w="28" w:type="dxa"/>
            <w:bottom w:w="0" w:type="dxa"/>
            <w:right w:w="28" w:type="dxa"/>
          </w:tblCellMar>
        </w:tblPrEx>
        <w:tc>
          <w:tcPr>
            <w:tcW w:w="45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15"/>
                <w:szCs w:val="15"/>
              </w:rPr>
            </w:pPr>
            <w:r>
              <w:rPr>
                <w:rFonts w:hint="eastAsia"/>
                <w:sz w:val="15"/>
                <w:szCs w:val="15"/>
              </w:rPr>
              <w:t>流动资产</w:t>
            </w:r>
          </w:p>
        </w:tc>
        <w:tc>
          <w:tcPr>
            <w:tcW w:w="9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13,037,864.06</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36,289,156.54</w:t>
            </w:r>
          </w:p>
        </w:tc>
        <w:tc>
          <w:tcPr>
            <w:tcW w:w="9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3,633,469.68</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16,385,671.97</w:t>
            </w:r>
          </w:p>
        </w:tc>
        <w:tc>
          <w:tcPr>
            <w:tcW w:w="9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37,620,698.27</w:t>
            </w:r>
          </w:p>
        </w:tc>
        <w:tc>
          <w:tcPr>
            <w:tcW w:w="9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11,182,768.65</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59,270,743.65</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12,065,390.22</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17,036,266.56</w:t>
            </w:r>
          </w:p>
        </w:tc>
        <w:tc>
          <w:tcPr>
            <w:tcW w:w="46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p>
        </w:tc>
      </w:tr>
      <w:tr>
        <w:tblPrEx>
          <w:tblLayout w:type="fixed"/>
          <w:tblCellMar>
            <w:top w:w="0" w:type="dxa"/>
            <w:left w:w="28" w:type="dxa"/>
            <w:bottom w:w="0" w:type="dxa"/>
            <w:right w:w="28" w:type="dxa"/>
          </w:tblCellMar>
        </w:tblPrEx>
        <w:tc>
          <w:tcPr>
            <w:tcW w:w="45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15"/>
                <w:szCs w:val="15"/>
              </w:rPr>
            </w:pPr>
            <w:r>
              <w:rPr>
                <w:rFonts w:hint="eastAsia"/>
                <w:sz w:val="15"/>
                <w:szCs w:val="15"/>
              </w:rPr>
              <w:t>非流动资产</w:t>
            </w:r>
          </w:p>
        </w:tc>
        <w:tc>
          <w:tcPr>
            <w:tcW w:w="9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23,649.25</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34,725,480.31</w:t>
            </w:r>
          </w:p>
        </w:tc>
        <w:tc>
          <w:tcPr>
            <w:tcW w:w="9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5,053,884.34</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3,357,872.31</w:t>
            </w:r>
          </w:p>
        </w:tc>
        <w:tc>
          <w:tcPr>
            <w:tcW w:w="9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12,500,000.00</w:t>
            </w:r>
          </w:p>
        </w:tc>
        <w:tc>
          <w:tcPr>
            <w:tcW w:w="9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7,936.09</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9,452,754.45</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61,054.26</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4,161,836.81</w:t>
            </w:r>
          </w:p>
        </w:tc>
        <w:tc>
          <w:tcPr>
            <w:tcW w:w="46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p>
        </w:tc>
      </w:tr>
      <w:tr>
        <w:tblPrEx>
          <w:tblLayout w:type="fixed"/>
          <w:tblCellMar>
            <w:top w:w="0" w:type="dxa"/>
            <w:left w:w="28" w:type="dxa"/>
            <w:bottom w:w="0" w:type="dxa"/>
            <w:right w:w="28" w:type="dxa"/>
          </w:tblCellMar>
        </w:tblPrEx>
        <w:tc>
          <w:tcPr>
            <w:tcW w:w="45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15"/>
                <w:szCs w:val="15"/>
              </w:rPr>
            </w:pPr>
            <w:r>
              <w:rPr>
                <w:rFonts w:hint="eastAsia"/>
                <w:sz w:val="15"/>
                <w:szCs w:val="15"/>
              </w:rPr>
              <w:t>资产合计</w:t>
            </w:r>
          </w:p>
        </w:tc>
        <w:tc>
          <w:tcPr>
            <w:tcW w:w="9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13,061,513.31</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71,014,636.85</w:t>
            </w:r>
          </w:p>
        </w:tc>
        <w:tc>
          <w:tcPr>
            <w:tcW w:w="9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8,687,354.02</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19,743,544.28</w:t>
            </w:r>
          </w:p>
        </w:tc>
        <w:tc>
          <w:tcPr>
            <w:tcW w:w="9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50,120,698.27</w:t>
            </w:r>
          </w:p>
        </w:tc>
        <w:tc>
          <w:tcPr>
            <w:tcW w:w="9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11,190,704.74</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68,723,498.10</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12,126,444.48</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21,198,103.37</w:t>
            </w:r>
          </w:p>
        </w:tc>
        <w:tc>
          <w:tcPr>
            <w:tcW w:w="46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p>
        </w:tc>
      </w:tr>
      <w:tr>
        <w:tblPrEx>
          <w:tblLayout w:type="fixed"/>
          <w:tblCellMar>
            <w:top w:w="0" w:type="dxa"/>
            <w:left w:w="28" w:type="dxa"/>
            <w:bottom w:w="0" w:type="dxa"/>
            <w:right w:w="28" w:type="dxa"/>
          </w:tblCellMar>
        </w:tblPrEx>
        <w:tc>
          <w:tcPr>
            <w:tcW w:w="45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15"/>
                <w:szCs w:val="15"/>
              </w:rPr>
            </w:pPr>
            <w:r>
              <w:rPr>
                <w:rFonts w:hint="eastAsia"/>
                <w:sz w:val="15"/>
                <w:szCs w:val="15"/>
              </w:rPr>
              <w:t>流动负债</w:t>
            </w:r>
          </w:p>
        </w:tc>
        <w:tc>
          <w:tcPr>
            <w:tcW w:w="9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11,741.01</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895,739.09</w:t>
            </w:r>
          </w:p>
        </w:tc>
        <w:tc>
          <w:tcPr>
            <w:tcW w:w="9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349,489.40</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999,700.52</w:t>
            </w:r>
          </w:p>
        </w:tc>
        <w:tc>
          <w:tcPr>
            <w:tcW w:w="9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203,651.50</w:t>
            </w:r>
          </w:p>
        </w:tc>
        <w:tc>
          <w:tcPr>
            <w:tcW w:w="9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5,754.61</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126,645.15</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901,981.56</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1,694,421.16</w:t>
            </w:r>
          </w:p>
        </w:tc>
        <w:tc>
          <w:tcPr>
            <w:tcW w:w="46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p>
        </w:tc>
      </w:tr>
      <w:tr>
        <w:tblPrEx>
          <w:tblLayout w:type="fixed"/>
          <w:tblCellMar>
            <w:top w:w="0" w:type="dxa"/>
            <w:left w:w="28" w:type="dxa"/>
            <w:bottom w:w="0" w:type="dxa"/>
            <w:right w:w="28" w:type="dxa"/>
          </w:tblCellMar>
        </w:tblPrEx>
        <w:tc>
          <w:tcPr>
            <w:tcW w:w="45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15"/>
                <w:szCs w:val="15"/>
              </w:rPr>
            </w:pPr>
            <w:r>
              <w:rPr>
                <w:rFonts w:hint="eastAsia"/>
                <w:sz w:val="15"/>
                <w:szCs w:val="15"/>
              </w:rPr>
              <w:t>负债合计</w:t>
            </w:r>
          </w:p>
        </w:tc>
        <w:tc>
          <w:tcPr>
            <w:tcW w:w="9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11,741.01</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895,739.09</w:t>
            </w:r>
          </w:p>
        </w:tc>
        <w:tc>
          <w:tcPr>
            <w:tcW w:w="9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349,489.40</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999,700.52</w:t>
            </w:r>
          </w:p>
        </w:tc>
        <w:tc>
          <w:tcPr>
            <w:tcW w:w="9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203,651.50</w:t>
            </w:r>
          </w:p>
        </w:tc>
        <w:tc>
          <w:tcPr>
            <w:tcW w:w="9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5,754.61</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126,645.15</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901,981.56</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1,694,421.16</w:t>
            </w:r>
          </w:p>
        </w:tc>
        <w:tc>
          <w:tcPr>
            <w:tcW w:w="46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p>
        </w:tc>
      </w:tr>
      <w:tr>
        <w:tblPrEx>
          <w:tblLayout w:type="fixed"/>
          <w:tblCellMar>
            <w:top w:w="0" w:type="dxa"/>
            <w:left w:w="28" w:type="dxa"/>
            <w:bottom w:w="0" w:type="dxa"/>
            <w:right w:w="28" w:type="dxa"/>
          </w:tblCellMar>
        </w:tblPrEx>
        <w:tc>
          <w:tcPr>
            <w:tcW w:w="45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15"/>
                <w:szCs w:val="15"/>
              </w:rPr>
            </w:pPr>
            <w:r>
              <w:rPr>
                <w:rFonts w:hint="eastAsia"/>
                <w:sz w:val="15"/>
                <w:szCs w:val="15"/>
              </w:rPr>
              <w:t>归属于母公司股东权益</w:t>
            </w:r>
          </w:p>
        </w:tc>
        <w:tc>
          <w:tcPr>
            <w:tcW w:w="9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13,049,772.30</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70,118,897.76</w:t>
            </w:r>
          </w:p>
        </w:tc>
        <w:tc>
          <w:tcPr>
            <w:tcW w:w="9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8,337,864.62</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18,743,843.76</w:t>
            </w:r>
          </w:p>
        </w:tc>
        <w:tc>
          <w:tcPr>
            <w:tcW w:w="9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49,917,046.77</w:t>
            </w:r>
          </w:p>
        </w:tc>
        <w:tc>
          <w:tcPr>
            <w:tcW w:w="9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11,184,950.13</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68,596,852.95</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11,224,462.92</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19,503,682.21</w:t>
            </w:r>
          </w:p>
        </w:tc>
        <w:tc>
          <w:tcPr>
            <w:tcW w:w="46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p>
        </w:tc>
      </w:tr>
      <w:tr>
        <w:tblPrEx>
          <w:tblLayout w:type="fixed"/>
          <w:tblCellMar>
            <w:top w:w="0" w:type="dxa"/>
            <w:left w:w="28" w:type="dxa"/>
            <w:bottom w:w="0" w:type="dxa"/>
            <w:right w:w="28" w:type="dxa"/>
          </w:tblCellMar>
        </w:tblPrEx>
        <w:tc>
          <w:tcPr>
            <w:tcW w:w="45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15"/>
                <w:szCs w:val="15"/>
              </w:rPr>
            </w:pPr>
            <w:r>
              <w:rPr>
                <w:rFonts w:hint="eastAsia"/>
                <w:sz w:val="15"/>
                <w:szCs w:val="15"/>
              </w:rPr>
              <w:t>按持股比例计算的净资产份额</w:t>
            </w:r>
          </w:p>
        </w:tc>
        <w:tc>
          <w:tcPr>
            <w:tcW w:w="9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2,175,397.04</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30,050,856.02</w:t>
            </w:r>
          </w:p>
        </w:tc>
        <w:tc>
          <w:tcPr>
            <w:tcW w:w="9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2,501,359.37</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6,560,345.32</w:t>
            </w:r>
          </w:p>
        </w:tc>
        <w:tc>
          <w:tcPr>
            <w:tcW w:w="9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19,966,818.71</w:t>
            </w:r>
          </w:p>
        </w:tc>
        <w:tc>
          <w:tcPr>
            <w:tcW w:w="9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2,236,990.03</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29,398,553.27</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3,367,338.88</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6,826,288.77</w:t>
            </w:r>
          </w:p>
        </w:tc>
        <w:tc>
          <w:tcPr>
            <w:tcW w:w="46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p>
        </w:tc>
      </w:tr>
      <w:tr>
        <w:tblPrEx>
          <w:tblLayout w:type="fixed"/>
          <w:tblCellMar>
            <w:top w:w="0" w:type="dxa"/>
            <w:left w:w="28" w:type="dxa"/>
            <w:bottom w:w="0" w:type="dxa"/>
            <w:right w:w="28" w:type="dxa"/>
          </w:tblCellMar>
        </w:tblPrEx>
        <w:tc>
          <w:tcPr>
            <w:tcW w:w="45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15"/>
                <w:szCs w:val="15"/>
              </w:rPr>
            </w:pPr>
            <w:r>
              <w:rPr>
                <w:sz w:val="15"/>
                <w:szCs w:val="15"/>
              </w:rPr>
              <w:t>--</w:t>
            </w:r>
            <w:r>
              <w:rPr>
                <w:rFonts w:hint="eastAsia"/>
                <w:sz w:val="15"/>
                <w:szCs w:val="15"/>
              </w:rPr>
              <w:t>商誉</w:t>
            </w:r>
          </w:p>
        </w:tc>
        <w:tc>
          <w:tcPr>
            <w:tcW w:w="9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p>
        </w:tc>
        <w:tc>
          <w:tcPr>
            <w:tcW w:w="9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8,581,082.56</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6,172,012.85</w:t>
            </w:r>
          </w:p>
        </w:tc>
        <w:tc>
          <w:tcPr>
            <w:tcW w:w="9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p>
        </w:tc>
        <w:tc>
          <w:tcPr>
            <w:tcW w:w="9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8,581,082.56</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6,172,012.85</w:t>
            </w:r>
          </w:p>
        </w:tc>
        <w:tc>
          <w:tcPr>
            <w:tcW w:w="46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p>
        </w:tc>
      </w:tr>
      <w:tr>
        <w:tblPrEx>
          <w:tblLayout w:type="fixed"/>
          <w:tblCellMar>
            <w:top w:w="0" w:type="dxa"/>
            <w:left w:w="28" w:type="dxa"/>
            <w:bottom w:w="0" w:type="dxa"/>
            <w:right w:w="28" w:type="dxa"/>
          </w:tblCellMar>
        </w:tblPrEx>
        <w:tc>
          <w:tcPr>
            <w:tcW w:w="45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15"/>
                <w:szCs w:val="15"/>
              </w:rPr>
            </w:pPr>
            <w:r>
              <w:rPr>
                <w:sz w:val="15"/>
                <w:szCs w:val="15"/>
              </w:rPr>
              <w:t>--</w:t>
            </w:r>
            <w:r>
              <w:rPr>
                <w:rFonts w:hint="eastAsia"/>
                <w:sz w:val="15"/>
                <w:szCs w:val="15"/>
              </w:rPr>
              <w:t>其他</w:t>
            </w:r>
          </w:p>
        </w:tc>
        <w:tc>
          <w:tcPr>
            <w:tcW w:w="9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-53,865.11</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175,258.96</w:t>
            </w:r>
          </w:p>
        </w:tc>
        <w:tc>
          <w:tcPr>
            <w:tcW w:w="9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-400.53</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-43,018.40</w:t>
            </w:r>
          </w:p>
        </w:tc>
        <w:tc>
          <w:tcPr>
            <w:tcW w:w="9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p>
        </w:tc>
        <w:tc>
          <w:tcPr>
            <w:tcW w:w="9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-53,413.62</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175,196.16</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p>
        </w:tc>
        <w:tc>
          <w:tcPr>
            <w:tcW w:w="46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p>
        </w:tc>
      </w:tr>
      <w:tr>
        <w:tblPrEx>
          <w:tblLayout w:type="fixed"/>
          <w:tblCellMar>
            <w:top w:w="0" w:type="dxa"/>
            <w:left w:w="28" w:type="dxa"/>
            <w:bottom w:w="0" w:type="dxa"/>
            <w:right w:w="28" w:type="dxa"/>
          </w:tblCellMar>
        </w:tblPrEx>
        <w:tc>
          <w:tcPr>
            <w:tcW w:w="45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15"/>
                <w:szCs w:val="15"/>
              </w:rPr>
            </w:pPr>
            <w:r>
              <w:rPr>
                <w:rFonts w:hint="eastAsia"/>
                <w:sz w:val="15"/>
                <w:szCs w:val="15"/>
              </w:rPr>
              <w:t>对联营企业权益投资的账面价值</w:t>
            </w:r>
          </w:p>
        </w:tc>
        <w:tc>
          <w:tcPr>
            <w:tcW w:w="9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2,121,531.93</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30,226,114.98</w:t>
            </w:r>
          </w:p>
        </w:tc>
        <w:tc>
          <w:tcPr>
            <w:tcW w:w="9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11,082,041.40</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12,689,339.77</w:t>
            </w:r>
          </w:p>
        </w:tc>
        <w:tc>
          <w:tcPr>
            <w:tcW w:w="9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19,966,818.71</w:t>
            </w:r>
          </w:p>
        </w:tc>
        <w:tc>
          <w:tcPr>
            <w:tcW w:w="9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2,183,576.41</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29,573,749.43</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11,948,421.44</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12,998,301.62</w:t>
            </w:r>
          </w:p>
        </w:tc>
        <w:tc>
          <w:tcPr>
            <w:tcW w:w="46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p>
        </w:tc>
      </w:tr>
      <w:tr>
        <w:tblPrEx>
          <w:tblLayout w:type="fixed"/>
          <w:tblCellMar>
            <w:top w:w="0" w:type="dxa"/>
            <w:left w:w="28" w:type="dxa"/>
            <w:bottom w:w="0" w:type="dxa"/>
            <w:right w:w="28" w:type="dxa"/>
          </w:tblCellMar>
        </w:tblPrEx>
        <w:tc>
          <w:tcPr>
            <w:tcW w:w="45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15"/>
                <w:szCs w:val="15"/>
              </w:rPr>
            </w:pPr>
            <w:r>
              <w:rPr>
                <w:rFonts w:hint="eastAsia"/>
                <w:sz w:val="15"/>
                <w:szCs w:val="15"/>
              </w:rPr>
              <w:t>营业收入</w:t>
            </w:r>
          </w:p>
        </w:tc>
        <w:tc>
          <w:tcPr>
            <w:tcW w:w="9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p>
        </w:tc>
        <w:tc>
          <w:tcPr>
            <w:tcW w:w="9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514,660.19</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698,904.25</w:t>
            </w:r>
          </w:p>
        </w:tc>
        <w:tc>
          <w:tcPr>
            <w:tcW w:w="9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p>
        </w:tc>
        <w:tc>
          <w:tcPr>
            <w:tcW w:w="9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576,882.97</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1,586,451.78</w:t>
            </w:r>
          </w:p>
        </w:tc>
        <w:tc>
          <w:tcPr>
            <w:tcW w:w="46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p>
        </w:tc>
      </w:tr>
      <w:tr>
        <w:tblPrEx>
          <w:tblLayout w:type="fixed"/>
          <w:tblCellMar>
            <w:top w:w="0" w:type="dxa"/>
            <w:left w:w="28" w:type="dxa"/>
            <w:bottom w:w="0" w:type="dxa"/>
            <w:right w:w="28" w:type="dxa"/>
          </w:tblCellMar>
        </w:tblPrEx>
        <w:tc>
          <w:tcPr>
            <w:tcW w:w="45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15"/>
                <w:szCs w:val="15"/>
              </w:rPr>
            </w:pPr>
            <w:r>
              <w:rPr>
                <w:rFonts w:hint="eastAsia"/>
                <w:sz w:val="15"/>
                <w:szCs w:val="15"/>
              </w:rPr>
              <w:t>净利润</w:t>
            </w:r>
          </w:p>
        </w:tc>
        <w:tc>
          <w:tcPr>
            <w:tcW w:w="9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-1,135,177.83</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-571,478.06</w:t>
            </w:r>
          </w:p>
        </w:tc>
        <w:tc>
          <w:tcPr>
            <w:tcW w:w="9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-2,887,933.45</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-882,748.15</w:t>
            </w:r>
          </w:p>
        </w:tc>
        <w:tc>
          <w:tcPr>
            <w:tcW w:w="9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-82,953.23</w:t>
            </w:r>
          </w:p>
        </w:tc>
        <w:tc>
          <w:tcPr>
            <w:tcW w:w="9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-614,264.28</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-999,149.67</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-860,437.08</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1,727,903.74</w:t>
            </w:r>
          </w:p>
        </w:tc>
        <w:tc>
          <w:tcPr>
            <w:tcW w:w="46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p>
        </w:tc>
      </w:tr>
      <w:tr>
        <w:tblPrEx>
          <w:tblLayout w:type="fixed"/>
          <w:tblCellMar>
            <w:top w:w="0" w:type="dxa"/>
            <w:left w:w="28" w:type="dxa"/>
            <w:bottom w:w="0" w:type="dxa"/>
            <w:right w:w="28" w:type="dxa"/>
          </w:tblCellMar>
        </w:tblPrEx>
        <w:tc>
          <w:tcPr>
            <w:tcW w:w="45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15"/>
                <w:szCs w:val="15"/>
              </w:rPr>
            </w:pPr>
            <w:r>
              <w:rPr>
                <w:rFonts w:hint="eastAsia"/>
                <w:sz w:val="15"/>
                <w:szCs w:val="15"/>
              </w:rPr>
              <w:t>其他综合收益</w:t>
            </w:r>
          </w:p>
        </w:tc>
        <w:tc>
          <w:tcPr>
            <w:tcW w:w="9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2,093,522.87</w:t>
            </w:r>
          </w:p>
        </w:tc>
        <w:tc>
          <w:tcPr>
            <w:tcW w:w="9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p>
        </w:tc>
        <w:tc>
          <w:tcPr>
            <w:tcW w:w="9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p>
        </w:tc>
        <w:tc>
          <w:tcPr>
            <w:tcW w:w="9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p>
        </w:tc>
        <w:tc>
          <w:tcPr>
            <w:tcW w:w="46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p>
        </w:tc>
      </w:tr>
      <w:tr>
        <w:tblPrEx>
          <w:tblLayout w:type="fixed"/>
          <w:tblCellMar>
            <w:top w:w="0" w:type="dxa"/>
            <w:left w:w="28" w:type="dxa"/>
            <w:bottom w:w="0" w:type="dxa"/>
            <w:right w:w="28" w:type="dxa"/>
          </w:tblCellMar>
        </w:tblPrEx>
        <w:tc>
          <w:tcPr>
            <w:tcW w:w="45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15"/>
                <w:szCs w:val="15"/>
              </w:rPr>
            </w:pPr>
            <w:r>
              <w:rPr>
                <w:rFonts w:hint="eastAsia"/>
                <w:sz w:val="15"/>
                <w:szCs w:val="15"/>
              </w:rPr>
              <w:t>综合收益总额</w:t>
            </w:r>
          </w:p>
        </w:tc>
        <w:tc>
          <w:tcPr>
            <w:tcW w:w="9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-1,135,177.83</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1,522,044.81</w:t>
            </w:r>
          </w:p>
        </w:tc>
        <w:tc>
          <w:tcPr>
            <w:tcW w:w="9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-2,887,933.45</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-882,748.15</w:t>
            </w:r>
          </w:p>
        </w:tc>
        <w:tc>
          <w:tcPr>
            <w:tcW w:w="97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-82,953.23</w:t>
            </w:r>
          </w:p>
        </w:tc>
        <w:tc>
          <w:tcPr>
            <w:tcW w:w="97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-614,264.28</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-999,149.67</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-860,437.08</w:t>
            </w:r>
          </w:p>
        </w:tc>
        <w:tc>
          <w:tcPr>
            <w:tcW w:w="97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r>
              <w:rPr>
                <w:sz w:val="15"/>
                <w:szCs w:val="15"/>
              </w:rPr>
              <w:t>1,727,903.74</w:t>
            </w:r>
          </w:p>
        </w:tc>
        <w:tc>
          <w:tcPr>
            <w:tcW w:w="46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5"/>
                <w:szCs w:val="15"/>
              </w:rPr>
            </w:pPr>
          </w:p>
        </w:tc>
      </w:tr>
    </w:tbl>
    <w:p>
      <w:pPr>
        <w:pStyle w:val="10"/>
        <w:outlineLvl w:val="1"/>
        <w:rPr>
          <w:bCs w:val="0"/>
        </w:rPr>
      </w:pPr>
      <w:r>
        <w:rPr>
          <w:rFonts w:hint="eastAsia"/>
          <w:bCs w:val="0"/>
        </w:rPr>
        <w:t>十、关联方及关联交易</w:t>
      </w:r>
    </w:p>
    <w:p>
      <w:pPr>
        <w:pStyle w:val="11"/>
        <w:outlineLvl w:val="2"/>
        <w:rPr>
          <w:bCs w:val="0"/>
          <w:szCs w:val="24"/>
        </w:rPr>
      </w:pPr>
      <w:r>
        <w:rPr>
          <w:bCs w:val="0"/>
          <w:szCs w:val="24"/>
        </w:rPr>
        <w:t>1</w:t>
      </w:r>
      <w:r>
        <w:rPr>
          <w:rFonts w:hint="eastAsia"/>
          <w:bCs w:val="0"/>
          <w:szCs w:val="24"/>
        </w:rPr>
        <w:t>、本企业的母公司情况</w:t>
      </w:r>
    </w:p>
    <w:tbl>
      <w:tblPr>
        <w:tblStyle w:val="8"/>
        <w:tblW w:w="9566" w:type="dxa"/>
        <w:tblInd w:w="28" w:type="dxa"/>
        <w:tblLayout w:type="fixed"/>
        <w:tblCellMar>
          <w:top w:w="0" w:type="dxa"/>
          <w:left w:w="28" w:type="dxa"/>
          <w:bottom w:w="0" w:type="dxa"/>
          <w:right w:w="28" w:type="dxa"/>
        </w:tblCellMar>
      </w:tblPr>
      <w:tblGrid>
        <w:gridCol w:w="1595"/>
        <w:gridCol w:w="1594"/>
        <w:gridCol w:w="1594"/>
        <w:gridCol w:w="1594"/>
        <w:gridCol w:w="1594"/>
        <w:gridCol w:w="1595"/>
      </w:tblGrid>
      <w:tr>
        <w:tblPrEx>
          <w:tblLayout w:type="fixed"/>
          <w:tblCellMar>
            <w:top w:w="0" w:type="dxa"/>
            <w:left w:w="28" w:type="dxa"/>
            <w:bottom w:w="0" w:type="dxa"/>
            <w:right w:w="28" w:type="dxa"/>
          </w:tblCellMar>
        </w:tblPrEx>
        <w:tc>
          <w:tcPr>
            <w:tcW w:w="159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母公司名称</w:t>
            </w:r>
          </w:p>
        </w:tc>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注册地</w:t>
            </w:r>
          </w:p>
        </w:tc>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业务性质</w:t>
            </w:r>
          </w:p>
        </w:tc>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注册资本</w:t>
            </w:r>
          </w:p>
        </w:tc>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母公司对本企业的持股比例</w:t>
            </w:r>
          </w:p>
        </w:tc>
        <w:tc>
          <w:tcPr>
            <w:tcW w:w="159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母公司对本企业的表决权比例</w:t>
            </w:r>
          </w:p>
        </w:tc>
      </w:tr>
    </w:tbl>
    <w:p>
      <w:pPr>
        <w:jc w:val="left"/>
        <w:rPr>
          <w:sz w:val="21"/>
          <w:szCs w:val="21"/>
        </w:rPr>
      </w:pPr>
      <w:r>
        <w:rPr>
          <w:rFonts w:hint="eastAsia"/>
          <w:sz w:val="21"/>
          <w:szCs w:val="21"/>
        </w:rPr>
        <w:t>本企业的母公司情况的说明</w:t>
      </w:r>
    </w:p>
    <w:p>
      <w:pPr>
        <w:jc w:val="left"/>
        <w:rPr>
          <w:sz w:val="21"/>
          <w:szCs w:val="21"/>
        </w:rPr>
      </w:pPr>
      <w:r>
        <w:rPr>
          <w:rFonts w:hint="eastAsia"/>
          <w:sz w:val="21"/>
          <w:szCs w:val="21"/>
        </w:rPr>
        <w:t>无</w:t>
      </w:r>
    </w:p>
    <w:p>
      <w:pPr>
        <w:jc w:val="left"/>
        <w:rPr>
          <w:sz w:val="21"/>
          <w:szCs w:val="21"/>
        </w:rPr>
      </w:pPr>
      <w:r>
        <w:rPr>
          <w:rFonts w:hint="eastAsia"/>
          <w:sz w:val="21"/>
          <w:szCs w:val="21"/>
        </w:rPr>
        <w:t>本企业最终控制方是申万秋。</w:t>
      </w:r>
    </w:p>
    <w:p>
      <w:pPr>
        <w:jc w:val="left"/>
        <w:rPr>
          <w:sz w:val="21"/>
          <w:szCs w:val="21"/>
        </w:rPr>
      </w:pPr>
      <w:r>
        <w:rPr>
          <w:rFonts w:hint="eastAsia"/>
          <w:sz w:val="21"/>
          <w:szCs w:val="21"/>
        </w:rPr>
        <w:t>其他说明：</w:t>
      </w:r>
    </w:p>
    <w:tbl>
      <w:tblPr>
        <w:tblStyle w:val="8"/>
        <w:tblW w:w="9658" w:type="dxa"/>
        <w:tblInd w:w="0" w:type="dxa"/>
        <w:tblBorders>
          <w:top w:val="single" w:color="auto" w:sz="6" w:space="0"/>
          <w:left w:val="none" w:color="auto" w:sz="0" w:space="0"/>
          <w:bottom w:val="single" w:color="auto" w:sz="6" w:space="0"/>
          <w:right w:val="single" w:color="auto" w:sz="4" w:space="0"/>
          <w:insideH w:val="single" w:color="auto" w:sz="6" w:space="0"/>
          <w:insideV w:val="single" w:color="auto" w:sz="6" w:space="0"/>
        </w:tblBorders>
        <w:tblLayout w:type="fixed"/>
        <w:tblCellMar>
          <w:top w:w="10" w:type="dxa"/>
          <w:left w:w="10" w:type="dxa"/>
          <w:bottom w:w="10" w:type="dxa"/>
          <w:right w:w="10" w:type="dxa"/>
        </w:tblCellMar>
      </w:tblPr>
      <w:tblGrid>
        <w:gridCol w:w="2579"/>
        <w:gridCol w:w="1881"/>
        <w:gridCol w:w="1634"/>
        <w:gridCol w:w="1783"/>
        <w:gridCol w:w="1781"/>
      </w:tblGrid>
      <w:tr>
        <w:tblPrEx>
          <w:tblBorders>
            <w:top w:val="single" w:color="auto" w:sz="6" w:space="0"/>
            <w:left w:val="none" w:color="auto" w:sz="0" w:space="0"/>
            <w:bottom w:val="single" w:color="auto" w:sz="6" w:space="0"/>
            <w:right w:val="single" w:color="auto" w:sz="4" w:space="0"/>
            <w:insideH w:val="single" w:color="auto" w:sz="6" w:space="0"/>
            <w:insideV w:val="single" w:color="auto" w:sz="6" w:space="0"/>
          </w:tblBorders>
          <w:tblLayout w:type="fixed"/>
          <w:tblCellMar>
            <w:top w:w="10" w:type="dxa"/>
            <w:left w:w="10" w:type="dxa"/>
            <w:bottom w:w="10" w:type="dxa"/>
            <w:right w:w="10" w:type="dxa"/>
          </w:tblCellMar>
        </w:tblPrEx>
        <w:trPr>
          <w:trHeight w:val="312" w:hRule="atLeast"/>
        </w:trPr>
        <w:tc>
          <w:tcPr>
            <w:tcW w:w="2579" w:type="dxa"/>
            <w:vMerge w:val="restart"/>
            <w:tcBorders>
              <w:left w:val="single" w:color="auto" w:sz="6" w:space="0"/>
            </w:tcBorders>
          </w:tcPr>
          <w:p>
            <w:pPr>
              <w:autoSpaceDE w:val="0"/>
              <w:autoSpaceDN w:val="0"/>
              <w:adjustRightInd w:val="0"/>
              <w:spacing w:before="0" w:after="0"/>
              <w:rPr>
                <w:rFonts w:eastAsia="Times New Roman"/>
                <w:kern w:val="0"/>
                <w:sz w:val="21"/>
                <w:szCs w:val="21"/>
                <w:lang w:val="zh-CN"/>
              </w:rPr>
            </w:pPr>
            <w:r>
              <w:rPr>
                <w:rFonts w:hint="eastAsia" w:ascii="宋体" w:hAnsi="宋体" w:cs="宋体"/>
                <w:kern w:val="0"/>
                <w:sz w:val="21"/>
                <w:szCs w:val="21"/>
                <w:lang w:val="zh-CN"/>
              </w:rPr>
              <w:t>控股股东</w:t>
            </w:r>
          </w:p>
        </w:tc>
        <w:tc>
          <w:tcPr>
            <w:tcW w:w="3515" w:type="dxa"/>
            <w:gridSpan w:val="2"/>
            <w:vMerge w:val="restart"/>
          </w:tcPr>
          <w:p>
            <w:pPr>
              <w:autoSpaceDE w:val="0"/>
              <w:autoSpaceDN w:val="0"/>
              <w:adjustRightInd w:val="0"/>
              <w:spacing w:before="0" w:after="0"/>
              <w:jc w:val="center"/>
              <w:rPr>
                <w:rFonts w:eastAsia="Times New Roman"/>
                <w:kern w:val="0"/>
                <w:sz w:val="21"/>
                <w:szCs w:val="21"/>
                <w:lang w:val="zh-CN"/>
              </w:rPr>
            </w:pPr>
            <w:r>
              <w:rPr>
                <w:rFonts w:hint="eastAsia" w:ascii="宋体" w:hAnsi="宋体" w:cs="宋体"/>
                <w:kern w:val="0"/>
                <w:sz w:val="21"/>
                <w:szCs w:val="21"/>
                <w:lang w:val="zh-CN"/>
              </w:rPr>
              <w:t>持股金额</w:t>
            </w:r>
          </w:p>
        </w:tc>
        <w:tc>
          <w:tcPr>
            <w:tcW w:w="3564" w:type="dxa"/>
            <w:gridSpan w:val="2"/>
            <w:vMerge w:val="restart"/>
          </w:tcPr>
          <w:p>
            <w:pPr>
              <w:autoSpaceDE w:val="0"/>
              <w:autoSpaceDN w:val="0"/>
              <w:adjustRightInd w:val="0"/>
              <w:spacing w:before="0" w:after="0"/>
              <w:jc w:val="center"/>
              <w:rPr>
                <w:rFonts w:eastAsia="Times New Roman"/>
                <w:kern w:val="0"/>
                <w:sz w:val="21"/>
                <w:szCs w:val="21"/>
                <w:lang w:val="zh-CN"/>
              </w:rPr>
            </w:pPr>
            <w:r>
              <w:rPr>
                <w:rFonts w:hint="eastAsia" w:ascii="宋体" w:hAnsi="宋体" w:cs="宋体"/>
                <w:kern w:val="0"/>
                <w:sz w:val="21"/>
                <w:szCs w:val="21"/>
                <w:lang w:val="zh-CN"/>
              </w:rPr>
              <w:t>持股比例（</w:t>
            </w:r>
            <w:r>
              <w:rPr>
                <w:rFonts w:eastAsia="Times New Roman"/>
                <w:kern w:val="0"/>
                <w:sz w:val="21"/>
                <w:szCs w:val="21"/>
                <w:lang w:val="zh-CN"/>
              </w:rPr>
              <w:t>%</w:t>
            </w:r>
            <w:r>
              <w:rPr>
                <w:rFonts w:hint="eastAsia" w:ascii="宋体" w:hAnsi="宋体" w:cs="宋体"/>
                <w:kern w:val="0"/>
                <w:sz w:val="21"/>
                <w:szCs w:val="21"/>
                <w:lang w:val="zh-CN"/>
              </w:rPr>
              <w:t>）</w:t>
            </w:r>
          </w:p>
        </w:tc>
      </w:tr>
      <w:tr>
        <w:tblPrEx>
          <w:tblBorders>
            <w:top w:val="single" w:color="auto" w:sz="6" w:space="0"/>
            <w:left w:val="none" w:color="auto" w:sz="0" w:space="0"/>
            <w:bottom w:val="single" w:color="auto" w:sz="6" w:space="0"/>
            <w:right w:val="single" w:color="auto" w:sz="4" w:space="0"/>
            <w:insideH w:val="single" w:color="auto" w:sz="6" w:space="0"/>
            <w:insideV w:val="single" w:color="auto" w:sz="6" w:space="0"/>
          </w:tblBorders>
          <w:tblLayout w:type="fixed"/>
          <w:tblCellMar>
            <w:top w:w="10" w:type="dxa"/>
            <w:left w:w="10" w:type="dxa"/>
            <w:bottom w:w="10" w:type="dxa"/>
            <w:right w:w="10" w:type="dxa"/>
          </w:tblCellMar>
        </w:tblPrEx>
        <w:trPr>
          <w:trHeight w:val="312" w:hRule="atLeast"/>
        </w:trPr>
        <w:tc>
          <w:tcPr>
            <w:tcW w:w="2579" w:type="dxa"/>
            <w:vMerge w:val="continue"/>
            <w:tcBorders>
              <w:left w:val="single" w:color="auto" w:sz="6" w:space="0"/>
            </w:tcBorders>
          </w:tcPr>
          <w:p>
            <w:pPr>
              <w:autoSpaceDE w:val="0"/>
              <w:autoSpaceDN w:val="0"/>
              <w:adjustRightInd w:val="0"/>
              <w:spacing w:before="0" w:after="0"/>
              <w:jc w:val="left"/>
              <w:rPr>
                <w:rFonts w:eastAsia="Times New Roman"/>
                <w:kern w:val="0"/>
                <w:sz w:val="21"/>
                <w:szCs w:val="21"/>
                <w:lang w:val="zh-CN"/>
              </w:rPr>
            </w:pPr>
          </w:p>
        </w:tc>
        <w:tc>
          <w:tcPr>
            <w:tcW w:w="1881" w:type="dxa"/>
            <w:vMerge w:val="restart"/>
          </w:tcPr>
          <w:p>
            <w:pPr>
              <w:autoSpaceDE w:val="0"/>
              <w:autoSpaceDN w:val="0"/>
              <w:adjustRightInd w:val="0"/>
              <w:spacing w:before="0" w:after="0"/>
              <w:jc w:val="center"/>
              <w:rPr>
                <w:rFonts w:eastAsia="Times New Roman"/>
                <w:kern w:val="0"/>
                <w:sz w:val="21"/>
                <w:szCs w:val="21"/>
                <w:lang w:val="zh-CN"/>
              </w:rPr>
            </w:pPr>
            <w:r>
              <w:rPr>
                <w:rFonts w:hint="eastAsia" w:ascii="宋体" w:hAnsi="宋体" w:cs="宋体"/>
                <w:kern w:val="0"/>
                <w:sz w:val="21"/>
                <w:szCs w:val="21"/>
                <w:lang w:val="zh-CN"/>
              </w:rPr>
              <w:t>年末金额</w:t>
            </w:r>
          </w:p>
        </w:tc>
        <w:tc>
          <w:tcPr>
            <w:tcW w:w="1634" w:type="dxa"/>
            <w:vMerge w:val="restart"/>
          </w:tcPr>
          <w:p>
            <w:pPr>
              <w:autoSpaceDE w:val="0"/>
              <w:autoSpaceDN w:val="0"/>
              <w:adjustRightInd w:val="0"/>
              <w:spacing w:before="0" w:after="0"/>
              <w:jc w:val="center"/>
              <w:rPr>
                <w:rFonts w:eastAsia="Times New Roman"/>
                <w:kern w:val="0"/>
                <w:sz w:val="21"/>
                <w:szCs w:val="21"/>
                <w:lang w:val="zh-CN"/>
              </w:rPr>
            </w:pPr>
            <w:r>
              <w:rPr>
                <w:rFonts w:hint="eastAsia" w:ascii="宋体" w:hAnsi="宋体" w:cs="宋体"/>
                <w:kern w:val="0"/>
                <w:sz w:val="21"/>
                <w:szCs w:val="21"/>
                <w:lang w:val="zh-CN"/>
              </w:rPr>
              <w:t>年初金额</w:t>
            </w:r>
          </w:p>
        </w:tc>
        <w:tc>
          <w:tcPr>
            <w:tcW w:w="1783" w:type="dxa"/>
            <w:vMerge w:val="restart"/>
          </w:tcPr>
          <w:p>
            <w:pPr>
              <w:autoSpaceDE w:val="0"/>
              <w:autoSpaceDN w:val="0"/>
              <w:adjustRightInd w:val="0"/>
              <w:spacing w:before="0" w:after="0"/>
              <w:jc w:val="center"/>
              <w:rPr>
                <w:rFonts w:eastAsia="Times New Roman"/>
                <w:kern w:val="0"/>
                <w:sz w:val="21"/>
                <w:szCs w:val="21"/>
                <w:lang w:val="zh-CN"/>
              </w:rPr>
            </w:pPr>
            <w:r>
              <w:rPr>
                <w:rFonts w:hint="eastAsia" w:ascii="宋体" w:hAnsi="宋体" w:cs="宋体"/>
                <w:kern w:val="0"/>
                <w:sz w:val="21"/>
                <w:szCs w:val="21"/>
                <w:lang w:val="zh-CN"/>
              </w:rPr>
              <w:t>年末比例</w:t>
            </w:r>
          </w:p>
        </w:tc>
        <w:tc>
          <w:tcPr>
            <w:tcW w:w="1781" w:type="dxa"/>
            <w:vMerge w:val="restart"/>
          </w:tcPr>
          <w:p>
            <w:pPr>
              <w:autoSpaceDE w:val="0"/>
              <w:autoSpaceDN w:val="0"/>
              <w:adjustRightInd w:val="0"/>
              <w:spacing w:before="0" w:after="0"/>
              <w:jc w:val="center"/>
              <w:rPr>
                <w:rFonts w:eastAsia="Times New Roman"/>
                <w:kern w:val="0"/>
                <w:sz w:val="21"/>
                <w:szCs w:val="21"/>
                <w:lang w:val="zh-CN"/>
              </w:rPr>
            </w:pPr>
            <w:r>
              <w:rPr>
                <w:rFonts w:hint="eastAsia" w:ascii="宋体" w:hAnsi="宋体" w:cs="宋体"/>
                <w:kern w:val="0"/>
                <w:sz w:val="21"/>
                <w:szCs w:val="21"/>
                <w:lang w:val="zh-CN"/>
              </w:rPr>
              <w:t>年初比例</w:t>
            </w:r>
          </w:p>
        </w:tc>
      </w:tr>
      <w:tr>
        <w:tblPrEx>
          <w:tblBorders>
            <w:top w:val="single" w:color="auto" w:sz="6" w:space="0"/>
            <w:left w:val="none" w:color="auto" w:sz="0" w:space="0"/>
            <w:bottom w:val="single" w:color="auto" w:sz="6" w:space="0"/>
            <w:right w:val="single" w:color="auto" w:sz="4" w:space="0"/>
            <w:insideH w:val="single" w:color="auto" w:sz="6" w:space="0"/>
            <w:insideV w:val="single" w:color="auto" w:sz="6" w:space="0"/>
          </w:tblBorders>
          <w:tblLayout w:type="fixed"/>
          <w:tblCellMar>
            <w:top w:w="10" w:type="dxa"/>
            <w:left w:w="10" w:type="dxa"/>
            <w:bottom w:w="10" w:type="dxa"/>
            <w:right w:w="10" w:type="dxa"/>
          </w:tblCellMar>
        </w:tblPrEx>
        <w:trPr>
          <w:trHeight w:val="312" w:hRule="atLeast"/>
        </w:trPr>
        <w:tc>
          <w:tcPr>
            <w:tcW w:w="2579" w:type="dxa"/>
            <w:vMerge w:val="restart"/>
            <w:tcBorders>
              <w:left w:val="single" w:color="auto" w:sz="6" w:space="0"/>
            </w:tcBorders>
          </w:tcPr>
          <w:p>
            <w:pPr>
              <w:autoSpaceDE w:val="0"/>
              <w:autoSpaceDN w:val="0"/>
              <w:adjustRightInd w:val="0"/>
              <w:spacing w:before="0" w:after="0"/>
              <w:jc w:val="left"/>
              <w:rPr>
                <w:rFonts w:eastAsia="Times New Roman"/>
                <w:kern w:val="0"/>
                <w:sz w:val="21"/>
                <w:szCs w:val="21"/>
                <w:lang w:val="zh-CN"/>
              </w:rPr>
            </w:pPr>
            <w:r>
              <w:rPr>
                <w:rFonts w:hint="eastAsia" w:ascii="宋体" w:hAnsi="宋体" w:cs="宋体"/>
                <w:kern w:val="0"/>
                <w:sz w:val="21"/>
                <w:szCs w:val="21"/>
                <w:lang w:val="zh-CN"/>
              </w:rPr>
              <w:t>第一大股东申万秋</w:t>
            </w:r>
          </w:p>
        </w:tc>
        <w:tc>
          <w:tcPr>
            <w:tcW w:w="1881" w:type="dxa"/>
            <w:vMerge w:val="restart"/>
          </w:tcPr>
          <w:p>
            <w:pPr>
              <w:autoSpaceDE w:val="0"/>
              <w:autoSpaceDN w:val="0"/>
              <w:adjustRightInd w:val="0"/>
              <w:spacing w:before="0" w:after="0"/>
              <w:jc w:val="right"/>
              <w:rPr>
                <w:rFonts w:eastAsia="Times New Roman"/>
                <w:kern w:val="0"/>
                <w:sz w:val="21"/>
                <w:szCs w:val="21"/>
                <w:lang w:val="zh-CN"/>
              </w:rPr>
            </w:pPr>
            <w:r>
              <w:rPr>
                <w:rFonts w:eastAsia="Times New Roman"/>
                <w:kern w:val="0"/>
                <w:sz w:val="21"/>
                <w:szCs w:val="21"/>
                <w:lang w:val="en-GB"/>
              </w:rPr>
              <w:t>5,213.55</w:t>
            </w:r>
          </w:p>
        </w:tc>
        <w:tc>
          <w:tcPr>
            <w:tcW w:w="1634" w:type="dxa"/>
            <w:vMerge w:val="restart"/>
          </w:tcPr>
          <w:p>
            <w:pPr>
              <w:autoSpaceDE w:val="0"/>
              <w:autoSpaceDN w:val="0"/>
              <w:adjustRightInd w:val="0"/>
              <w:spacing w:before="0" w:after="0"/>
              <w:jc w:val="right"/>
              <w:rPr>
                <w:rFonts w:eastAsia="Times New Roman"/>
                <w:kern w:val="0"/>
                <w:sz w:val="21"/>
                <w:szCs w:val="21"/>
                <w:lang w:val="zh-CN"/>
              </w:rPr>
            </w:pPr>
            <w:r>
              <w:rPr>
                <w:rFonts w:eastAsia="Times New Roman"/>
                <w:kern w:val="0"/>
                <w:sz w:val="21"/>
                <w:szCs w:val="21"/>
                <w:lang w:val="en-GB"/>
              </w:rPr>
              <w:t>5,213.55</w:t>
            </w:r>
          </w:p>
        </w:tc>
        <w:tc>
          <w:tcPr>
            <w:tcW w:w="1783" w:type="dxa"/>
            <w:vMerge w:val="restart"/>
          </w:tcPr>
          <w:p>
            <w:pPr>
              <w:autoSpaceDE w:val="0"/>
              <w:autoSpaceDN w:val="0"/>
              <w:adjustRightInd w:val="0"/>
              <w:spacing w:before="0" w:after="0"/>
              <w:jc w:val="right"/>
              <w:rPr>
                <w:rFonts w:eastAsia="Times New Roman"/>
                <w:kern w:val="0"/>
                <w:sz w:val="21"/>
                <w:szCs w:val="21"/>
                <w:lang w:val="zh-CN"/>
              </w:rPr>
            </w:pPr>
            <w:r>
              <w:rPr>
                <w:rFonts w:eastAsia="Times New Roman"/>
                <w:kern w:val="0"/>
                <w:sz w:val="21"/>
                <w:szCs w:val="21"/>
                <w:lang w:val="en-GB"/>
              </w:rPr>
              <w:t>21.58</w:t>
            </w:r>
          </w:p>
        </w:tc>
        <w:tc>
          <w:tcPr>
            <w:tcW w:w="1781" w:type="dxa"/>
            <w:vMerge w:val="restart"/>
          </w:tcPr>
          <w:p>
            <w:pPr>
              <w:autoSpaceDE w:val="0"/>
              <w:autoSpaceDN w:val="0"/>
              <w:adjustRightInd w:val="0"/>
              <w:spacing w:before="0" w:after="0"/>
              <w:jc w:val="right"/>
              <w:rPr>
                <w:kern w:val="0"/>
                <w:sz w:val="21"/>
                <w:szCs w:val="21"/>
                <w:lang w:val="zh-CN"/>
              </w:rPr>
            </w:pPr>
            <w:r>
              <w:rPr>
                <w:rFonts w:eastAsia="Times New Roman"/>
                <w:kern w:val="0"/>
                <w:sz w:val="21"/>
                <w:szCs w:val="21"/>
                <w:lang w:val="en-GB"/>
              </w:rPr>
              <w:t>21.58</w:t>
            </w:r>
          </w:p>
        </w:tc>
      </w:tr>
      <w:tr>
        <w:tblPrEx>
          <w:tblBorders>
            <w:top w:val="single" w:color="auto" w:sz="6" w:space="0"/>
            <w:left w:val="none" w:color="auto" w:sz="0" w:space="0"/>
            <w:bottom w:val="single" w:color="auto" w:sz="6" w:space="0"/>
            <w:right w:val="single" w:color="auto" w:sz="4" w:space="0"/>
            <w:insideH w:val="single" w:color="auto" w:sz="6" w:space="0"/>
            <w:insideV w:val="single" w:color="auto" w:sz="6" w:space="0"/>
          </w:tblBorders>
          <w:tblLayout w:type="fixed"/>
          <w:tblCellMar>
            <w:top w:w="10" w:type="dxa"/>
            <w:left w:w="10" w:type="dxa"/>
            <w:bottom w:w="10" w:type="dxa"/>
            <w:right w:w="10" w:type="dxa"/>
          </w:tblCellMar>
        </w:tblPrEx>
        <w:trPr>
          <w:trHeight w:val="312" w:hRule="atLeast"/>
        </w:trPr>
        <w:tc>
          <w:tcPr>
            <w:tcW w:w="2579" w:type="dxa"/>
            <w:tcBorders>
              <w:left w:val="single" w:color="auto" w:sz="6" w:space="0"/>
            </w:tcBorders>
          </w:tcPr>
          <w:p>
            <w:pPr>
              <w:autoSpaceDE w:val="0"/>
              <w:autoSpaceDN w:val="0"/>
              <w:adjustRightInd w:val="0"/>
              <w:spacing w:before="0" w:after="0"/>
              <w:jc w:val="left"/>
              <w:rPr>
                <w:rFonts w:eastAsia="Times New Roman"/>
                <w:kern w:val="0"/>
                <w:sz w:val="21"/>
                <w:szCs w:val="21"/>
                <w:lang w:val="zh-CN"/>
              </w:rPr>
            </w:pPr>
            <w:r>
              <w:rPr>
                <w:rFonts w:hint="eastAsia" w:ascii="宋体" w:hAnsi="宋体" w:cs="宋体"/>
                <w:kern w:val="0"/>
                <w:sz w:val="21"/>
                <w:szCs w:val="21"/>
                <w:lang w:val="zh-CN"/>
              </w:rPr>
              <w:t>合计</w:t>
            </w:r>
          </w:p>
        </w:tc>
        <w:tc>
          <w:tcPr>
            <w:tcW w:w="1881" w:type="dxa"/>
          </w:tcPr>
          <w:p>
            <w:pPr>
              <w:autoSpaceDE w:val="0"/>
              <w:autoSpaceDN w:val="0"/>
              <w:adjustRightInd w:val="0"/>
              <w:spacing w:before="0" w:after="0"/>
              <w:jc w:val="right"/>
              <w:rPr>
                <w:rFonts w:eastAsia="Times New Roman"/>
                <w:kern w:val="0"/>
                <w:sz w:val="21"/>
                <w:szCs w:val="21"/>
                <w:lang w:val="zh-CN"/>
              </w:rPr>
            </w:pPr>
            <w:r>
              <w:rPr>
                <w:rFonts w:eastAsia="Times New Roman"/>
                <w:kern w:val="0"/>
                <w:sz w:val="21"/>
                <w:szCs w:val="21"/>
                <w:lang w:val="en-GB"/>
              </w:rPr>
              <w:t>5,213.55</w:t>
            </w:r>
          </w:p>
        </w:tc>
        <w:tc>
          <w:tcPr>
            <w:tcW w:w="1634" w:type="dxa"/>
          </w:tcPr>
          <w:p>
            <w:pPr>
              <w:autoSpaceDE w:val="0"/>
              <w:autoSpaceDN w:val="0"/>
              <w:adjustRightInd w:val="0"/>
              <w:spacing w:before="0" w:after="0"/>
              <w:jc w:val="right"/>
              <w:rPr>
                <w:rFonts w:eastAsia="Times New Roman"/>
                <w:kern w:val="0"/>
                <w:sz w:val="21"/>
                <w:szCs w:val="21"/>
                <w:lang w:val="zh-CN"/>
              </w:rPr>
            </w:pPr>
            <w:r>
              <w:rPr>
                <w:rFonts w:eastAsia="Times New Roman"/>
                <w:kern w:val="0"/>
                <w:sz w:val="21"/>
                <w:szCs w:val="21"/>
                <w:lang w:val="en-GB"/>
              </w:rPr>
              <w:t>5,213.55</w:t>
            </w:r>
          </w:p>
        </w:tc>
        <w:tc>
          <w:tcPr>
            <w:tcW w:w="1783" w:type="dxa"/>
          </w:tcPr>
          <w:p>
            <w:pPr>
              <w:autoSpaceDE w:val="0"/>
              <w:autoSpaceDN w:val="0"/>
              <w:adjustRightInd w:val="0"/>
              <w:spacing w:before="0" w:after="0"/>
              <w:jc w:val="right"/>
              <w:rPr>
                <w:rFonts w:eastAsia="Times New Roman"/>
                <w:kern w:val="0"/>
                <w:sz w:val="21"/>
                <w:szCs w:val="21"/>
                <w:lang w:val="zh-CN"/>
              </w:rPr>
            </w:pPr>
            <w:r>
              <w:rPr>
                <w:rFonts w:eastAsia="Times New Roman"/>
                <w:kern w:val="0"/>
                <w:sz w:val="21"/>
                <w:szCs w:val="21"/>
                <w:lang w:val="en-GB"/>
              </w:rPr>
              <w:t>21.58</w:t>
            </w:r>
          </w:p>
        </w:tc>
        <w:tc>
          <w:tcPr>
            <w:tcW w:w="1781" w:type="dxa"/>
          </w:tcPr>
          <w:p>
            <w:pPr>
              <w:autoSpaceDE w:val="0"/>
              <w:autoSpaceDN w:val="0"/>
              <w:adjustRightInd w:val="0"/>
              <w:spacing w:before="0" w:after="0"/>
              <w:jc w:val="right"/>
              <w:rPr>
                <w:rFonts w:eastAsia="Times New Roman"/>
                <w:kern w:val="0"/>
                <w:sz w:val="21"/>
                <w:szCs w:val="21"/>
                <w:lang w:val="zh-CN"/>
              </w:rPr>
            </w:pPr>
            <w:r>
              <w:rPr>
                <w:rFonts w:eastAsia="Times New Roman"/>
                <w:kern w:val="0"/>
                <w:sz w:val="21"/>
                <w:szCs w:val="21"/>
                <w:lang w:val="en-GB"/>
              </w:rPr>
              <w:t>21.58</w:t>
            </w:r>
          </w:p>
        </w:tc>
      </w:tr>
    </w:tbl>
    <w:p>
      <w:pPr>
        <w:autoSpaceDE w:val="0"/>
        <w:autoSpaceDN w:val="0"/>
        <w:adjustRightInd w:val="0"/>
        <w:spacing w:before="240" w:after="240"/>
        <w:ind w:firstLine="440"/>
        <w:jc w:val="left"/>
        <w:rPr>
          <w:rFonts w:eastAsia="Times New Roman"/>
          <w:kern w:val="0"/>
          <w:sz w:val="21"/>
          <w:szCs w:val="21"/>
          <w:lang w:val="zh-CN"/>
        </w:rPr>
      </w:pPr>
      <w:r>
        <w:rPr>
          <w:rFonts w:hint="eastAsia" w:ascii="宋体" w:hAnsi="宋体" w:cs="宋体"/>
          <w:kern w:val="0"/>
          <w:sz w:val="21"/>
          <w:szCs w:val="21"/>
          <w:lang w:val="zh-CN"/>
        </w:rPr>
        <w:t>注：上海言盛投资合伙企业（有限合伙）持本公司</w:t>
      </w:r>
      <w:r>
        <w:rPr>
          <w:rFonts w:eastAsia="Times New Roman"/>
          <w:kern w:val="0"/>
          <w:sz w:val="21"/>
          <w:szCs w:val="21"/>
          <w:lang w:val="en-GB"/>
        </w:rPr>
        <w:t>19,762,087.00</w:t>
      </w:r>
      <w:r>
        <w:rPr>
          <w:rFonts w:hint="eastAsia" w:ascii="宋体" w:hAnsi="宋体" w:cs="宋体"/>
          <w:kern w:val="0"/>
          <w:sz w:val="21"/>
          <w:szCs w:val="21"/>
          <w:lang w:val="zh-CN"/>
        </w:rPr>
        <w:t>的股份，持股比例为</w:t>
      </w:r>
      <w:r>
        <w:rPr>
          <w:rFonts w:eastAsia="Times New Roman"/>
          <w:kern w:val="0"/>
          <w:sz w:val="21"/>
          <w:szCs w:val="21"/>
          <w:lang w:val="en-GB"/>
        </w:rPr>
        <w:t>8.18%,</w:t>
      </w:r>
      <w:r>
        <w:rPr>
          <w:rFonts w:hint="eastAsia" w:ascii="宋体" w:hAnsi="宋体" w:cs="宋体"/>
          <w:kern w:val="0"/>
          <w:sz w:val="21"/>
          <w:szCs w:val="21"/>
          <w:lang w:val="zh-CN"/>
        </w:rPr>
        <w:t>该公司实际控制人为申万秋。</w:t>
      </w:r>
    </w:p>
    <w:p>
      <w:pPr>
        <w:pStyle w:val="11"/>
        <w:outlineLvl w:val="2"/>
        <w:rPr>
          <w:bCs w:val="0"/>
          <w:szCs w:val="24"/>
        </w:rPr>
      </w:pPr>
      <w:r>
        <w:rPr>
          <w:bCs w:val="0"/>
          <w:szCs w:val="24"/>
        </w:rPr>
        <w:t>2</w:t>
      </w:r>
      <w:r>
        <w:rPr>
          <w:rFonts w:hint="eastAsia"/>
          <w:bCs w:val="0"/>
          <w:szCs w:val="24"/>
        </w:rPr>
        <w:t>、本企业的子公司情况</w:t>
      </w:r>
    </w:p>
    <w:p>
      <w:pPr>
        <w:jc w:val="left"/>
        <w:rPr>
          <w:sz w:val="21"/>
          <w:szCs w:val="21"/>
        </w:rPr>
      </w:pPr>
      <w:r>
        <w:rPr>
          <w:rFonts w:hint="eastAsia"/>
          <w:sz w:val="21"/>
          <w:szCs w:val="21"/>
        </w:rPr>
        <w:t>本企业子公司的情况详见附注</w:t>
      </w:r>
      <w:r>
        <w:rPr>
          <w:sz w:val="21"/>
          <w:szCs w:val="21"/>
        </w:rPr>
        <w:t>”</w:t>
      </w:r>
      <w:r>
        <w:rPr>
          <w:rFonts w:hint="eastAsia"/>
          <w:sz w:val="21"/>
          <w:szCs w:val="21"/>
        </w:rPr>
        <w:t>九、</w:t>
      </w:r>
      <w:r>
        <w:rPr>
          <w:sz w:val="21"/>
          <w:szCs w:val="21"/>
        </w:rPr>
        <w:t>1.</w:t>
      </w:r>
      <w:r>
        <w:rPr>
          <w:rFonts w:hint="eastAsia"/>
          <w:sz w:val="21"/>
          <w:szCs w:val="21"/>
        </w:rPr>
        <w:t>（</w:t>
      </w:r>
      <w:r>
        <w:rPr>
          <w:sz w:val="21"/>
          <w:szCs w:val="21"/>
        </w:rPr>
        <w:t>1</w:t>
      </w:r>
      <w:r>
        <w:rPr>
          <w:rFonts w:hint="eastAsia"/>
          <w:sz w:val="21"/>
          <w:szCs w:val="21"/>
        </w:rPr>
        <w:t>）企业集团的构成</w:t>
      </w:r>
      <w:r>
        <w:rPr>
          <w:sz w:val="21"/>
          <w:szCs w:val="21"/>
        </w:rPr>
        <w:t>”</w:t>
      </w:r>
      <w:r>
        <w:rPr>
          <w:rFonts w:hint="eastAsia"/>
          <w:sz w:val="21"/>
          <w:szCs w:val="21"/>
        </w:rPr>
        <w:t>相</w:t>
      </w:r>
      <w:bookmarkStart w:id="12" w:name="_GoBack"/>
      <w:bookmarkEnd w:id="12"/>
      <w:r>
        <w:rPr>
          <w:rFonts w:hint="eastAsia"/>
          <w:sz w:val="21"/>
          <w:szCs w:val="21"/>
        </w:rPr>
        <w:t>关内容。</w:t>
      </w:r>
    </w:p>
    <w:p>
      <w:pPr>
        <w:pStyle w:val="11"/>
        <w:outlineLvl w:val="2"/>
        <w:rPr>
          <w:bCs w:val="0"/>
          <w:szCs w:val="24"/>
        </w:rPr>
      </w:pPr>
      <w:r>
        <w:rPr>
          <w:bCs w:val="0"/>
          <w:szCs w:val="24"/>
        </w:rPr>
        <w:t>3</w:t>
      </w:r>
      <w:r>
        <w:rPr>
          <w:rFonts w:hint="eastAsia"/>
          <w:bCs w:val="0"/>
          <w:szCs w:val="24"/>
        </w:rPr>
        <w:t>、本企业合营和联营企业情况</w:t>
      </w:r>
    </w:p>
    <w:p>
      <w:pPr>
        <w:jc w:val="left"/>
        <w:rPr>
          <w:sz w:val="21"/>
          <w:szCs w:val="21"/>
        </w:rPr>
      </w:pPr>
      <w:r>
        <w:rPr>
          <w:rFonts w:hint="eastAsia"/>
          <w:sz w:val="21"/>
          <w:szCs w:val="21"/>
        </w:rPr>
        <w:t>本企业重要的合营或联营企业详见附注</w:t>
      </w:r>
      <w:r>
        <w:rPr>
          <w:sz w:val="21"/>
          <w:szCs w:val="21"/>
        </w:rPr>
        <w:t>“</w:t>
      </w:r>
      <w:r>
        <w:rPr>
          <w:rFonts w:hint="eastAsia"/>
          <w:sz w:val="21"/>
          <w:szCs w:val="21"/>
        </w:rPr>
        <w:t>九、</w:t>
      </w:r>
      <w:r>
        <w:rPr>
          <w:sz w:val="21"/>
          <w:szCs w:val="21"/>
        </w:rPr>
        <w:t>3.</w:t>
      </w:r>
      <w:r>
        <w:rPr>
          <w:rFonts w:hint="eastAsia"/>
          <w:sz w:val="21"/>
          <w:szCs w:val="21"/>
        </w:rPr>
        <w:t>（</w:t>
      </w:r>
      <w:r>
        <w:rPr>
          <w:sz w:val="21"/>
          <w:szCs w:val="21"/>
        </w:rPr>
        <w:t>3</w:t>
      </w:r>
      <w:r>
        <w:rPr>
          <w:rFonts w:hint="eastAsia"/>
          <w:sz w:val="21"/>
          <w:szCs w:val="21"/>
        </w:rPr>
        <w:t>）重要的联营企业</w:t>
      </w:r>
      <w:r>
        <w:rPr>
          <w:sz w:val="21"/>
          <w:szCs w:val="21"/>
        </w:rPr>
        <w:t>”</w:t>
      </w:r>
      <w:r>
        <w:rPr>
          <w:rFonts w:hint="eastAsia"/>
          <w:sz w:val="21"/>
          <w:szCs w:val="21"/>
        </w:rPr>
        <w:t>相关内容。</w:t>
      </w:r>
    </w:p>
    <w:p>
      <w:pPr>
        <w:pStyle w:val="11"/>
        <w:outlineLvl w:val="2"/>
        <w:rPr>
          <w:bCs w:val="0"/>
          <w:szCs w:val="24"/>
        </w:rPr>
      </w:pPr>
      <w:r>
        <w:rPr>
          <w:bCs w:val="0"/>
          <w:szCs w:val="24"/>
        </w:rPr>
        <w:t>4</w:t>
      </w:r>
      <w:r>
        <w:rPr>
          <w:rFonts w:hint="eastAsia"/>
          <w:bCs w:val="0"/>
          <w:szCs w:val="24"/>
        </w:rPr>
        <w:t>、其他关联方情况</w:t>
      </w:r>
    </w:p>
    <w:tbl>
      <w:tblPr>
        <w:tblStyle w:val="8"/>
        <w:tblW w:w="9568" w:type="dxa"/>
        <w:tblInd w:w="28" w:type="dxa"/>
        <w:tblLayout w:type="fixed"/>
        <w:tblCellMar>
          <w:top w:w="0" w:type="dxa"/>
          <w:left w:w="28" w:type="dxa"/>
          <w:bottom w:w="0" w:type="dxa"/>
          <w:right w:w="28" w:type="dxa"/>
        </w:tblCellMar>
      </w:tblPr>
      <w:tblGrid>
        <w:gridCol w:w="4782"/>
        <w:gridCol w:w="4786"/>
      </w:tblGrid>
      <w:tr>
        <w:tblPrEx>
          <w:tblLayout w:type="fixed"/>
          <w:tblCellMar>
            <w:top w:w="0" w:type="dxa"/>
            <w:left w:w="28" w:type="dxa"/>
            <w:bottom w:w="0" w:type="dxa"/>
            <w:right w:w="28" w:type="dxa"/>
          </w:tblCellMar>
        </w:tblPrEx>
        <w:tc>
          <w:tcPr>
            <w:tcW w:w="478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其他关联方名称</w:t>
            </w:r>
          </w:p>
        </w:tc>
        <w:tc>
          <w:tcPr>
            <w:tcW w:w="478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其他关联方与本企业关系</w:t>
            </w:r>
          </w:p>
        </w:tc>
      </w:tr>
      <w:tr>
        <w:tblPrEx>
          <w:tblLayout w:type="fixed"/>
          <w:tblCellMar>
            <w:top w:w="0" w:type="dxa"/>
            <w:left w:w="28" w:type="dxa"/>
            <w:bottom w:w="0" w:type="dxa"/>
            <w:right w:w="28" w:type="dxa"/>
          </w:tblCellMar>
        </w:tblPrEx>
        <w:tc>
          <w:tcPr>
            <w:tcW w:w="478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美国劳雷工业有限公司</w:t>
            </w:r>
          </w:p>
        </w:tc>
        <w:tc>
          <w:tcPr>
            <w:tcW w:w="478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其他</w:t>
            </w:r>
          </w:p>
        </w:tc>
      </w:tr>
      <w:tr>
        <w:tblPrEx>
          <w:tblLayout w:type="fixed"/>
          <w:tblCellMar>
            <w:top w:w="0" w:type="dxa"/>
            <w:left w:w="28" w:type="dxa"/>
            <w:bottom w:w="0" w:type="dxa"/>
            <w:right w:w="28" w:type="dxa"/>
          </w:tblCellMar>
        </w:tblPrEx>
        <w:tc>
          <w:tcPr>
            <w:tcW w:w="478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上海劳雷仪器系统有限公司</w:t>
            </w:r>
          </w:p>
        </w:tc>
        <w:tc>
          <w:tcPr>
            <w:tcW w:w="478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其他</w:t>
            </w:r>
          </w:p>
        </w:tc>
      </w:tr>
      <w:tr>
        <w:tblPrEx>
          <w:tblLayout w:type="fixed"/>
          <w:tblCellMar>
            <w:top w:w="0" w:type="dxa"/>
            <w:left w:w="28" w:type="dxa"/>
            <w:bottom w:w="0" w:type="dxa"/>
            <w:right w:w="28" w:type="dxa"/>
          </w:tblCellMar>
        </w:tblPrEx>
        <w:tc>
          <w:tcPr>
            <w:tcW w:w="478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北京劳雷物理探测仪器有限公司</w:t>
            </w:r>
          </w:p>
        </w:tc>
        <w:tc>
          <w:tcPr>
            <w:tcW w:w="478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其他</w:t>
            </w:r>
          </w:p>
        </w:tc>
      </w:tr>
      <w:tr>
        <w:tblPrEx>
          <w:tblLayout w:type="fixed"/>
          <w:tblCellMar>
            <w:top w:w="0" w:type="dxa"/>
            <w:left w:w="28" w:type="dxa"/>
            <w:bottom w:w="0" w:type="dxa"/>
            <w:right w:w="28" w:type="dxa"/>
          </w:tblCellMar>
        </w:tblPrEx>
        <w:tc>
          <w:tcPr>
            <w:tcW w:w="478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北京市京能电源技术研究所有限公司</w:t>
            </w:r>
          </w:p>
        </w:tc>
        <w:tc>
          <w:tcPr>
            <w:tcW w:w="478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其他</w:t>
            </w:r>
          </w:p>
        </w:tc>
      </w:tr>
      <w:tr>
        <w:tblPrEx>
          <w:tblLayout w:type="fixed"/>
          <w:tblCellMar>
            <w:top w:w="0" w:type="dxa"/>
            <w:left w:w="28" w:type="dxa"/>
            <w:bottom w:w="0" w:type="dxa"/>
            <w:right w:w="28" w:type="dxa"/>
          </w:tblCellMar>
        </w:tblPrEx>
        <w:tc>
          <w:tcPr>
            <w:tcW w:w="478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北京南风科创应用技术有限公司</w:t>
            </w:r>
          </w:p>
        </w:tc>
        <w:tc>
          <w:tcPr>
            <w:tcW w:w="478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其他</w:t>
            </w:r>
          </w:p>
        </w:tc>
      </w:tr>
      <w:tr>
        <w:tblPrEx>
          <w:tblLayout w:type="fixed"/>
          <w:tblCellMar>
            <w:top w:w="0" w:type="dxa"/>
            <w:left w:w="28" w:type="dxa"/>
            <w:bottom w:w="0" w:type="dxa"/>
            <w:right w:w="28" w:type="dxa"/>
          </w:tblCellMar>
        </w:tblPrEx>
        <w:tc>
          <w:tcPr>
            <w:tcW w:w="478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三亚海兰寰宇海洋信息科技有限公司</w:t>
            </w:r>
          </w:p>
        </w:tc>
        <w:tc>
          <w:tcPr>
            <w:tcW w:w="478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其他</w:t>
            </w:r>
          </w:p>
        </w:tc>
      </w:tr>
    </w:tbl>
    <w:p>
      <w:pPr>
        <w:pStyle w:val="11"/>
        <w:outlineLvl w:val="2"/>
        <w:rPr>
          <w:bCs w:val="0"/>
          <w:szCs w:val="24"/>
        </w:rPr>
      </w:pPr>
      <w:r>
        <w:rPr>
          <w:bCs w:val="0"/>
          <w:szCs w:val="24"/>
        </w:rPr>
        <w:t>5</w:t>
      </w:r>
      <w:r>
        <w:rPr>
          <w:rFonts w:hint="eastAsia"/>
          <w:bCs w:val="0"/>
          <w:szCs w:val="24"/>
        </w:rPr>
        <w:t>、关联交易情况</w:t>
      </w:r>
    </w:p>
    <w:p>
      <w:pPr>
        <w:pStyle w:val="11"/>
        <w:outlineLvl w:val="3"/>
        <w:rPr>
          <w:bCs w:val="0"/>
          <w:szCs w:val="24"/>
        </w:rPr>
      </w:pPr>
      <w:r>
        <w:rPr>
          <w:rFonts w:hint="eastAsia"/>
          <w:bCs w:val="0"/>
          <w:szCs w:val="24"/>
        </w:rPr>
        <w:t>（</w:t>
      </w:r>
      <w:r>
        <w:rPr>
          <w:bCs w:val="0"/>
          <w:szCs w:val="24"/>
        </w:rPr>
        <w:t>1</w:t>
      </w:r>
      <w:r>
        <w:rPr>
          <w:rFonts w:hint="eastAsia"/>
          <w:bCs w:val="0"/>
          <w:szCs w:val="24"/>
        </w:rPr>
        <w:t>）购销商品、提供和接受劳务的关联交易</w:t>
      </w:r>
    </w:p>
    <w:p>
      <w:pPr>
        <w:jc w:val="left"/>
        <w:rPr>
          <w:sz w:val="21"/>
          <w:szCs w:val="21"/>
        </w:rPr>
      </w:pPr>
      <w:r>
        <w:rPr>
          <w:rFonts w:hint="eastAsia"/>
          <w:sz w:val="21"/>
          <w:szCs w:val="21"/>
        </w:rPr>
        <w:t>采购商品</w:t>
      </w:r>
      <w:r>
        <w:rPr>
          <w:sz w:val="21"/>
          <w:szCs w:val="21"/>
        </w:rPr>
        <w:t>/</w:t>
      </w:r>
      <w:r>
        <w:rPr>
          <w:rFonts w:hint="eastAsia"/>
          <w:sz w:val="21"/>
          <w:szCs w:val="21"/>
        </w:rPr>
        <w:t>接受劳务情况表</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694" w:type="dxa"/>
        <w:tblInd w:w="0" w:type="dxa"/>
        <w:tblLayout w:type="fixed"/>
        <w:tblCellMar>
          <w:top w:w="0" w:type="dxa"/>
          <w:left w:w="28" w:type="dxa"/>
          <w:bottom w:w="0" w:type="dxa"/>
          <w:right w:w="28" w:type="dxa"/>
        </w:tblCellMar>
      </w:tblPr>
      <w:tblGrid>
        <w:gridCol w:w="1562"/>
        <w:gridCol w:w="1474"/>
        <w:gridCol w:w="1473"/>
        <w:gridCol w:w="1729"/>
        <w:gridCol w:w="1729"/>
        <w:gridCol w:w="1727"/>
      </w:tblGrid>
      <w:tr>
        <w:tblPrEx>
          <w:tblLayout w:type="fixed"/>
          <w:tblCellMar>
            <w:top w:w="0" w:type="dxa"/>
            <w:left w:w="28" w:type="dxa"/>
            <w:bottom w:w="0" w:type="dxa"/>
            <w:right w:w="28" w:type="dxa"/>
          </w:tblCellMar>
        </w:tblPrEx>
        <w:tc>
          <w:tcPr>
            <w:tcW w:w="156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关联方</w:t>
            </w:r>
          </w:p>
        </w:tc>
        <w:tc>
          <w:tcPr>
            <w:tcW w:w="147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关联交易内容</w:t>
            </w:r>
          </w:p>
        </w:tc>
        <w:tc>
          <w:tcPr>
            <w:tcW w:w="147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本期发生额</w:t>
            </w:r>
          </w:p>
        </w:tc>
        <w:tc>
          <w:tcPr>
            <w:tcW w:w="172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获批的交易额度</w:t>
            </w:r>
          </w:p>
        </w:tc>
        <w:tc>
          <w:tcPr>
            <w:tcW w:w="172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是否超过交易额度</w:t>
            </w:r>
          </w:p>
        </w:tc>
        <w:tc>
          <w:tcPr>
            <w:tcW w:w="172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上期发生额</w:t>
            </w:r>
          </w:p>
        </w:tc>
      </w:tr>
      <w:tr>
        <w:tblPrEx>
          <w:tblLayout w:type="fixed"/>
          <w:tblCellMar>
            <w:top w:w="0" w:type="dxa"/>
            <w:left w:w="28" w:type="dxa"/>
            <w:bottom w:w="0" w:type="dxa"/>
            <w:right w:w="28" w:type="dxa"/>
          </w:tblCellMar>
        </w:tblPrEx>
        <w:tc>
          <w:tcPr>
            <w:tcW w:w="156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北京南风科创应用技术有限公司</w:t>
            </w:r>
          </w:p>
        </w:tc>
        <w:tc>
          <w:tcPr>
            <w:tcW w:w="147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接受劳务</w:t>
            </w:r>
          </w:p>
        </w:tc>
        <w:tc>
          <w:tcPr>
            <w:tcW w:w="147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3,925,714.55</w:t>
            </w:r>
          </w:p>
        </w:tc>
        <w:tc>
          <w:tcPr>
            <w:tcW w:w="172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72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72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56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上海劳雷仪器系统有限公司</w:t>
            </w:r>
          </w:p>
        </w:tc>
        <w:tc>
          <w:tcPr>
            <w:tcW w:w="147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接受劳务</w:t>
            </w:r>
          </w:p>
        </w:tc>
        <w:tc>
          <w:tcPr>
            <w:tcW w:w="147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3,613,658.36</w:t>
            </w:r>
          </w:p>
        </w:tc>
        <w:tc>
          <w:tcPr>
            <w:tcW w:w="172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72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72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56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美国劳雷工业有限公司</w:t>
            </w:r>
          </w:p>
        </w:tc>
        <w:tc>
          <w:tcPr>
            <w:tcW w:w="147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接受劳务</w:t>
            </w:r>
          </w:p>
        </w:tc>
        <w:tc>
          <w:tcPr>
            <w:tcW w:w="147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2,334,150.00</w:t>
            </w:r>
          </w:p>
        </w:tc>
        <w:tc>
          <w:tcPr>
            <w:tcW w:w="172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72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72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56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合计</w:t>
            </w:r>
          </w:p>
        </w:tc>
        <w:tc>
          <w:tcPr>
            <w:tcW w:w="147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p>
        </w:tc>
        <w:tc>
          <w:tcPr>
            <w:tcW w:w="147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9,873,522.91</w:t>
            </w:r>
          </w:p>
        </w:tc>
        <w:tc>
          <w:tcPr>
            <w:tcW w:w="172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72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72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bl>
    <w:p>
      <w:pPr>
        <w:jc w:val="left"/>
        <w:rPr>
          <w:sz w:val="21"/>
          <w:szCs w:val="21"/>
        </w:rPr>
      </w:pPr>
      <w:r>
        <w:rPr>
          <w:rFonts w:hint="eastAsia"/>
          <w:sz w:val="21"/>
          <w:szCs w:val="21"/>
        </w:rPr>
        <w:t>出售商品</w:t>
      </w:r>
      <w:r>
        <w:rPr>
          <w:sz w:val="21"/>
          <w:szCs w:val="21"/>
        </w:rPr>
        <w:t>/</w:t>
      </w:r>
      <w:r>
        <w:rPr>
          <w:rFonts w:hint="eastAsia"/>
          <w:sz w:val="21"/>
          <w:szCs w:val="21"/>
        </w:rPr>
        <w:t>提供劳务情况表</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694" w:type="dxa"/>
        <w:tblInd w:w="0" w:type="dxa"/>
        <w:tblLayout w:type="fixed"/>
        <w:tblCellMar>
          <w:top w:w="0" w:type="dxa"/>
          <w:left w:w="28" w:type="dxa"/>
          <w:bottom w:w="0" w:type="dxa"/>
          <w:right w:w="28" w:type="dxa"/>
        </w:tblCellMar>
      </w:tblPr>
      <w:tblGrid>
        <w:gridCol w:w="2430"/>
        <w:gridCol w:w="2289"/>
        <w:gridCol w:w="2288"/>
        <w:gridCol w:w="2687"/>
      </w:tblGrid>
      <w:tr>
        <w:tblPrEx>
          <w:tblLayout w:type="fixed"/>
          <w:tblCellMar>
            <w:top w:w="0" w:type="dxa"/>
            <w:left w:w="28" w:type="dxa"/>
            <w:bottom w:w="0" w:type="dxa"/>
            <w:right w:w="28" w:type="dxa"/>
          </w:tblCellMar>
        </w:tblPrEx>
        <w:tc>
          <w:tcPr>
            <w:tcW w:w="243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关联方</w:t>
            </w:r>
          </w:p>
        </w:tc>
        <w:tc>
          <w:tcPr>
            <w:tcW w:w="228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关联交易内容</w:t>
            </w:r>
          </w:p>
        </w:tc>
        <w:tc>
          <w:tcPr>
            <w:tcW w:w="2288"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本期发生额</w:t>
            </w:r>
          </w:p>
        </w:tc>
        <w:tc>
          <w:tcPr>
            <w:tcW w:w="268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上期发生额</w:t>
            </w:r>
          </w:p>
        </w:tc>
      </w:tr>
      <w:tr>
        <w:tblPrEx>
          <w:tblLayout w:type="fixed"/>
          <w:tblCellMar>
            <w:top w:w="0" w:type="dxa"/>
            <w:left w:w="28" w:type="dxa"/>
            <w:bottom w:w="0" w:type="dxa"/>
            <w:right w:w="28" w:type="dxa"/>
          </w:tblCellMar>
        </w:tblPrEx>
        <w:tc>
          <w:tcPr>
            <w:tcW w:w="243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三亚海兰寰宇海洋信息科技有限公司</w:t>
            </w:r>
          </w:p>
        </w:tc>
        <w:tc>
          <w:tcPr>
            <w:tcW w:w="22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销售商品</w:t>
            </w:r>
          </w:p>
        </w:tc>
        <w:tc>
          <w:tcPr>
            <w:tcW w:w="228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29,721,794.87</w:t>
            </w:r>
          </w:p>
        </w:tc>
        <w:tc>
          <w:tcPr>
            <w:tcW w:w="26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43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北京南风科创应用技术有限公司</w:t>
            </w:r>
          </w:p>
        </w:tc>
        <w:tc>
          <w:tcPr>
            <w:tcW w:w="22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销售商品</w:t>
            </w:r>
          </w:p>
        </w:tc>
        <w:tc>
          <w:tcPr>
            <w:tcW w:w="228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4,146,716.66</w:t>
            </w:r>
          </w:p>
        </w:tc>
        <w:tc>
          <w:tcPr>
            <w:tcW w:w="26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43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北京市京能电源技术研究所有限公司</w:t>
            </w:r>
          </w:p>
        </w:tc>
        <w:tc>
          <w:tcPr>
            <w:tcW w:w="22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技术服务收入</w:t>
            </w:r>
          </w:p>
        </w:tc>
        <w:tc>
          <w:tcPr>
            <w:tcW w:w="228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26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2,987,565.29</w:t>
            </w:r>
          </w:p>
        </w:tc>
      </w:tr>
      <w:tr>
        <w:tblPrEx>
          <w:tblLayout w:type="fixed"/>
          <w:tblCellMar>
            <w:top w:w="0" w:type="dxa"/>
            <w:left w:w="28" w:type="dxa"/>
            <w:bottom w:w="0" w:type="dxa"/>
            <w:right w:w="28" w:type="dxa"/>
          </w:tblCellMar>
        </w:tblPrEx>
        <w:tc>
          <w:tcPr>
            <w:tcW w:w="243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美国劳雷工业有限公司</w:t>
            </w:r>
          </w:p>
        </w:tc>
        <w:tc>
          <w:tcPr>
            <w:tcW w:w="22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销售商品</w:t>
            </w:r>
          </w:p>
        </w:tc>
        <w:tc>
          <w:tcPr>
            <w:tcW w:w="228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533,520.00</w:t>
            </w:r>
          </w:p>
        </w:tc>
        <w:tc>
          <w:tcPr>
            <w:tcW w:w="26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43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上海劳雷仪器系统有限公司</w:t>
            </w:r>
          </w:p>
        </w:tc>
        <w:tc>
          <w:tcPr>
            <w:tcW w:w="22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销售商品</w:t>
            </w:r>
          </w:p>
        </w:tc>
        <w:tc>
          <w:tcPr>
            <w:tcW w:w="228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465,336.32</w:t>
            </w:r>
          </w:p>
        </w:tc>
        <w:tc>
          <w:tcPr>
            <w:tcW w:w="26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430"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合计</w:t>
            </w:r>
          </w:p>
        </w:tc>
        <w:tc>
          <w:tcPr>
            <w:tcW w:w="228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p>
        </w:tc>
        <w:tc>
          <w:tcPr>
            <w:tcW w:w="228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34,867,367.85</w:t>
            </w:r>
          </w:p>
        </w:tc>
        <w:tc>
          <w:tcPr>
            <w:tcW w:w="268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bl>
    <w:p>
      <w:pPr>
        <w:jc w:val="left"/>
        <w:rPr>
          <w:sz w:val="21"/>
          <w:szCs w:val="21"/>
        </w:rPr>
      </w:pPr>
      <w:r>
        <w:rPr>
          <w:rFonts w:hint="eastAsia"/>
          <w:sz w:val="21"/>
          <w:szCs w:val="21"/>
        </w:rPr>
        <w:t>购销商品、提供和接受劳务的关联交易说明</w:t>
      </w:r>
    </w:p>
    <w:p>
      <w:pPr>
        <w:pStyle w:val="11"/>
        <w:outlineLvl w:val="3"/>
        <w:rPr>
          <w:bCs w:val="0"/>
          <w:szCs w:val="24"/>
        </w:rPr>
      </w:pPr>
      <w:r>
        <w:rPr>
          <w:rFonts w:hint="eastAsia"/>
          <w:bCs w:val="0"/>
          <w:szCs w:val="24"/>
        </w:rPr>
        <w:t>（</w:t>
      </w:r>
      <w:r>
        <w:rPr>
          <w:bCs w:val="0"/>
          <w:szCs w:val="24"/>
        </w:rPr>
        <w:t>2</w:t>
      </w:r>
      <w:r>
        <w:rPr>
          <w:rFonts w:hint="eastAsia"/>
          <w:bCs w:val="0"/>
          <w:szCs w:val="24"/>
        </w:rPr>
        <w:t>）关联担保情况</w:t>
      </w:r>
    </w:p>
    <w:p>
      <w:pPr>
        <w:jc w:val="left"/>
        <w:rPr>
          <w:sz w:val="21"/>
          <w:szCs w:val="21"/>
        </w:rPr>
      </w:pPr>
      <w:r>
        <w:rPr>
          <w:rFonts w:hint="eastAsia"/>
          <w:sz w:val="21"/>
          <w:szCs w:val="21"/>
        </w:rPr>
        <w:t>本公司作为担保方</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570" w:type="dxa"/>
        <w:tblInd w:w="28" w:type="dxa"/>
        <w:tblLayout w:type="fixed"/>
        <w:tblCellMar>
          <w:top w:w="0" w:type="dxa"/>
          <w:left w:w="28" w:type="dxa"/>
          <w:bottom w:w="0" w:type="dxa"/>
          <w:right w:w="28" w:type="dxa"/>
        </w:tblCellMar>
      </w:tblPr>
      <w:tblGrid>
        <w:gridCol w:w="1913"/>
        <w:gridCol w:w="1915"/>
        <w:gridCol w:w="1914"/>
        <w:gridCol w:w="1914"/>
        <w:gridCol w:w="1914"/>
      </w:tblGrid>
      <w:tr>
        <w:tblPrEx>
          <w:tblLayout w:type="fixed"/>
          <w:tblCellMar>
            <w:top w:w="0" w:type="dxa"/>
            <w:left w:w="28" w:type="dxa"/>
            <w:bottom w:w="0" w:type="dxa"/>
            <w:right w:w="28" w:type="dxa"/>
          </w:tblCellMar>
        </w:tblPrEx>
        <w:tc>
          <w:tcPr>
            <w:tcW w:w="191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被担保方</w:t>
            </w:r>
          </w:p>
        </w:tc>
        <w:tc>
          <w:tcPr>
            <w:tcW w:w="191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担保金额</w:t>
            </w:r>
          </w:p>
        </w:tc>
        <w:tc>
          <w:tcPr>
            <w:tcW w:w="191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担保起始日</w:t>
            </w:r>
          </w:p>
        </w:tc>
        <w:tc>
          <w:tcPr>
            <w:tcW w:w="191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担保到期日</w:t>
            </w:r>
          </w:p>
        </w:tc>
        <w:tc>
          <w:tcPr>
            <w:tcW w:w="191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担保是否已经履行完毕</w:t>
            </w:r>
          </w:p>
        </w:tc>
      </w:tr>
      <w:tr>
        <w:tblPrEx>
          <w:tblLayout w:type="fixed"/>
          <w:tblCellMar>
            <w:top w:w="0" w:type="dxa"/>
            <w:left w:w="28" w:type="dxa"/>
            <w:bottom w:w="0" w:type="dxa"/>
            <w:right w:w="28" w:type="dxa"/>
          </w:tblCellMar>
        </w:tblPrEx>
        <w:tc>
          <w:tcPr>
            <w:tcW w:w="191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成都海兰天澄科技有限公司</w:t>
            </w:r>
          </w:p>
        </w:tc>
        <w:tc>
          <w:tcPr>
            <w:tcW w:w="191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20,000,000.00</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2015</w:t>
            </w:r>
            <w:r>
              <w:rPr>
                <w:rFonts w:hint="eastAsia"/>
                <w:sz w:val="21"/>
                <w:szCs w:val="21"/>
              </w:rPr>
              <w:t>年</w:t>
            </w:r>
            <w:r>
              <w:rPr>
                <w:sz w:val="21"/>
                <w:szCs w:val="21"/>
              </w:rPr>
              <w:t>05</w:t>
            </w:r>
            <w:r>
              <w:rPr>
                <w:rFonts w:hint="eastAsia"/>
                <w:sz w:val="21"/>
                <w:szCs w:val="21"/>
              </w:rPr>
              <w:t>月</w:t>
            </w:r>
            <w:r>
              <w:rPr>
                <w:sz w:val="21"/>
                <w:szCs w:val="21"/>
              </w:rPr>
              <w:t>04</w:t>
            </w:r>
            <w:r>
              <w:rPr>
                <w:rFonts w:hint="eastAsia"/>
                <w:sz w:val="21"/>
                <w:szCs w:val="21"/>
              </w:rPr>
              <w:t>日</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2016</w:t>
            </w:r>
            <w:r>
              <w:rPr>
                <w:rFonts w:hint="eastAsia"/>
                <w:sz w:val="21"/>
                <w:szCs w:val="21"/>
              </w:rPr>
              <w:t>年</w:t>
            </w:r>
            <w:r>
              <w:rPr>
                <w:sz w:val="21"/>
                <w:szCs w:val="21"/>
              </w:rPr>
              <w:t>04</w:t>
            </w:r>
            <w:r>
              <w:rPr>
                <w:rFonts w:hint="eastAsia"/>
                <w:sz w:val="21"/>
                <w:szCs w:val="21"/>
              </w:rPr>
              <w:t>月</w:t>
            </w:r>
            <w:r>
              <w:rPr>
                <w:sz w:val="21"/>
                <w:szCs w:val="21"/>
              </w:rPr>
              <w:t>28</w:t>
            </w:r>
            <w:r>
              <w:rPr>
                <w:rFonts w:hint="eastAsia"/>
                <w:sz w:val="21"/>
                <w:szCs w:val="21"/>
              </w:rPr>
              <w:t>日</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是</w:t>
            </w:r>
          </w:p>
        </w:tc>
      </w:tr>
      <w:tr>
        <w:tblPrEx>
          <w:tblLayout w:type="fixed"/>
          <w:tblCellMar>
            <w:top w:w="0" w:type="dxa"/>
            <w:left w:w="28" w:type="dxa"/>
            <w:bottom w:w="0" w:type="dxa"/>
            <w:right w:w="28" w:type="dxa"/>
          </w:tblCellMar>
        </w:tblPrEx>
        <w:tc>
          <w:tcPr>
            <w:tcW w:w="191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海兰信（香港）航海科技有限公司</w:t>
            </w:r>
          </w:p>
        </w:tc>
        <w:tc>
          <w:tcPr>
            <w:tcW w:w="191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36,534,057.35</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2016</w:t>
            </w:r>
            <w:r>
              <w:rPr>
                <w:rFonts w:hint="eastAsia"/>
                <w:sz w:val="21"/>
                <w:szCs w:val="21"/>
              </w:rPr>
              <w:t>年</w:t>
            </w:r>
            <w:r>
              <w:rPr>
                <w:sz w:val="21"/>
                <w:szCs w:val="21"/>
              </w:rPr>
              <w:t>09</w:t>
            </w:r>
            <w:r>
              <w:rPr>
                <w:rFonts w:hint="eastAsia"/>
                <w:sz w:val="21"/>
                <w:szCs w:val="21"/>
              </w:rPr>
              <w:t>月</w:t>
            </w:r>
            <w:r>
              <w:rPr>
                <w:sz w:val="21"/>
                <w:szCs w:val="21"/>
              </w:rPr>
              <w:t>01</w:t>
            </w:r>
            <w:r>
              <w:rPr>
                <w:rFonts w:hint="eastAsia"/>
                <w:sz w:val="21"/>
                <w:szCs w:val="21"/>
              </w:rPr>
              <w:t>日</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2017</w:t>
            </w:r>
            <w:r>
              <w:rPr>
                <w:rFonts w:hint="eastAsia"/>
                <w:sz w:val="21"/>
                <w:szCs w:val="21"/>
              </w:rPr>
              <w:t>年</w:t>
            </w:r>
            <w:r>
              <w:rPr>
                <w:sz w:val="21"/>
                <w:szCs w:val="21"/>
              </w:rPr>
              <w:t>09</w:t>
            </w:r>
            <w:r>
              <w:rPr>
                <w:rFonts w:hint="eastAsia"/>
                <w:sz w:val="21"/>
                <w:szCs w:val="21"/>
              </w:rPr>
              <w:t>月</w:t>
            </w:r>
            <w:r>
              <w:rPr>
                <w:sz w:val="21"/>
                <w:szCs w:val="21"/>
              </w:rPr>
              <w:t>01</w:t>
            </w:r>
            <w:r>
              <w:rPr>
                <w:rFonts w:hint="eastAsia"/>
                <w:sz w:val="21"/>
                <w:szCs w:val="21"/>
              </w:rPr>
              <w:t>日</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否</w:t>
            </w:r>
          </w:p>
        </w:tc>
      </w:tr>
      <w:tr>
        <w:tblPrEx>
          <w:tblLayout w:type="fixed"/>
          <w:tblCellMar>
            <w:top w:w="0" w:type="dxa"/>
            <w:left w:w="28" w:type="dxa"/>
            <w:bottom w:w="0" w:type="dxa"/>
            <w:right w:w="28" w:type="dxa"/>
          </w:tblCellMar>
        </w:tblPrEx>
        <w:tc>
          <w:tcPr>
            <w:tcW w:w="191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成都海兰天澄科技股份有限公司</w:t>
            </w:r>
          </w:p>
        </w:tc>
        <w:tc>
          <w:tcPr>
            <w:tcW w:w="191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20,000,000.00</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2016</w:t>
            </w:r>
            <w:r>
              <w:rPr>
                <w:rFonts w:hint="eastAsia"/>
                <w:sz w:val="21"/>
                <w:szCs w:val="21"/>
              </w:rPr>
              <w:t>年</w:t>
            </w:r>
            <w:r>
              <w:rPr>
                <w:sz w:val="21"/>
                <w:szCs w:val="21"/>
              </w:rPr>
              <w:t>05</w:t>
            </w:r>
            <w:r>
              <w:rPr>
                <w:rFonts w:hint="eastAsia"/>
                <w:sz w:val="21"/>
                <w:szCs w:val="21"/>
              </w:rPr>
              <w:t>月</w:t>
            </w:r>
            <w:r>
              <w:rPr>
                <w:sz w:val="21"/>
                <w:szCs w:val="21"/>
              </w:rPr>
              <w:t>11</w:t>
            </w:r>
            <w:r>
              <w:rPr>
                <w:rFonts w:hint="eastAsia"/>
                <w:sz w:val="21"/>
                <w:szCs w:val="21"/>
              </w:rPr>
              <w:t>日</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2017</w:t>
            </w:r>
            <w:r>
              <w:rPr>
                <w:rFonts w:hint="eastAsia"/>
                <w:sz w:val="21"/>
                <w:szCs w:val="21"/>
              </w:rPr>
              <w:t>年</w:t>
            </w:r>
            <w:r>
              <w:rPr>
                <w:sz w:val="21"/>
                <w:szCs w:val="21"/>
              </w:rPr>
              <w:t>05</w:t>
            </w:r>
            <w:r>
              <w:rPr>
                <w:rFonts w:hint="eastAsia"/>
                <w:sz w:val="21"/>
                <w:szCs w:val="21"/>
              </w:rPr>
              <w:t>月</w:t>
            </w:r>
            <w:r>
              <w:rPr>
                <w:sz w:val="21"/>
                <w:szCs w:val="21"/>
              </w:rPr>
              <w:t>11</w:t>
            </w:r>
            <w:r>
              <w:rPr>
                <w:rFonts w:hint="eastAsia"/>
                <w:sz w:val="21"/>
                <w:szCs w:val="21"/>
              </w:rPr>
              <w:t>日</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否</w:t>
            </w:r>
          </w:p>
        </w:tc>
      </w:tr>
      <w:tr>
        <w:tblPrEx>
          <w:tblLayout w:type="fixed"/>
          <w:tblCellMar>
            <w:top w:w="0" w:type="dxa"/>
            <w:left w:w="28" w:type="dxa"/>
            <w:bottom w:w="0" w:type="dxa"/>
            <w:right w:w="28" w:type="dxa"/>
          </w:tblCellMar>
        </w:tblPrEx>
        <w:tc>
          <w:tcPr>
            <w:tcW w:w="191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劳雷海洋系统有限公司</w:t>
            </w:r>
          </w:p>
        </w:tc>
        <w:tc>
          <w:tcPr>
            <w:tcW w:w="191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11,229,460.42</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2016</w:t>
            </w:r>
            <w:r>
              <w:rPr>
                <w:rFonts w:hint="eastAsia"/>
                <w:sz w:val="21"/>
                <w:szCs w:val="21"/>
              </w:rPr>
              <w:t>年</w:t>
            </w:r>
            <w:r>
              <w:rPr>
                <w:sz w:val="21"/>
                <w:szCs w:val="21"/>
              </w:rPr>
              <w:t>07</w:t>
            </w:r>
            <w:r>
              <w:rPr>
                <w:rFonts w:hint="eastAsia"/>
                <w:sz w:val="21"/>
                <w:szCs w:val="21"/>
              </w:rPr>
              <w:t>月</w:t>
            </w:r>
            <w:r>
              <w:rPr>
                <w:sz w:val="21"/>
                <w:szCs w:val="21"/>
              </w:rPr>
              <w:t>29</w:t>
            </w:r>
            <w:r>
              <w:rPr>
                <w:rFonts w:hint="eastAsia"/>
                <w:sz w:val="21"/>
                <w:szCs w:val="21"/>
              </w:rPr>
              <w:t>日</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2017</w:t>
            </w:r>
            <w:r>
              <w:rPr>
                <w:rFonts w:hint="eastAsia"/>
                <w:sz w:val="21"/>
                <w:szCs w:val="21"/>
              </w:rPr>
              <w:t>年</w:t>
            </w:r>
            <w:r>
              <w:rPr>
                <w:sz w:val="21"/>
                <w:szCs w:val="21"/>
              </w:rPr>
              <w:t>7</w:t>
            </w:r>
            <w:r>
              <w:rPr>
                <w:rFonts w:hint="eastAsia"/>
                <w:sz w:val="21"/>
                <w:szCs w:val="21"/>
              </w:rPr>
              <w:t>月</w:t>
            </w:r>
            <w:r>
              <w:rPr>
                <w:sz w:val="21"/>
                <w:szCs w:val="21"/>
              </w:rPr>
              <w:t>29</w:t>
            </w:r>
            <w:r>
              <w:rPr>
                <w:rFonts w:hint="eastAsia"/>
                <w:sz w:val="21"/>
                <w:szCs w:val="21"/>
              </w:rPr>
              <w:t>日</w:t>
            </w:r>
          </w:p>
        </w:tc>
        <w:tc>
          <w:tcPr>
            <w:tcW w:w="191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否</w:t>
            </w:r>
          </w:p>
        </w:tc>
      </w:tr>
    </w:tbl>
    <w:p>
      <w:pPr>
        <w:jc w:val="left"/>
        <w:rPr>
          <w:sz w:val="21"/>
          <w:szCs w:val="21"/>
        </w:rPr>
      </w:pPr>
      <w:r>
        <w:rPr>
          <w:rFonts w:hint="eastAsia"/>
          <w:sz w:val="21"/>
          <w:szCs w:val="21"/>
        </w:rPr>
        <w:t>本公司作为被担保方</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570" w:type="dxa"/>
        <w:tblInd w:w="28" w:type="dxa"/>
        <w:tblLayout w:type="fixed"/>
        <w:tblCellMar>
          <w:top w:w="0" w:type="dxa"/>
          <w:left w:w="28" w:type="dxa"/>
          <w:bottom w:w="0" w:type="dxa"/>
          <w:right w:w="28" w:type="dxa"/>
        </w:tblCellMar>
      </w:tblPr>
      <w:tblGrid>
        <w:gridCol w:w="1913"/>
        <w:gridCol w:w="1915"/>
        <w:gridCol w:w="1914"/>
        <w:gridCol w:w="1914"/>
        <w:gridCol w:w="1914"/>
      </w:tblGrid>
      <w:tr>
        <w:tblPrEx>
          <w:tblLayout w:type="fixed"/>
          <w:tblCellMar>
            <w:top w:w="0" w:type="dxa"/>
            <w:left w:w="28" w:type="dxa"/>
            <w:bottom w:w="0" w:type="dxa"/>
            <w:right w:w="28" w:type="dxa"/>
          </w:tblCellMar>
        </w:tblPrEx>
        <w:tc>
          <w:tcPr>
            <w:tcW w:w="191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担保方</w:t>
            </w:r>
          </w:p>
        </w:tc>
        <w:tc>
          <w:tcPr>
            <w:tcW w:w="191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担保金额</w:t>
            </w:r>
          </w:p>
        </w:tc>
        <w:tc>
          <w:tcPr>
            <w:tcW w:w="191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担保起始日</w:t>
            </w:r>
          </w:p>
        </w:tc>
        <w:tc>
          <w:tcPr>
            <w:tcW w:w="191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担保到期日</w:t>
            </w:r>
          </w:p>
        </w:tc>
        <w:tc>
          <w:tcPr>
            <w:tcW w:w="191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担保是否已经履行完毕</w:t>
            </w:r>
          </w:p>
        </w:tc>
      </w:tr>
    </w:tbl>
    <w:p>
      <w:pPr>
        <w:pStyle w:val="11"/>
        <w:outlineLvl w:val="3"/>
        <w:rPr>
          <w:bCs w:val="0"/>
          <w:szCs w:val="24"/>
        </w:rPr>
      </w:pPr>
      <w:r>
        <w:rPr>
          <w:rFonts w:hint="eastAsia"/>
          <w:bCs w:val="0"/>
          <w:szCs w:val="24"/>
        </w:rPr>
        <w:t>（</w:t>
      </w:r>
      <w:r>
        <w:rPr>
          <w:bCs w:val="0"/>
          <w:szCs w:val="24"/>
        </w:rPr>
        <w:t>3</w:t>
      </w:r>
      <w:r>
        <w:rPr>
          <w:rFonts w:hint="eastAsia"/>
          <w:bCs w:val="0"/>
          <w:szCs w:val="24"/>
        </w:rPr>
        <w:t>）关键管理人员报酬</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569" w:type="dxa"/>
        <w:tblInd w:w="28" w:type="dxa"/>
        <w:tblLayout w:type="fixed"/>
        <w:tblCellMar>
          <w:top w:w="0" w:type="dxa"/>
          <w:left w:w="28" w:type="dxa"/>
          <w:bottom w:w="0" w:type="dxa"/>
          <w:right w:w="28" w:type="dxa"/>
        </w:tblCellMar>
      </w:tblPr>
      <w:tblGrid>
        <w:gridCol w:w="3188"/>
        <w:gridCol w:w="3190"/>
        <w:gridCol w:w="3191"/>
      </w:tblGrid>
      <w:tr>
        <w:tblPrEx>
          <w:tblLayout w:type="fixed"/>
          <w:tblCellMar>
            <w:top w:w="0" w:type="dxa"/>
            <w:left w:w="28" w:type="dxa"/>
            <w:bottom w:w="0" w:type="dxa"/>
            <w:right w:w="28" w:type="dxa"/>
          </w:tblCellMar>
        </w:tblPrEx>
        <w:tc>
          <w:tcPr>
            <w:tcW w:w="3188"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319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本期发生额</w:t>
            </w:r>
          </w:p>
        </w:tc>
        <w:tc>
          <w:tcPr>
            <w:tcW w:w="319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上期发生额</w:t>
            </w:r>
          </w:p>
        </w:tc>
      </w:tr>
      <w:tr>
        <w:tblPrEx>
          <w:tblLayout w:type="fixed"/>
          <w:tblCellMar>
            <w:top w:w="0" w:type="dxa"/>
            <w:left w:w="28" w:type="dxa"/>
            <w:bottom w:w="0" w:type="dxa"/>
            <w:right w:w="28" w:type="dxa"/>
          </w:tblCellMar>
        </w:tblPrEx>
        <w:tc>
          <w:tcPr>
            <w:tcW w:w="318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关键管理人员薪酬</w:t>
            </w:r>
          </w:p>
        </w:tc>
        <w:tc>
          <w:tcPr>
            <w:tcW w:w="31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3,101,815.48</w:t>
            </w:r>
          </w:p>
        </w:tc>
        <w:tc>
          <w:tcPr>
            <w:tcW w:w="319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1,982,732.38</w:t>
            </w:r>
          </w:p>
        </w:tc>
      </w:tr>
    </w:tbl>
    <w:p>
      <w:pPr>
        <w:pStyle w:val="11"/>
        <w:outlineLvl w:val="3"/>
        <w:rPr>
          <w:bCs w:val="0"/>
          <w:szCs w:val="24"/>
        </w:rPr>
      </w:pPr>
      <w:r>
        <w:rPr>
          <w:rFonts w:hint="eastAsia"/>
          <w:bCs w:val="0"/>
          <w:szCs w:val="24"/>
        </w:rPr>
        <w:t>（</w:t>
      </w:r>
      <w:r>
        <w:rPr>
          <w:bCs w:val="0"/>
          <w:szCs w:val="24"/>
        </w:rPr>
        <w:t>8</w:t>
      </w:r>
      <w:r>
        <w:rPr>
          <w:rFonts w:hint="eastAsia"/>
          <w:bCs w:val="0"/>
          <w:szCs w:val="24"/>
        </w:rPr>
        <w:t>）其他关联交易</w:t>
      </w:r>
    </w:p>
    <w:p>
      <w:pPr>
        <w:pStyle w:val="11"/>
        <w:outlineLvl w:val="2"/>
        <w:rPr>
          <w:bCs w:val="0"/>
          <w:szCs w:val="24"/>
        </w:rPr>
      </w:pPr>
      <w:r>
        <w:rPr>
          <w:bCs w:val="0"/>
          <w:szCs w:val="24"/>
        </w:rPr>
        <w:t>6</w:t>
      </w:r>
      <w:r>
        <w:rPr>
          <w:rFonts w:hint="eastAsia"/>
          <w:bCs w:val="0"/>
          <w:szCs w:val="24"/>
        </w:rPr>
        <w:t>、关联方应收应付款项</w:t>
      </w:r>
    </w:p>
    <w:p>
      <w:pPr>
        <w:pStyle w:val="11"/>
        <w:outlineLvl w:val="3"/>
        <w:rPr>
          <w:bCs w:val="0"/>
          <w:szCs w:val="24"/>
        </w:rPr>
      </w:pPr>
      <w:r>
        <w:rPr>
          <w:rFonts w:hint="eastAsia"/>
          <w:bCs w:val="0"/>
          <w:szCs w:val="24"/>
        </w:rPr>
        <w:t>（</w:t>
      </w:r>
      <w:r>
        <w:rPr>
          <w:bCs w:val="0"/>
          <w:szCs w:val="24"/>
        </w:rPr>
        <w:t>1</w:t>
      </w:r>
      <w:r>
        <w:rPr>
          <w:rFonts w:hint="eastAsia"/>
          <w:bCs w:val="0"/>
          <w:szCs w:val="24"/>
        </w:rPr>
        <w:t>）应收项目</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566" w:type="dxa"/>
        <w:tblInd w:w="28" w:type="dxa"/>
        <w:tblLayout w:type="fixed"/>
        <w:tblCellMar>
          <w:top w:w="0" w:type="dxa"/>
          <w:left w:w="28" w:type="dxa"/>
          <w:bottom w:w="0" w:type="dxa"/>
          <w:right w:w="28" w:type="dxa"/>
        </w:tblCellMar>
      </w:tblPr>
      <w:tblGrid>
        <w:gridCol w:w="1595"/>
        <w:gridCol w:w="1595"/>
        <w:gridCol w:w="1594"/>
        <w:gridCol w:w="1594"/>
        <w:gridCol w:w="1594"/>
        <w:gridCol w:w="1594"/>
      </w:tblGrid>
      <w:tr>
        <w:tblPrEx>
          <w:tblLayout w:type="fixed"/>
          <w:tblCellMar>
            <w:top w:w="0" w:type="dxa"/>
            <w:left w:w="28" w:type="dxa"/>
            <w:bottom w:w="0" w:type="dxa"/>
            <w:right w:w="28" w:type="dxa"/>
          </w:tblCellMar>
        </w:tblPrEx>
        <w:tc>
          <w:tcPr>
            <w:tcW w:w="1595"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项目名称</w:t>
            </w:r>
          </w:p>
        </w:tc>
        <w:tc>
          <w:tcPr>
            <w:tcW w:w="1595"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关联方</w:t>
            </w:r>
          </w:p>
        </w:tc>
        <w:tc>
          <w:tcPr>
            <w:tcW w:w="3188"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c>
          <w:tcPr>
            <w:tcW w:w="3188"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期初余额</w:t>
            </w:r>
          </w:p>
        </w:tc>
      </w:tr>
      <w:tr>
        <w:tblPrEx>
          <w:tblLayout w:type="fixed"/>
          <w:tblCellMar>
            <w:top w:w="0" w:type="dxa"/>
            <w:left w:w="28" w:type="dxa"/>
            <w:bottom w:w="0" w:type="dxa"/>
            <w:right w:w="28" w:type="dxa"/>
          </w:tblCellMar>
        </w:tblPrEx>
        <w:tc>
          <w:tcPr>
            <w:tcW w:w="1595"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595"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账面余额</w:t>
            </w:r>
          </w:p>
        </w:tc>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坏账准备</w:t>
            </w:r>
          </w:p>
        </w:tc>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账面余额</w:t>
            </w:r>
          </w:p>
        </w:tc>
        <w:tc>
          <w:tcPr>
            <w:tcW w:w="159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坏账准备</w:t>
            </w:r>
          </w:p>
        </w:tc>
      </w:tr>
      <w:tr>
        <w:tblPrEx>
          <w:tblLayout w:type="fixed"/>
          <w:tblCellMar>
            <w:top w:w="0" w:type="dxa"/>
            <w:left w:w="28" w:type="dxa"/>
            <w:bottom w:w="0" w:type="dxa"/>
            <w:right w:w="28" w:type="dxa"/>
          </w:tblCellMar>
        </w:tblPrEx>
        <w:tc>
          <w:tcPr>
            <w:tcW w:w="15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应收账款</w:t>
            </w:r>
          </w:p>
        </w:tc>
        <w:tc>
          <w:tcPr>
            <w:tcW w:w="15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三亚海兰寰宇海洋信息科技有限公司</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13,264,500.00</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5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应收账款</w:t>
            </w:r>
          </w:p>
        </w:tc>
        <w:tc>
          <w:tcPr>
            <w:tcW w:w="15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北京南风科创应用技术有限公司</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4,729,875.89</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5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应收账款</w:t>
            </w:r>
          </w:p>
        </w:tc>
        <w:tc>
          <w:tcPr>
            <w:tcW w:w="15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上海劳雷仪器系统有限公司</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966,005.88</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2,553,815.47</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5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应收账款</w:t>
            </w:r>
          </w:p>
        </w:tc>
        <w:tc>
          <w:tcPr>
            <w:tcW w:w="15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北京劳雷物理探测仪器有限公司</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90,000.00</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12,367,600.73</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5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应收账款</w:t>
            </w:r>
          </w:p>
        </w:tc>
        <w:tc>
          <w:tcPr>
            <w:tcW w:w="15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劳雷地球物理系统有限公司</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1,228.40</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5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应收账款</w:t>
            </w:r>
          </w:p>
        </w:tc>
        <w:tc>
          <w:tcPr>
            <w:tcW w:w="15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美国劳雷工业有限公司</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75,951.05</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5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预付账款</w:t>
            </w:r>
          </w:p>
        </w:tc>
        <w:tc>
          <w:tcPr>
            <w:tcW w:w="15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上海劳雷仪器系统有限公司</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1,375,766.59</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5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预付账款</w:t>
            </w:r>
          </w:p>
        </w:tc>
        <w:tc>
          <w:tcPr>
            <w:tcW w:w="15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武汉劳雷绿湾船舶科技有限公司</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577,600.00</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5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其他应收款</w:t>
            </w:r>
          </w:p>
        </w:tc>
        <w:tc>
          <w:tcPr>
            <w:tcW w:w="15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北京劳雷物理探测仪器公司</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8,104,057.97</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5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其他应收款</w:t>
            </w:r>
          </w:p>
        </w:tc>
        <w:tc>
          <w:tcPr>
            <w:tcW w:w="15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上海劳雷仪器系统有限公司</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2,448,900.00</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5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其他应收款</w:t>
            </w:r>
          </w:p>
        </w:tc>
        <w:tc>
          <w:tcPr>
            <w:tcW w:w="159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江苏海兰信海洋工程技术开发有限公司</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950,560.76</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bl>
    <w:p>
      <w:pPr>
        <w:jc w:val="left"/>
        <w:rPr>
          <w:sz w:val="21"/>
          <w:szCs w:val="21"/>
        </w:rPr>
      </w:pPr>
      <w:r>
        <w:rPr>
          <w:rFonts w:hint="eastAsia"/>
          <w:sz w:val="21"/>
          <w:szCs w:val="21"/>
        </w:rPr>
        <w:t>注：关联交易约定以净额结算的，应收关联方款项可以抵销后金额填列。</w:t>
      </w:r>
    </w:p>
    <w:p>
      <w:pPr>
        <w:pStyle w:val="11"/>
        <w:outlineLvl w:val="3"/>
        <w:rPr>
          <w:bCs w:val="0"/>
          <w:szCs w:val="24"/>
        </w:rPr>
      </w:pPr>
      <w:r>
        <w:rPr>
          <w:rFonts w:hint="eastAsia"/>
          <w:bCs w:val="0"/>
          <w:szCs w:val="24"/>
        </w:rPr>
        <w:t>（</w:t>
      </w:r>
      <w:r>
        <w:rPr>
          <w:bCs w:val="0"/>
          <w:szCs w:val="24"/>
        </w:rPr>
        <w:t>2</w:t>
      </w:r>
      <w:r>
        <w:rPr>
          <w:rFonts w:hint="eastAsia"/>
          <w:bCs w:val="0"/>
          <w:szCs w:val="24"/>
        </w:rPr>
        <w:t>）应付项目</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568" w:type="dxa"/>
        <w:tblInd w:w="28" w:type="dxa"/>
        <w:tblLayout w:type="fixed"/>
        <w:tblCellMar>
          <w:top w:w="0" w:type="dxa"/>
          <w:left w:w="28" w:type="dxa"/>
          <w:bottom w:w="0" w:type="dxa"/>
          <w:right w:w="28" w:type="dxa"/>
        </w:tblCellMar>
      </w:tblPr>
      <w:tblGrid>
        <w:gridCol w:w="2391"/>
        <w:gridCol w:w="2393"/>
        <w:gridCol w:w="2392"/>
        <w:gridCol w:w="2392"/>
      </w:tblGrid>
      <w:tr>
        <w:tblPrEx>
          <w:tblLayout w:type="fixed"/>
          <w:tblCellMar>
            <w:top w:w="0" w:type="dxa"/>
            <w:left w:w="28" w:type="dxa"/>
            <w:bottom w:w="0" w:type="dxa"/>
            <w:right w:w="28" w:type="dxa"/>
          </w:tblCellMar>
        </w:tblPrEx>
        <w:tc>
          <w:tcPr>
            <w:tcW w:w="239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项目名称</w:t>
            </w:r>
          </w:p>
        </w:tc>
        <w:tc>
          <w:tcPr>
            <w:tcW w:w="239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关联方</w:t>
            </w:r>
          </w:p>
        </w:tc>
        <w:tc>
          <w:tcPr>
            <w:tcW w:w="239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期末账面余额</w:t>
            </w:r>
          </w:p>
        </w:tc>
        <w:tc>
          <w:tcPr>
            <w:tcW w:w="239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期初账面余额</w:t>
            </w:r>
          </w:p>
        </w:tc>
      </w:tr>
      <w:tr>
        <w:tblPrEx>
          <w:tblLayout w:type="fixed"/>
          <w:tblCellMar>
            <w:top w:w="0" w:type="dxa"/>
            <w:left w:w="28" w:type="dxa"/>
            <w:bottom w:w="0" w:type="dxa"/>
            <w:right w:w="28" w:type="dxa"/>
          </w:tblCellMar>
        </w:tblPrEx>
        <w:tc>
          <w:tcPr>
            <w:tcW w:w="2391" w:type="dxa"/>
            <w:tcBorders>
              <w:top w:val="single" w:color="auto" w:sz="4" w:space="0"/>
              <w:left w:val="single" w:color="auto" w:sz="4" w:space="0"/>
              <w:bottom w:val="single" w:color="auto" w:sz="4" w:space="0"/>
              <w:right w:val="single" w:color="auto" w:sz="4" w:space="0"/>
            </w:tcBorders>
            <w:shd w:val="clear" w:color="auto" w:fill="FFFFFF"/>
            <w:vAlign w:val="center"/>
          </w:tcPr>
          <w:p>
            <w:pPr>
              <w:autoSpaceDE w:val="0"/>
              <w:autoSpaceDN w:val="0"/>
              <w:spacing w:line="360" w:lineRule="exact"/>
              <w:rPr>
                <w:sz w:val="21"/>
                <w:szCs w:val="21"/>
              </w:rPr>
            </w:pPr>
            <w:r>
              <w:rPr>
                <w:rFonts w:hint="eastAsia"/>
                <w:sz w:val="21"/>
                <w:szCs w:val="21"/>
              </w:rPr>
              <w:t>应付账款</w:t>
            </w:r>
          </w:p>
        </w:tc>
        <w:tc>
          <w:tcPr>
            <w:tcW w:w="2393" w:type="dxa"/>
            <w:tcBorders>
              <w:top w:val="single" w:color="auto" w:sz="4" w:space="0"/>
              <w:left w:val="single" w:color="auto" w:sz="4" w:space="0"/>
              <w:bottom w:val="single" w:color="auto" w:sz="4" w:space="0"/>
              <w:right w:val="single" w:color="auto" w:sz="4" w:space="0"/>
            </w:tcBorders>
            <w:shd w:val="clear" w:color="auto" w:fill="FFFFFF"/>
          </w:tcPr>
          <w:p>
            <w:pPr>
              <w:spacing w:line="360" w:lineRule="exact"/>
              <w:rPr>
                <w:sz w:val="21"/>
                <w:szCs w:val="21"/>
              </w:rPr>
            </w:pPr>
            <w:r>
              <w:rPr>
                <w:rFonts w:hint="eastAsia"/>
                <w:sz w:val="21"/>
                <w:szCs w:val="21"/>
              </w:rPr>
              <w:t>北京南风科创应用技术有限公司</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460,000.00</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exact"/>
              <w:jc w:val="right"/>
              <w:rPr>
                <w:rFonts w:ascii="宋体"/>
                <w:color w:val="000000"/>
                <w:sz w:val="21"/>
                <w:szCs w:val="21"/>
              </w:rPr>
            </w:pPr>
          </w:p>
        </w:tc>
      </w:tr>
      <w:tr>
        <w:tblPrEx>
          <w:tblLayout w:type="fixed"/>
          <w:tblCellMar>
            <w:top w:w="0" w:type="dxa"/>
            <w:left w:w="28" w:type="dxa"/>
            <w:bottom w:w="0" w:type="dxa"/>
            <w:right w:w="28" w:type="dxa"/>
          </w:tblCellMar>
        </w:tblPrEx>
        <w:tc>
          <w:tcPr>
            <w:tcW w:w="239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应付账款</w:t>
            </w:r>
          </w:p>
        </w:tc>
        <w:tc>
          <w:tcPr>
            <w:tcW w:w="239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上海劳雷仪器系统有限公司</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334,250.00</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3,503,668.00</w:t>
            </w:r>
          </w:p>
        </w:tc>
      </w:tr>
      <w:tr>
        <w:tblPrEx>
          <w:tblLayout w:type="fixed"/>
          <w:tblCellMar>
            <w:top w:w="0" w:type="dxa"/>
            <w:left w:w="28" w:type="dxa"/>
            <w:bottom w:w="0" w:type="dxa"/>
            <w:right w:w="28" w:type="dxa"/>
          </w:tblCellMar>
        </w:tblPrEx>
        <w:tc>
          <w:tcPr>
            <w:tcW w:w="239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其他应付款</w:t>
            </w:r>
          </w:p>
        </w:tc>
        <w:tc>
          <w:tcPr>
            <w:tcW w:w="239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北京南风科创技术应用有限公司</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1,308,222.35</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39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其他应付款</w:t>
            </w:r>
          </w:p>
        </w:tc>
        <w:tc>
          <w:tcPr>
            <w:tcW w:w="239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北京劳雷物理探测仪器有限公司</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1,197,710.00</w:t>
            </w:r>
          </w:p>
        </w:tc>
        <w:tc>
          <w:tcPr>
            <w:tcW w:w="239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2,218,419.76</w:t>
            </w:r>
          </w:p>
        </w:tc>
      </w:tr>
    </w:tbl>
    <w:p>
      <w:pPr>
        <w:jc w:val="left"/>
        <w:rPr>
          <w:sz w:val="21"/>
          <w:szCs w:val="21"/>
        </w:rPr>
      </w:pPr>
      <w:r>
        <w:rPr>
          <w:rFonts w:hint="eastAsia"/>
          <w:sz w:val="21"/>
          <w:szCs w:val="21"/>
        </w:rPr>
        <w:t>注：关联交易约定以净额结算的，应付关联方款项可以抵销后金额填列。</w:t>
      </w:r>
    </w:p>
    <w:p>
      <w:pPr>
        <w:pStyle w:val="10"/>
        <w:outlineLvl w:val="1"/>
        <w:rPr>
          <w:bCs w:val="0"/>
        </w:rPr>
      </w:pPr>
      <w:r>
        <w:rPr>
          <w:rFonts w:hint="eastAsia"/>
          <w:bCs w:val="0"/>
        </w:rPr>
        <w:t>十一、股份支付总体情况</w:t>
      </w:r>
    </w:p>
    <w:p>
      <w:pPr>
        <w:jc w:val="left"/>
        <w:rPr>
          <w:sz w:val="21"/>
          <w:szCs w:val="21"/>
        </w:rPr>
      </w:pPr>
      <w:r>
        <w:rPr>
          <w:sz w:val="21"/>
          <w:szCs w:val="21"/>
        </w:rPr>
        <w:t xml:space="preserve">□ </w:t>
      </w:r>
      <w:r>
        <w:rPr>
          <w:rFonts w:hint="eastAsia"/>
          <w:sz w:val="21"/>
          <w:szCs w:val="21"/>
        </w:rPr>
        <w:t>适用</w:t>
      </w:r>
      <w:r>
        <w:rPr>
          <w:sz w:val="21"/>
          <w:szCs w:val="21"/>
        </w:rPr>
        <w:t xml:space="preserve"> √ </w:t>
      </w:r>
      <w:r>
        <w:rPr>
          <w:rFonts w:hint="eastAsia"/>
          <w:sz w:val="21"/>
          <w:szCs w:val="21"/>
        </w:rPr>
        <w:t>不适用</w:t>
      </w:r>
      <w:r>
        <w:rPr>
          <w:sz w:val="21"/>
          <w:szCs w:val="21"/>
        </w:rPr>
        <w:t xml:space="preserve"> </w:t>
      </w:r>
    </w:p>
    <w:p>
      <w:pPr>
        <w:pStyle w:val="11"/>
        <w:outlineLvl w:val="2"/>
        <w:rPr>
          <w:bCs w:val="0"/>
          <w:szCs w:val="24"/>
        </w:rPr>
      </w:pPr>
      <w:r>
        <w:rPr>
          <w:bCs w:val="0"/>
          <w:szCs w:val="24"/>
        </w:rPr>
        <w:t>2</w:t>
      </w:r>
      <w:r>
        <w:rPr>
          <w:rFonts w:hint="eastAsia"/>
          <w:bCs w:val="0"/>
          <w:szCs w:val="24"/>
        </w:rPr>
        <w:t>、以权益结算的股份支付情况</w:t>
      </w:r>
    </w:p>
    <w:p>
      <w:pPr>
        <w:jc w:val="left"/>
        <w:rPr>
          <w:sz w:val="21"/>
          <w:szCs w:val="21"/>
        </w:rPr>
      </w:pPr>
      <w:r>
        <w:rPr>
          <w:sz w:val="21"/>
          <w:szCs w:val="21"/>
        </w:rPr>
        <w:t xml:space="preserve">□ </w:t>
      </w:r>
      <w:r>
        <w:rPr>
          <w:rFonts w:hint="eastAsia"/>
          <w:sz w:val="21"/>
          <w:szCs w:val="21"/>
        </w:rPr>
        <w:t>适用</w:t>
      </w:r>
      <w:r>
        <w:rPr>
          <w:sz w:val="21"/>
          <w:szCs w:val="21"/>
        </w:rPr>
        <w:t xml:space="preserve"> √ </w:t>
      </w:r>
      <w:r>
        <w:rPr>
          <w:rFonts w:hint="eastAsia"/>
          <w:sz w:val="21"/>
          <w:szCs w:val="21"/>
        </w:rPr>
        <w:t>不适用</w:t>
      </w:r>
      <w:r>
        <w:rPr>
          <w:sz w:val="21"/>
          <w:szCs w:val="21"/>
        </w:rPr>
        <w:t xml:space="preserve"> </w:t>
      </w:r>
    </w:p>
    <w:p>
      <w:pPr>
        <w:pStyle w:val="11"/>
        <w:outlineLvl w:val="2"/>
        <w:rPr>
          <w:bCs w:val="0"/>
          <w:szCs w:val="24"/>
        </w:rPr>
      </w:pPr>
      <w:r>
        <w:rPr>
          <w:bCs w:val="0"/>
          <w:szCs w:val="24"/>
        </w:rPr>
        <w:t>3</w:t>
      </w:r>
      <w:r>
        <w:rPr>
          <w:rFonts w:hint="eastAsia"/>
          <w:bCs w:val="0"/>
          <w:szCs w:val="24"/>
        </w:rPr>
        <w:t>、以现金结算的股份支付情况</w:t>
      </w:r>
    </w:p>
    <w:p>
      <w:pPr>
        <w:jc w:val="left"/>
        <w:rPr>
          <w:sz w:val="21"/>
          <w:szCs w:val="21"/>
        </w:rPr>
      </w:pPr>
      <w:r>
        <w:rPr>
          <w:szCs w:val="24"/>
        </w:rPr>
        <w:t xml:space="preserve">□ </w:t>
      </w:r>
      <w:r>
        <w:rPr>
          <w:rFonts w:hint="eastAsia"/>
          <w:sz w:val="21"/>
          <w:szCs w:val="21"/>
        </w:rPr>
        <w:t>适用</w:t>
      </w:r>
      <w:r>
        <w:rPr>
          <w:sz w:val="21"/>
          <w:szCs w:val="21"/>
        </w:rPr>
        <w:t xml:space="preserve"> √ </w:t>
      </w:r>
      <w:r>
        <w:rPr>
          <w:rFonts w:hint="eastAsia"/>
          <w:sz w:val="21"/>
          <w:szCs w:val="21"/>
        </w:rPr>
        <w:t>不适用</w:t>
      </w:r>
      <w:r>
        <w:rPr>
          <w:sz w:val="21"/>
          <w:szCs w:val="21"/>
        </w:rPr>
        <w:t xml:space="preserve"> </w:t>
      </w:r>
    </w:p>
    <w:p>
      <w:pPr>
        <w:pStyle w:val="11"/>
        <w:outlineLvl w:val="2"/>
        <w:rPr>
          <w:bCs w:val="0"/>
          <w:szCs w:val="24"/>
        </w:rPr>
      </w:pPr>
      <w:r>
        <w:rPr>
          <w:bCs w:val="0"/>
          <w:szCs w:val="24"/>
        </w:rPr>
        <w:t>4</w:t>
      </w:r>
      <w:r>
        <w:rPr>
          <w:rFonts w:hint="eastAsia"/>
          <w:bCs w:val="0"/>
          <w:szCs w:val="24"/>
        </w:rPr>
        <w:t>、股份支付的修改、终止情况</w:t>
      </w:r>
    </w:p>
    <w:p>
      <w:pPr>
        <w:jc w:val="left"/>
        <w:rPr>
          <w:sz w:val="21"/>
          <w:szCs w:val="21"/>
        </w:rPr>
      </w:pPr>
      <w:r>
        <w:rPr>
          <w:rFonts w:hint="eastAsia"/>
          <w:sz w:val="21"/>
          <w:szCs w:val="21"/>
        </w:rPr>
        <w:t>无</w:t>
      </w:r>
    </w:p>
    <w:p>
      <w:pPr>
        <w:pStyle w:val="11"/>
        <w:outlineLvl w:val="2"/>
        <w:rPr>
          <w:bCs w:val="0"/>
          <w:szCs w:val="24"/>
        </w:rPr>
      </w:pPr>
      <w:r>
        <w:rPr>
          <w:bCs w:val="0"/>
          <w:szCs w:val="24"/>
        </w:rPr>
        <w:t>5</w:t>
      </w:r>
      <w:r>
        <w:rPr>
          <w:rFonts w:hint="eastAsia"/>
          <w:bCs w:val="0"/>
          <w:szCs w:val="24"/>
        </w:rPr>
        <w:t>、其他</w:t>
      </w:r>
    </w:p>
    <w:p>
      <w:pPr>
        <w:pStyle w:val="10"/>
        <w:outlineLvl w:val="1"/>
        <w:rPr>
          <w:bCs w:val="0"/>
        </w:rPr>
      </w:pPr>
      <w:r>
        <w:rPr>
          <w:rFonts w:hint="eastAsia"/>
          <w:bCs w:val="0"/>
        </w:rPr>
        <w:t>十二、承诺及或有事项</w:t>
      </w:r>
    </w:p>
    <w:p>
      <w:pPr>
        <w:pStyle w:val="11"/>
        <w:outlineLvl w:val="2"/>
        <w:rPr>
          <w:bCs w:val="0"/>
          <w:szCs w:val="24"/>
        </w:rPr>
      </w:pPr>
      <w:r>
        <w:rPr>
          <w:bCs w:val="0"/>
          <w:szCs w:val="24"/>
        </w:rPr>
        <w:t>1</w:t>
      </w:r>
      <w:r>
        <w:rPr>
          <w:rFonts w:hint="eastAsia"/>
          <w:bCs w:val="0"/>
          <w:szCs w:val="24"/>
        </w:rPr>
        <w:t>、重要承诺事项</w:t>
      </w:r>
    </w:p>
    <w:p>
      <w:pPr>
        <w:spacing w:line="360" w:lineRule="auto"/>
        <w:jc w:val="left"/>
        <w:rPr>
          <w:sz w:val="21"/>
          <w:szCs w:val="21"/>
        </w:rPr>
      </w:pPr>
      <w:r>
        <w:rPr>
          <w:rFonts w:hint="eastAsia"/>
          <w:sz w:val="21"/>
          <w:szCs w:val="21"/>
        </w:rPr>
        <w:t>资产负债表日存在的重要承诺</w:t>
      </w:r>
    </w:p>
    <w:p>
      <w:pPr>
        <w:spacing w:line="360" w:lineRule="auto"/>
        <w:jc w:val="left"/>
        <w:rPr>
          <w:rFonts w:eastAsia="Times New Roman"/>
          <w:kern w:val="0"/>
          <w:sz w:val="21"/>
          <w:szCs w:val="21"/>
          <w:lang w:val="zh-CN"/>
        </w:rPr>
      </w:pPr>
      <w:r>
        <w:rPr>
          <w:rFonts w:hint="eastAsia" w:ascii="宋体" w:hAnsi="宋体" w:cs="宋体"/>
          <w:kern w:val="0"/>
          <w:sz w:val="21"/>
          <w:szCs w:val="21"/>
          <w:lang w:val="zh-CN"/>
        </w:rPr>
        <w:t>截至</w:t>
      </w:r>
      <w:r>
        <w:rPr>
          <w:rFonts w:eastAsia="Times New Roman"/>
          <w:kern w:val="0"/>
          <w:sz w:val="21"/>
          <w:szCs w:val="21"/>
          <w:lang w:val="en-GB"/>
        </w:rPr>
        <w:t>2016</w:t>
      </w:r>
      <w:r>
        <w:rPr>
          <w:rFonts w:hint="eastAsia" w:ascii="宋体" w:hAnsi="宋体" w:cs="宋体"/>
          <w:kern w:val="0"/>
          <w:sz w:val="21"/>
          <w:szCs w:val="21"/>
          <w:lang w:val="zh-CN"/>
        </w:rPr>
        <w:t>年</w:t>
      </w:r>
      <w:r>
        <w:rPr>
          <w:rFonts w:eastAsia="Times New Roman"/>
          <w:kern w:val="0"/>
          <w:sz w:val="21"/>
          <w:szCs w:val="21"/>
          <w:lang w:val="en-GB"/>
        </w:rPr>
        <w:t>12</w:t>
      </w:r>
      <w:r>
        <w:rPr>
          <w:rFonts w:hint="eastAsia" w:ascii="宋体" w:hAnsi="宋体" w:cs="宋体"/>
          <w:kern w:val="0"/>
          <w:sz w:val="21"/>
          <w:szCs w:val="21"/>
          <w:lang w:val="zh-CN"/>
        </w:rPr>
        <w:t>月</w:t>
      </w:r>
      <w:r>
        <w:rPr>
          <w:rFonts w:eastAsia="Times New Roman"/>
          <w:kern w:val="0"/>
          <w:sz w:val="21"/>
          <w:szCs w:val="21"/>
          <w:lang w:val="en-GB"/>
        </w:rPr>
        <w:t>31</w:t>
      </w:r>
      <w:r>
        <w:rPr>
          <w:rFonts w:hint="eastAsia" w:ascii="宋体" w:hAnsi="宋体" w:cs="宋体"/>
          <w:kern w:val="0"/>
          <w:sz w:val="21"/>
          <w:szCs w:val="21"/>
          <w:lang w:val="zh-CN"/>
        </w:rPr>
        <w:t>日，本集团无重大承诺事项。</w:t>
      </w:r>
    </w:p>
    <w:p>
      <w:pPr>
        <w:pStyle w:val="11"/>
        <w:outlineLvl w:val="2"/>
        <w:rPr>
          <w:bCs w:val="0"/>
          <w:szCs w:val="24"/>
        </w:rPr>
      </w:pPr>
      <w:r>
        <w:rPr>
          <w:bCs w:val="0"/>
          <w:szCs w:val="24"/>
        </w:rPr>
        <w:t>2</w:t>
      </w:r>
      <w:r>
        <w:rPr>
          <w:rFonts w:hint="eastAsia"/>
          <w:bCs w:val="0"/>
          <w:szCs w:val="24"/>
        </w:rPr>
        <w:t>、或有事项</w:t>
      </w:r>
    </w:p>
    <w:p>
      <w:pPr>
        <w:pStyle w:val="11"/>
        <w:outlineLvl w:val="3"/>
        <w:rPr>
          <w:bCs w:val="0"/>
          <w:szCs w:val="24"/>
        </w:rPr>
      </w:pPr>
      <w:r>
        <w:rPr>
          <w:rFonts w:hint="eastAsia"/>
          <w:bCs w:val="0"/>
          <w:szCs w:val="24"/>
        </w:rPr>
        <w:t>（</w:t>
      </w:r>
      <w:r>
        <w:rPr>
          <w:bCs w:val="0"/>
          <w:szCs w:val="24"/>
        </w:rPr>
        <w:t>1</w:t>
      </w:r>
      <w:r>
        <w:rPr>
          <w:rFonts w:hint="eastAsia"/>
          <w:bCs w:val="0"/>
          <w:szCs w:val="24"/>
        </w:rPr>
        <w:t>）资产负债表日存在的重要或有事项</w:t>
      </w:r>
    </w:p>
    <w:p>
      <w:pPr>
        <w:spacing w:line="360" w:lineRule="auto"/>
        <w:jc w:val="left"/>
        <w:rPr>
          <w:rFonts w:eastAsia="Times New Roman"/>
          <w:kern w:val="0"/>
          <w:sz w:val="22"/>
          <w:szCs w:val="24"/>
          <w:lang w:val="zh-CN"/>
        </w:rPr>
      </w:pPr>
      <w:r>
        <w:rPr>
          <w:rFonts w:hint="eastAsia" w:ascii="宋体" w:hAnsi="宋体" w:cs="宋体"/>
          <w:kern w:val="0"/>
          <w:sz w:val="22"/>
          <w:szCs w:val="24"/>
          <w:lang w:val="zh-CN"/>
        </w:rPr>
        <w:t>截至</w:t>
      </w:r>
      <w:r>
        <w:rPr>
          <w:rFonts w:eastAsia="Times New Roman"/>
          <w:kern w:val="0"/>
          <w:sz w:val="22"/>
          <w:szCs w:val="24"/>
          <w:lang w:val="en-GB"/>
        </w:rPr>
        <w:t>2016</w:t>
      </w:r>
      <w:r>
        <w:rPr>
          <w:rFonts w:hint="eastAsia" w:ascii="宋体" w:hAnsi="宋体" w:cs="宋体"/>
          <w:kern w:val="0"/>
          <w:sz w:val="22"/>
          <w:szCs w:val="24"/>
          <w:lang w:val="zh-CN"/>
        </w:rPr>
        <w:t>年</w:t>
      </w:r>
      <w:r>
        <w:rPr>
          <w:rFonts w:eastAsia="Times New Roman"/>
          <w:kern w:val="0"/>
          <w:sz w:val="22"/>
          <w:szCs w:val="24"/>
          <w:lang w:val="en-GB"/>
        </w:rPr>
        <w:t>12</w:t>
      </w:r>
      <w:r>
        <w:rPr>
          <w:rFonts w:hint="eastAsia" w:ascii="宋体" w:hAnsi="宋体" w:cs="宋体"/>
          <w:kern w:val="0"/>
          <w:sz w:val="22"/>
          <w:szCs w:val="24"/>
          <w:lang w:val="zh-CN"/>
        </w:rPr>
        <w:t>月</w:t>
      </w:r>
      <w:r>
        <w:rPr>
          <w:rFonts w:eastAsia="Times New Roman"/>
          <w:kern w:val="0"/>
          <w:sz w:val="22"/>
          <w:szCs w:val="24"/>
          <w:lang w:val="en-GB"/>
        </w:rPr>
        <w:t>31</w:t>
      </w:r>
      <w:r>
        <w:rPr>
          <w:rFonts w:hint="eastAsia" w:ascii="宋体" w:hAnsi="宋体" w:cs="宋体"/>
          <w:kern w:val="0"/>
          <w:sz w:val="22"/>
          <w:szCs w:val="24"/>
          <w:lang w:val="zh-CN"/>
        </w:rPr>
        <w:t>日，本集团无重大或有事项。</w:t>
      </w:r>
    </w:p>
    <w:p>
      <w:pPr>
        <w:pStyle w:val="11"/>
        <w:outlineLvl w:val="3"/>
        <w:rPr>
          <w:bCs w:val="0"/>
          <w:szCs w:val="24"/>
        </w:rPr>
      </w:pPr>
      <w:r>
        <w:rPr>
          <w:rFonts w:hint="eastAsia"/>
          <w:bCs w:val="0"/>
          <w:szCs w:val="24"/>
        </w:rPr>
        <w:t>（</w:t>
      </w:r>
      <w:r>
        <w:rPr>
          <w:bCs w:val="0"/>
          <w:szCs w:val="24"/>
        </w:rPr>
        <w:t>2</w:t>
      </w:r>
      <w:r>
        <w:rPr>
          <w:rFonts w:hint="eastAsia"/>
          <w:bCs w:val="0"/>
          <w:szCs w:val="24"/>
        </w:rPr>
        <w:t>）公司没有需要披露的重要或有事项，也应予以说明</w:t>
      </w:r>
    </w:p>
    <w:p>
      <w:pPr>
        <w:spacing w:line="360" w:lineRule="auto"/>
        <w:jc w:val="left"/>
        <w:rPr>
          <w:szCs w:val="24"/>
        </w:rPr>
      </w:pPr>
      <w:r>
        <w:rPr>
          <w:rFonts w:hint="eastAsia"/>
          <w:sz w:val="21"/>
          <w:szCs w:val="24"/>
        </w:rPr>
        <w:t>公司不存在需要披露的重要或有事项</w:t>
      </w:r>
      <w:r>
        <w:rPr>
          <w:rFonts w:hint="eastAsia"/>
          <w:szCs w:val="24"/>
        </w:rPr>
        <w:t>。</w:t>
      </w:r>
    </w:p>
    <w:p>
      <w:pPr>
        <w:pStyle w:val="10"/>
        <w:outlineLvl w:val="1"/>
        <w:rPr>
          <w:bCs w:val="0"/>
        </w:rPr>
      </w:pPr>
      <w:r>
        <w:rPr>
          <w:rFonts w:hint="eastAsia"/>
          <w:bCs w:val="0"/>
        </w:rPr>
        <w:t>十三、资产负债表日后事项</w:t>
      </w:r>
    </w:p>
    <w:p>
      <w:pPr>
        <w:pStyle w:val="11"/>
        <w:outlineLvl w:val="2"/>
        <w:rPr>
          <w:bCs w:val="0"/>
          <w:szCs w:val="24"/>
        </w:rPr>
      </w:pPr>
      <w:r>
        <w:rPr>
          <w:bCs w:val="0"/>
          <w:szCs w:val="24"/>
        </w:rPr>
        <w:t>1</w:t>
      </w:r>
      <w:r>
        <w:rPr>
          <w:rFonts w:hint="eastAsia"/>
          <w:bCs w:val="0"/>
          <w:szCs w:val="24"/>
        </w:rPr>
        <w:t>、利润分配情况</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568" w:type="dxa"/>
        <w:tblInd w:w="28" w:type="dxa"/>
        <w:tblLayout w:type="fixed"/>
        <w:tblCellMar>
          <w:top w:w="0" w:type="dxa"/>
          <w:left w:w="28" w:type="dxa"/>
          <w:bottom w:w="0" w:type="dxa"/>
          <w:right w:w="28" w:type="dxa"/>
        </w:tblCellMar>
      </w:tblPr>
      <w:tblGrid>
        <w:gridCol w:w="4983"/>
        <w:gridCol w:w="4585"/>
      </w:tblGrid>
      <w:tr>
        <w:tblPrEx>
          <w:tblLayout w:type="fixed"/>
          <w:tblCellMar>
            <w:top w:w="0" w:type="dxa"/>
            <w:left w:w="28" w:type="dxa"/>
            <w:bottom w:w="0" w:type="dxa"/>
            <w:right w:w="28" w:type="dxa"/>
          </w:tblCellMar>
        </w:tblPrEx>
        <w:tc>
          <w:tcPr>
            <w:tcW w:w="498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拟分配的利润或股利</w:t>
            </w:r>
          </w:p>
        </w:tc>
        <w:tc>
          <w:tcPr>
            <w:tcW w:w="45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19,324,851.84</w:t>
            </w:r>
          </w:p>
        </w:tc>
      </w:tr>
      <w:tr>
        <w:tblPrEx>
          <w:tblLayout w:type="fixed"/>
          <w:tblCellMar>
            <w:top w:w="0" w:type="dxa"/>
            <w:left w:w="28" w:type="dxa"/>
            <w:bottom w:w="0" w:type="dxa"/>
            <w:right w:w="28" w:type="dxa"/>
          </w:tblCellMar>
        </w:tblPrEx>
        <w:tc>
          <w:tcPr>
            <w:tcW w:w="498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经审议批准宣告发放的利润或股利</w:t>
            </w:r>
          </w:p>
        </w:tc>
        <w:tc>
          <w:tcPr>
            <w:tcW w:w="458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19,324,851.84</w:t>
            </w:r>
          </w:p>
        </w:tc>
      </w:tr>
    </w:tbl>
    <w:p>
      <w:pPr>
        <w:pStyle w:val="11"/>
        <w:outlineLvl w:val="2"/>
        <w:rPr>
          <w:bCs w:val="0"/>
          <w:szCs w:val="24"/>
        </w:rPr>
      </w:pPr>
      <w:r>
        <w:rPr>
          <w:bCs w:val="0"/>
          <w:szCs w:val="24"/>
        </w:rPr>
        <w:t>3</w:t>
      </w:r>
      <w:r>
        <w:rPr>
          <w:rFonts w:hint="eastAsia"/>
          <w:bCs w:val="0"/>
          <w:szCs w:val="24"/>
        </w:rPr>
        <w:t>、销售退回</w:t>
      </w:r>
    </w:p>
    <w:p>
      <w:pPr>
        <w:jc w:val="left"/>
        <w:rPr>
          <w:sz w:val="21"/>
          <w:szCs w:val="21"/>
        </w:rPr>
      </w:pPr>
      <w:r>
        <w:rPr>
          <w:rFonts w:hint="eastAsia"/>
          <w:sz w:val="21"/>
          <w:szCs w:val="21"/>
        </w:rPr>
        <w:t>无</w:t>
      </w:r>
    </w:p>
    <w:p>
      <w:pPr>
        <w:pStyle w:val="11"/>
        <w:outlineLvl w:val="2"/>
        <w:rPr>
          <w:bCs w:val="0"/>
          <w:szCs w:val="24"/>
        </w:rPr>
      </w:pPr>
      <w:r>
        <w:rPr>
          <w:bCs w:val="0"/>
          <w:szCs w:val="24"/>
        </w:rPr>
        <w:t>4</w:t>
      </w:r>
      <w:r>
        <w:rPr>
          <w:rFonts w:hint="eastAsia"/>
          <w:bCs w:val="0"/>
          <w:szCs w:val="24"/>
        </w:rPr>
        <w:t>、其他资产负债表日后事项说明</w:t>
      </w:r>
    </w:p>
    <w:p>
      <w:pPr>
        <w:autoSpaceDE w:val="0"/>
        <w:autoSpaceDN w:val="0"/>
        <w:adjustRightInd w:val="0"/>
        <w:spacing w:before="240" w:after="240"/>
        <w:ind w:firstLine="442"/>
        <w:jc w:val="left"/>
        <w:rPr>
          <w:rFonts w:eastAsia="Times New Roman"/>
          <w:b/>
          <w:kern w:val="0"/>
          <w:sz w:val="22"/>
          <w:szCs w:val="24"/>
          <w:lang w:val="zh-CN"/>
        </w:rPr>
      </w:pPr>
      <w:r>
        <w:rPr>
          <w:rFonts w:eastAsia="Times New Roman"/>
          <w:b/>
          <w:kern w:val="0"/>
          <w:sz w:val="22"/>
          <w:szCs w:val="24"/>
          <w:lang w:val="en-GB"/>
        </w:rPr>
        <w:t>1</w:t>
      </w:r>
      <w:r>
        <w:rPr>
          <w:rFonts w:hint="eastAsia" w:ascii="宋体" w:hAnsi="宋体" w:cs="宋体"/>
          <w:b/>
          <w:kern w:val="0"/>
          <w:sz w:val="22"/>
          <w:szCs w:val="24"/>
          <w:lang w:val="zh-CN"/>
        </w:rPr>
        <w:t>、公司重大资产重组事项</w:t>
      </w:r>
    </w:p>
    <w:p>
      <w:pPr>
        <w:autoSpaceDE w:val="0"/>
        <w:autoSpaceDN w:val="0"/>
        <w:adjustRightInd w:val="0"/>
        <w:spacing w:before="240" w:after="240" w:line="360" w:lineRule="auto"/>
        <w:ind w:firstLine="440"/>
        <w:jc w:val="left"/>
        <w:rPr>
          <w:rFonts w:ascii="宋体" w:cs="宋体"/>
          <w:kern w:val="0"/>
          <w:sz w:val="21"/>
          <w:szCs w:val="21"/>
          <w:lang w:val="zh-CN"/>
        </w:rPr>
      </w:pPr>
      <w:r>
        <w:rPr>
          <w:rFonts w:ascii="宋体" w:hAnsi="宋体" w:cs="宋体"/>
          <w:kern w:val="0"/>
          <w:sz w:val="21"/>
          <w:szCs w:val="21"/>
          <w:lang w:val="zh-CN"/>
        </w:rPr>
        <w:t>2017</w:t>
      </w:r>
      <w:r>
        <w:rPr>
          <w:rFonts w:hint="eastAsia" w:ascii="宋体" w:hAnsi="宋体" w:cs="宋体"/>
          <w:kern w:val="0"/>
          <w:sz w:val="21"/>
          <w:szCs w:val="21"/>
          <w:lang w:val="zh-CN"/>
        </w:rPr>
        <w:t>年</w:t>
      </w:r>
      <w:r>
        <w:rPr>
          <w:rFonts w:ascii="宋体" w:hAnsi="宋体" w:cs="宋体"/>
          <w:kern w:val="0"/>
          <w:sz w:val="21"/>
          <w:szCs w:val="21"/>
          <w:lang w:val="zh-CN"/>
        </w:rPr>
        <w:t>2</w:t>
      </w:r>
      <w:r>
        <w:rPr>
          <w:rFonts w:hint="eastAsia" w:ascii="宋体" w:hAnsi="宋体" w:cs="宋体"/>
          <w:kern w:val="0"/>
          <w:sz w:val="21"/>
          <w:szCs w:val="21"/>
          <w:lang w:val="zh-CN"/>
        </w:rPr>
        <w:t>月</w:t>
      </w:r>
      <w:r>
        <w:rPr>
          <w:rFonts w:ascii="宋体" w:hAnsi="宋体" w:cs="宋体"/>
          <w:kern w:val="0"/>
          <w:sz w:val="21"/>
          <w:szCs w:val="21"/>
          <w:lang w:val="zh-CN"/>
        </w:rPr>
        <w:t>17</w:t>
      </w:r>
      <w:r>
        <w:rPr>
          <w:rFonts w:hint="eastAsia" w:ascii="宋体" w:hAnsi="宋体" w:cs="宋体"/>
          <w:kern w:val="0"/>
          <w:sz w:val="21"/>
          <w:szCs w:val="21"/>
          <w:lang w:val="zh-CN"/>
        </w:rPr>
        <w:t>日，经公司第三届董事会第二十五次会议审议通过，公司与劳雷海洋系统有限公司、</w:t>
      </w:r>
      <w:r>
        <w:rPr>
          <w:rFonts w:ascii="宋体" w:hAnsi="宋体" w:cs="宋体"/>
          <w:kern w:val="0"/>
          <w:sz w:val="21"/>
          <w:szCs w:val="21"/>
          <w:lang w:val="zh-CN"/>
        </w:rPr>
        <w:t>Summerview Company Limited</w:t>
      </w:r>
      <w:r>
        <w:rPr>
          <w:rFonts w:hint="eastAsia" w:ascii="宋体" w:hAnsi="宋体" w:cs="宋体"/>
          <w:kern w:val="0"/>
          <w:sz w:val="21"/>
          <w:szCs w:val="21"/>
          <w:lang w:val="zh-CN"/>
        </w:rPr>
        <w:t>（以下劳雷海洋系统有限公司、</w:t>
      </w:r>
      <w:r>
        <w:rPr>
          <w:rFonts w:ascii="宋体" w:hAnsi="宋体" w:cs="宋体"/>
          <w:kern w:val="0"/>
          <w:sz w:val="21"/>
          <w:szCs w:val="21"/>
          <w:lang w:val="zh-CN"/>
        </w:rPr>
        <w:t>Summerview Company Limited</w:t>
      </w:r>
      <w:r>
        <w:rPr>
          <w:rFonts w:hint="eastAsia" w:ascii="宋体" w:hAnsi="宋体" w:cs="宋体"/>
          <w:kern w:val="0"/>
          <w:sz w:val="21"/>
          <w:szCs w:val="21"/>
          <w:lang w:val="zh-CN"/>
        </w:rPr>
        <w:t>合称为</w:t>
      </w:r>
      <w:r>
        <w:rPr>
          <w:rFonts w:hint="eastAsia" w:ascii="宋体" w:cs="宋体"/>
          <w:kern w:val="0"/>
          <w:sz w:val="21"/>
          <w:szCs w:val="21"/>
          <w:lang w:val="zh-CN"/>
        </w:rPr>
        <w:t>“</w:t>
      </w:r>
      <w:r>
        <w:rPr>
          <w:rFonts w:hint="eastAsia" w:ascii="宋体" w:hAnsi="宋体" w:cs="宋体"/>
          <w:kern w:val="0"/>
          <w:sz w:val="21"/>
          <w:szCs w:val="21"/>
          <w:lang w:val="zh-CN"/>
        </w:rPr>
        <w:t>劳雷产业</w:t>
      </w:r>
      <w:r>
        <w:rPr>
          <w:rFonts w:hint="eastAsia" w:ascii="宋体" w:cs="宋体"/>
          <w:kern w:val="0"/>
          <w:sz w:val="21"/>
          <w:szCs w:val="21"/>
          <w:lang w:val="zh-CN"/>
        </w:rPr>
        <w:t>”</w:t>
      </w:r>
      <w:r>
        <w:rPr>
          <w:rFonts w:hint="eastAsia" w:ascii="宋体" w:hAnsi="宋体" w:cs="宋体"/>
          <w:kern w:val="0"/>
          <w:sz w:val="21"/>
          <w:szCs w:val="21"/>
          <w:lang w:val="zh-CN"/>
        </w:rPr>
        <w:t>）的股东等相关方（以下简称</w:t>
      </w:r>
      <w:r>
        <w:rPr>
          <w:rFonts w:hint="eastAsia" w:ascii="宋体" w:cs="宋体"/>
          <w:kern w:val="0"/>
          <w:sz w:val="21"/>
          <w:szCs w:val="21"/>
          <w:lang w:val="zh-CN"/>
        </w:rPr>
        <w:t>“</w:t>
      </w:r>
      <w:r>
        <w:rPr>
          <w:rFonts w:hint="eastAsia" w:ascii="宋体" w:hAnsi="宋体" w:cs="宋体"/>
          <w:kern w:val="0"/>
          <w:sz w:val="21"/>
          <w:szCs w:val="21"/>
          <w:lang w:val="zh-CN"/>
        </w:rPr>
        <w:t>交易对方</w:t>
      </w:r>
      <w:r>
        <w:rPr>
          <w:rFonts w:hint="eastAsia" w:ascii="宋体" w:cs="宋体"/>
          <w:kern w:val="0"/>
          <w:sz w:val="21"/>
          <w:szCs w:val="21"/>
          <w:lang w:val="zh-CN"/>
        </w:rPr>
        <w:t>”</w:t>
      </w:r>
      <w:r>
        <w:rPr>
          <w:rFonts w:hint="eastAsia" w:ascii="宋体" w:hAnsi="宋体" w:cs="宋体"/>
          <w:kern w:val="0"/>
          <w:sz w:val="21"/>
          <w:szCs w:val="21"/>
          <w:lang w:val="zh-CN"/>
        </w:rPr>
        <w:t>）签署了《框架协议》。</w:t>
      </w:r>
    </w:p>
    <w:p>
      <w:pPr>
        <w:autoSpaceDE w:val="0"/>
        <w:autoSpaceDN w:val="0"/>
        <w:adjustRightInd w:val="0"/>
        <w:spacing w:before="240" w:after="240" w:line="360" w:lineRule="auto"/>
        <w:ind w:firstLine="440"/>
        <w:jc w:val="left"/>
        <w:rPr>
          <w:rFonts w:ascii="宋体" w:cs="宋体"/>
          <w:kern w:val="0"/>
          <w:sz w:val="21"/>
          <w:szCs w:val="21"/>
          <w:lang w:val="zh-CN"/>
        </w:rPr>
      </w:pPr>
      <w:r>
        <w:rPr>
          <w:rFonts w:ascii="宋体" w:hAnsi="宋体" w:cs="宋体"/>
          <w:kern w:val="0"/>
          <w:sz w:val="21"/>
          <w:szCs w:val="21"/>
          <w:lang w:val="zh-CN"/>
        </w:rPr>
        <w:t xml:space="preserve"> </w:t>
      </w:r>
      <w:r>
        <w:rPr>
          <w:rFonts w:hint="eastAsia" w:ascii="宋体" w:hAnsi="宋体" w:cs="宋体"/>
          <w:kern w:val="0"/>
          <w:sz w:val="21"/>
          <w:szCs w:val="21"/>
          <w:lang w:val="zh-CN"/>
        </w:rPr>
        <w:t>本次交易方式初步确定为：（</w:t>
      </w:r>
      <w:r>
        <w:rPr>
          <w:rFonts w:ascii="宋体" w:hAnsi="宋体" w:cs="宋体"/>
          <w:kern w:val="0"/>
          <w:sz w:val="21"/>
          <w:szCs w:val="21"/>
          <w:lang w:val="zh-CN"/>
        </w:rPr>
        <w:t>1</w:t>
      </w:r>
      <w:r>
        <w:rPr>
          <w:rFonts w:hint="eastAsia" w:ascii="宋体" w:hAnsi="宋体" w:cs="宋体"/>
          <w:kern w:val="0"/>
          <w:sz w:val="21"/>
          <w:szCs w:val="21"/>
          <w:lang w:val="zh-CN"/>
        </w:rPr>
        <w:t>）由第三方（以下简称</w:t>
      </w:r>
      <w:r>
        <w:rPr>
          <w:rFonts w:hint="eastAsia" w:ascii="宋体" w:cs="宋体"/>
          <w:kern w:val="0"/>
          <w:sz w:val="21"/>
          <w:szCs w:val="21"/>
          <w:lang w:val="zh-CN"/>
        </w:rPr>
        <w:t>“</w:t>
      </w:r>
      <w:r>
        <w:rPr>
          <w:rFonts w:hint="eastAsia" w:ascii="宋体" w:hAnsi="宋体" w:cs="宋体"/>
          <w:kern w:val="0"/>
          <w:sz w:val="21"/>
          <w:szCs w:val="21"/>
          <w:lang w:val="zh-CN"/>
        </w:rPr>
        <w:t>增资方</w:t>
      </w:r>
      <w:r>
        <w:rPr>
          <w:rFonts w:hint="eastAsia" w:ascii="宋体" w:cs="宋体"/>
          <w:kern w:val="0"/>
          <w:sz w:val="21"/>
          <w:szCs w:val="21"/>
          <w:lang w:val="zh-CN"/>
        </w:rPr>
        <w:t>”</w:t>
      </w:r>
      <w:r>
        <w:rPr>
          <w:rFonts w:hint="eastAsia" w:ascii="宋体" w:hAnsi="宋体" w:cs="宋体"/>
          <w:kern w:val="0"/>
          <w:sz w:val="21"/>
          <w:szCs w:val="21"/>
          <w:lang w:val="zh-CN"/>
        </w:rPr>
        <w:t>）对上海海兰劳雷海洋科技有限公司进行增资；（</w:t>
      </w:r>
      <w:r>
        <w:rPr>
          <w:rFonts w:ascii="宋体" w:hAnsi="宋体" w:cs="宋体"/>
          <w:kern w:val="0"/>
          <w:sz w:val="21"/>
          <w:szCs w:val="21"/>
          <w:lang w:val="zh-CN"/>
        </w:rPr>
        <w:t>2</w:t>
      </w:r>
      <w:r>
        <w:rPr>
          <w:rFonts w:hint="eastAsia" w:ascii="宋体" w:hAnsi="宋体" w:cs="宋体"/>
          <w:kern w:val="0"/>
          <w:sz w:val="21"/>
          <w:szCs w:val="21"/>
          <w:lang w:val="zh-CN"/>
        </w:rPr>
        <w:t>）增资到位后，由上海海兰劳雷海洋科技有限公司收购劳雷产业</w:t>
      </w:r>
      <w:r>
        <w:rPr>
          <w:rFonts w:ascii="宋体" w:hAnsi="宋体" w:cs="宋体"/>
          <w:kern w:val="0"/>
          <w:sz w:val="21"/>
          <w:szCs w:val="21"/>
          <w:lang w:val="zh-CN"/>
        </w:rPr>
        <w:t>45%</w:t>
      </w:r>
      <w:r>
        <w:rPr>
          <w:rFonts w:hint="eastAsia" w:ascii="宋体" w:hAnsi="宋体" w:cs="宋体"/>
          <w:kern w:val="0"/>
          <w:sz w:val="21"/>
          <w:szCs w:val="21"/>
          <w:lang w:val="zh-CN"/>
        </w:rPr>
        <w:t>股权；（</w:t>
      </w:r>
      <w:r>
        <w:rPr>
          <w:rFonts w:ascii="宋体" w:hAnsi="宋体" w:cs="宋体"/>
          <w:kern w:val="0"/>
          <w:sz w:val="21"/>
          <w:szCs w:val="21"/>
          <w:lang w:val="zh-CN"/>
        </w:rPr>
        <w:t>3</w:t>
      </w:r>
      <w:r>
        <w:rPr>
          <w:rFonts w:hint="eastAsia" w:ascii="宋体" w:hAnsi="宋体" w:cs="宋体"/>
          <w:kern w:val="0"/>
          <w:sz w:val="21"/>
          <w:szCs w:val="21"/>
          <w:lang w:val="zh-CN"/>
        </w:rPr>
        <w:t>）公司以发行股份和</w:t>
      </w:r>
      <w:r>
        <w:rPr>
          <w:rFonts w:ascii="宋体" w:hAnsi="宋体" w:cs="宋体"/>
          <w:kern w:val="0"/>
          <w:sz w:val="21"/>
          <w:szCs w:val="21"/>
          <w:lang w:val="zh-CN"/>
        </w:rPr>
        <w:t>/</w:t>
      </w:r>
      <w:r>
        <w:rPr>
          <w:rFonts w:hint="eastAsia" w:ascii="宋体" w:hAnsi="宋体" w:cs="宋体"/>
          <w:kern w:val="0"/>
          <w:sz w:val="21"/>
          <w:szCs w:val="21"/>
          <w:lang w:val="zh-CN"/>
        </w:rPr>
        <w:t>或支付现金的方式收购增资方所持的上海海兰劳雷海洋科技有限公司全部股权。</w:t>
      </w:r>
    </w:p>
    <w:p>
      <w:pPr>
        <w:pStyle w:val="10"/>
        <w:outlineLvl w:val="1"/>
        <w:rPr>
          <w:bCs w:val="0"/>
        </w:rPr>
      </w:pPr>
      <w:r>
        <w:rPr>
          <w:rFonts w:hint="eastAsia"/>
          <w:bCs w:val="0"/>
        </w:rPr>
        <w:t>十四、母公司财务报表主要项目注释</w:t>
      </w:r>
    </w:p>
    <w:p>
      <w:pPr>
        <w:pStyle w:val="11"/>
        <w:outlineLvl w:val="2"/>
        <w:rPr>
          <w:bCs w:val="0"/>
          <w:szCs w:val="24"/>
        </w:rPr>
      </w:pPr>
      <w:r>
        <w:rPr>
          <w:bCs w:val="0"/>
          <w:szCs w:val="24"/>
        </w:rPr>
        <w:t>1</w:t>
      </w:r>
      <w:r>
        <w:rPr>
          <w:rFonts w:hint="eastAsia"/>
          <w:bCs w:val="0"/>
          <w:szCs w:val="24"/>
        </w:rPr>
        <w:t>、应收账款</w:t>
      </w:r>
    </w:p>
    <w:p>
      <w:pPr>
        <w:pStyle w:val="11"/>
        <w:outlineLvl w:val="3"/>
        <w:rPr>
          <w:bCs w:val="0"/>
          <w:szCs w:val="24"/>
        </w:rPr>
      </w:pPr>
      <w:r>
        <w:rPr>
          <w:rFonts w:hint="eastAsia"/>
          <w:bCs w:val="0"/>
          <w:szCs w:val="24"/>
        </w:rPr>
        <w:t>（</w:t>
      </w:r>
      <w:r>
        <w:rPr>
          <w:bCs w:val="0"/>
          <w:szCs w:val="24"/>
        </w:rPr>
        <w:t>1</w:t>
      </w:r>
      <w:r>
        <w:rPr>
          <w:rFonts w:hint="eastAsia"/>
          <w:bCs w:val="0"/>
          <w:szCs w:val="24"/>
        </w:rPr>
        <w:t>）应收账款分类披露</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694" w:type="dxa"/>
        <w:tblInd w:w="0" w:type="dxa"/>
        <w:tblLayout w:type="fixed"/>
        <w:tblCellMar>
          <w:top w:w="0" w:type="dxa"/>
          <w:left w:w="28" w:type="dxa"/>
          <w:bottom w:w="0" w:type="dxa"/>
          <w:right w:w="28" w:type="dxa"/>
        </w:tblCellMar>
      </w:tblPr>
      <w:tblGrid>
        <w:gridCol w:w="1156"/>
        <w:gridCol w:w="1056"/>
        <w:gridCol w:w="550"/>
        <w:gridCol w:w="976"/>
        <w:gridCol w:w="630"/>
        <w:gridCol w:w="1056"/>
        <w:gridCol w:w="1057"/>
        <w:gridCol w:w="551"/>
        <w:gridCol w:w="976"/>
        <w:gridCol w:w="630"/>
        <w:gridCol w:w="1056"/>
      </w:tblGrid>
      <w:tr>
        <w:tblPrEx>
          <w:tblLayout w:type="fixed"/>
          <w:tblCellMar>
            <w:top w:w="0" w:type="dxa"/>
            <w:left w:w="28" w:type="dxa"/>
            <w:bottom w:w="0" w:type="dxa"/>
            <w:right w:w="28" w:type="dxa"/>
          </w:tblCellMar>
        </w:tblPrEx>
        <w:tc>
          <w:tcPr>
            <w:tcW w:w="1156"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类别</w:t>
            </w:r>
          </w:p>
        </w:tc>
        <w:tc>
          <w:tcPr>
            <w:tcW w:w="4268" w:type="dxa"/>
            <w:gridSpan w:val="5"/>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c>
          <w:tcPr>
            <w:tcW w:w="4270" w:type="dxa"/>
            <w:gridSpan w:val="5"/>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期初余额</w:t>
            </w:r>
          </w:p>
        </w:tc>
      </w:tr>
      <w:tr>
        <w:tblPrEx>
          <w:tblLayout w:type="fixed"/>
          <w:tblCellMar>
            <w:top w:w="0" w:type="dxa"/>
            <w:left w:w="28" w:type="dxa"/>
            <w:bottom w:w="0" w:type="dxa"/>
            <w:right w:w="28" w:type="dxa"/>
          </w:tblCellMar>
        </w:tblPrEx>
        <w:tc>
          <w:tcPr>
            <w:tcW w:w="1156"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606"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账面余额</w:t>
            </w:r>
          </w:p>
        </w:tc>
        <w:tc>
          <w:tcPr>
            <w:tcW w:w="1606"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坏账准备</w:t>
            </w:r>
          </w:p>
        </w:tc>
        <w:tc>
          <w:tcPr>
            <w:tcW w:w="1056"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账面价值</w:t>
            </w:r>
          </w:p>
        </w:tc>
        <w:tc>
          <w:tcPr>
            <w:tcW w:w="1608"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账面余额</w:t>
            </w:r>
          </w:p>
        </w:tc>
        <w:tc>
          <w:tcPr>
            <w:tcW w:w="1606"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坏账准备</w:t>
            </w:r>
          </w:p>
        </w:tc>
        <w:tc>
          <w:tcPr>
            <w:tcW w:w="1056"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账面价值</w:t>
            </w:r>
          </w:p>
        </w:tc>
      </w:tr>
      <w:tr>
        <w:tblPrEx>
          <w:tblLayout w:type="fixed"/>
          <w:tblCellMar>
            <w:top w:w="0" w:type="dxa"/>
            <w:left w:w="28" w:type="dxa"/>
            <w:bottom w:w="0" w:type="dxa"/>
            <w:right w:w="28" w:type="dxa"/>
          </w:tblCellMar>
        </w:tblPrEx>
        <w:tc>
          <w:tcPr>
            <w:tcW w:w="1156"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05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金额</w:t>
            </w:r>
          </w:p>
        </w:tc>
        <w:tc>
          <w:tcPr>
            <w:tcW w:w="55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比例</w:t>
            </w:r>
          </w:p>
        </w:tc>
        <w:tc>
          <w:tcPr>
            <w:tcW w:w="97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金额</w:t>
            </w:r>
          </w:p>
        </w:tc>
        <w:tc>
          <w:tcPr>
            <w:tcW w:w="63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计提比例</w:t>
            </w:r>
          </w:p>
        </w:tc>
        <w:tc>
          <w:tcPr>
            <w:tcW w:w="1056"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05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金额</w:t>
            </w:r>
          </w:p>
        </w:tc>
        <w:tc>
          <w:tcPr>
            <w:tcW w:w="55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比例</w:t>
            </w:r>
          </w:p>
        </w:tc>
        <w:tc>
          <w:tcPr>
            <w:tcW w:w="97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金额</w:t>
            </w:r>
          </w:p>
        </w:tc>
        <w:tc>
          <w:tcPr>
            <w:tcW w:w="63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计提比例</w:t>
            </w:r>
          </w:p>
        </w:tc>
        <w:tc>
          <w:tcPr>
            <w:tcW w:w="1056"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r>
      <w:tr>
        <w:tblPrEx>
          <w:tblLayout w:type="fixed"/>
          <w:tblCellMar>
            <w:top w:w="0" w:type="dxa"/>
            <w:left w:w="28" w:type="dxa"/>
            <w:bottom w:w="0" w:type="dxa"/>
            <w:right w:w="28" w:type="dxa"/>
          </w:tblCellMar>
        </w:tblPrEx>
        <w:tc>
          <w:tcPr>
            <w:tcW w:w="115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16"/>
                <w:szCs w:val="16"/>
              </w:rPr>
            </w:pPr>
            <w:r>
              <w:rPr>
                <w:rFonts w:hint="eastAsia"/>
                <w:sz w:val="16"/>
                <w:szCs w:val="16"/>
              </w:rPr>
              <w:t>按信用风险特征组合计提坏账准备的应收账款</w:t>
            </w:r>
          </w:p>
        </w:tc>
        <w:tc>
          <w:tcPr>
            <w:tcW w:w="105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174,660,015.22</w:t>
            </w:r>
          </w:p>
        </w:tc>
        <w:tc>
          <w:tcPr>
            <w:tcW w:w="55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99.94%</w:t>
            </w:r>
          </w:p>
        </w:tc>
        <w:tc>
          <w:tcPr>
            <w:tcW w:w="9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18,312,958.01</w:t>
            </w:r>
          </w:p>
        </w:tc>
        <w:tc>
          <w:tcPr>
            <w:tcW w:w="63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10.48%</w:t>
            </w:r>
          </w:p>
        </w:tc>
        <w:tc>
          <w:tcPr>
            <w:tcW w:w="105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156,347,057.21</w:t>
            </w:r>
          </w:p>
        </w:tc>
        <w:tc>
          <w:tcPr>
            <w:tcW w:w="105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184,051,491.42</w:t>
            </w:r>
          </w:p>
        </w:tc>
        <w:tc>
          <w:tcPr>
            <w:tcW w:w="55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99.95%</w:t>
            </w:r>
          </w:p>
        </w:tc>
        <w:tc>
          <w:tcPr>
            <w:tcW w:w="9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16,749,482.89</w:t>
            </w:r>
          </w:p>
        </w:tc>
        <w:tc>
          <w:tcPr>
            <w:tcW w:w="63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9.10%</w:t>
            </w:r>
          </w:p>
        </w:tc>
        <w:tc>
          <w:tcPr>
            <w:tcW w:w="105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167,302,008.53</w:t>
            </w:r>
          </w:p>
        </w:tc>
      </w:tr>
      <w:tr>
        <w:tblPrEx>
          <w:tblLayout w:type="fixed"/>
          <w:tblCellMar>
            <w:top w:w="0" w:type="dxa"/>
            <w:left w:w="28" w:type="dxa"/>
            <w:bottom w:w="0" w:type="dxa"/>
            <w:right w:w="28" w:type="dxa"/>
          </w:tblCellMar>
        </w:tblPrEx>
        <w:tc>
          <w:tcPr>
            <w:tcW w:w="115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16"/>
                <w:szCs w:val="16"/>
              </w:rPr>
            </w:pPr>
            <w:r>
              <w:rPr>
                <w:rFonts w:hint="eastAsia"/>
                <w:sz w:val="16"/>
                <w:szCs w:val="16"/>
              </w:rPr>
              <w:t>单项金额不重大但单独计提坏账准备的应收账款</w:t>
            </w:r>
          </w:p>
        </w:tc>
        <w:tc>
          <w:tcPr>
            <w:tcW w:w="105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101,098.00</w:t>
            </w:r>
          </w:p>
        </w:tc>
        <w:tc>
          <w:tcPr>
            <w:tcW w:w="55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0.06%</w:t>
            </w:r>
          </w:p>
        </w:tc>
        <w:tc>
          <w:tcPr>
            <w:tcW w:w="9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101,098.00</w:t>
            </w:r>
          </w:p>
        </w:tc>
        <w:tc>
          <w:tcPr>
            <w:tcW w:w="63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100.00%</w:t>
            </w:r>
          </w:p>
        </w:tc>
        <w:tc>
          <w:tcPr>
            <w:tcW w:w="105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p>
        </w:tc>
        <w:tc>
          <w:tcPr>
            <w:tcW w:w="105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101,098.00</w:t>
            </w:r>
          </w:p>
        </w:tc>
        <w:tc>
          <w:tcPr>
            <w:tcW w:w="55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0.05%</w:t>
            </w:r>
          </w:p>
        </w:tc>
        <w:tc>
          <w:tcPr>
            <w:tcW w:w="9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101,098.00</w:t>
            </w:r>
          </w:p>
        </w:tc>
        <w:tc>
          <w:tcPr>
            <w:tcW w:w="63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100.00%</w:t>
            </w:r>
          </w:p>
        </w:tc>
        <w:tc>
          <w:tcPr>
            <w:tcW w:w="105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p>
        </w:tc>
      </w:tr>
      <w:tr>
        <w:tblPrEx>
          <w:tblLayout w:type="fixed"/>
          <w:tblCellMar>
            <w:top w:w="0" w:type="dxa"/>
            <w:left w:w="28" w:type="dxa"/>
            <w:bottom w:w="0" w:type="dxa"/>
            <w:right w:w="28" w:type="dxa"/>
          </w:tblCellMar>
        </w:tblPrEx>
        <w:tc>
          <w:tcPr>
            <w:tcW w:w="1156"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16"/>
                <w:szCs w:val="16"/>
              </w:rPr>
            </w:pPr>
            <w:r>
              <w:rPr>
                <w:rFonts w:hint="eastAsia"/>
                <w:sz w:val="16"/>
                <w:szCs w:val="16"/>
              </w:rPr>
              <w:t>合计</w:t>
            </w:r>
          </w:p>
        </w:tc>
        <w:tc>
          <w:tcPr>
            <w:tcW w:w="105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174,761,113.22</w:t>
            </w:r>
          </w:p>
        </w:tc>
        <w:tc>
          <w:tcPr>
            <w:tcW w:w="55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p>
        </w:tc>
        <w:tc>
          <w:tcPr>
            <w:tcW w:w="9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18,414,056.01</w:t>
            </w:r>
          </w:p>
        </w:tc>
        <w:tc>
          <w:tcPr>
            <w:tcW w:w="63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p>
        </w:tc>
        <w:tc>
          <w:tcPr>
            <w:tcW w:w="1056" w:type="dxa"/>
            <w:tcBorders>
              <w:top w:val="single" w:color="auto" w:sz="4" w:space="0"/>
              <w:left w:val="single" w:color="auto" w:sz="4" w:space="0"/>
              <w:bottom w:val="single" w:color="auto" w:sz="4" w:space="0"/>
              <w:right w:val="single" w:color="auto" w:sz="4" w:space="0"/>
            </w:tcBorders>
            <w:vAlign w:val="center"/>
          </w:tcPr>
          <w:p>
            <w:pPr>
              <w:jc w:val="right"/>
              <w:rPr>
                <w:sz w:val="16"/>
                <w:szCs w:val="16"/>
              </w:rPr>
            </w:pPr>
            <w:r>
              <w:rPr>
                <w:sz w:val="16"/>
                <w:szCs w:val="16"/>
              </w:rPr>
              <w:t>156,347,057.21</w:t>
            </w:r>
          </w:p>
        </w:tc>
        <w:tc>
          <w:tcPr>
            <w:tcW w:w="105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184,152,589.42</w:t>
            </w:r>
          </w:p>
        </w:tc>
        <w:tc>
          <w:tcPr>
            <w:tcW w:w="55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p>
        </w:tc>
        <w:tc>
          <w:tcPr>
            <w:tcW w:w="9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16,850,580.89</w:t>
            </w:r>
          </w:p>
        </w:tc>
        <w:tc>
          <w:tcPr>
            <w:tcW w:w="63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p>
        </w:tc>
        <w:tc>
          <w:tcPr>
            <w:tcW w:w="1056" w:type="dxa"/>
            <w:tcBorders>
              <w:top w:val="single" w:color="auto" w:sz="4" w:space="0"/>
              <w:left w:val="single" w:color="auto" w:sz="4" w:space="0"/>
              <w:bottom w:val="single" w:color="auto" w:sz="4" w:space="0"/>
              <w:right w:val="single" w:color="auto" w:sz="4" w:space="0"/>
            </w:tcBorders>
            <w:vAlign w:val="center"/>
          </w:tcPr>
          <w:p>
            <w:pPr>
              <w:jc w:val="right"/>
              <w:rPr>
                <w:sz w:val="16"/>
                <w:szCs w:val="16"/>
              </w:rPr>
            </w:pPr>
            <w:r>
              <w:rPr>
                <w:sz w:val="16"/>
                <w:szCs w:val="16"/>
              </w:rPr>
              <w:t>167,302,008.53</w:t>
            </w:r>
          </w:p>
        </w:tc>
      </w:tr>
    </w:tbl>
    <w:p>
      <w:pPr>
        <w:jc w:val="left"/>
        <w:rPr>
          <w:sz w:val="21"/>
          <w:szCs w:val="21"/>
        </w:rPr>
      </w:pPr>
      <w:r>
        <w:rPr>
          <w:rFonts w:hint="eastAsia"/>
          <w:sz w:val="21"/>
          <w:szCs w:val="21"/>
        </w:rPr>
        <w:t>期末单项金额重大并单项计提坏账准备的应收账款：</w:t>
      </w:r>
    </w:p>
    <w:p>
      <w:pPr>
        <w:jc w:val="left"/>
        <w:rPr>
          <w:sz w:val="21"/>
          <w:szCs w:val="21"/>
        </w:rPr>
      </w:pPr>
      <w:r>
        <w:rPr>
          <w:sz w:val="21"/>
          <w:szCs w:val="21"/>
        </w:rPr>
        <w:t xml:space="preserve">□ </w:t>
      </w:r>
      <w:r>
        <w:rPr>
          <w:rFonts w:hint="eastAsia"/>
          <w:sz w:val="21"/>
          <w:szCs w:val="21"/>
        </w:rPr>
        <w:t>适用</w:t>
      </w:r>
      <w:r>
        <w:rPr>
          <w:sz w:val="21"/>
          <w:szCs w:val="21"/>
        </w:rPr>
        <w:t xml:space="preserve"> √ </w:t>
      </w:r>
      <w:r>
        <w:rPr>
          <w:rFonts w:hint="eastAsia"/>
          <w:sz w:val="21"/>
          <w:szCs w:val="21"/>
        </w:rPr>
        <w:t>不适用</w:t>
      </w:r>
      <w:r>
        <w:rPr>
          <w:sz w:val="21"/>
          <w:szCs w:val="21"/>
        </w:rPr>
        <w:t xml:space="preserve"> </w:t>
      </w:r>
    </w:p>
    <w:p>
      <w:pPr>
        <w:jc w:val="left"/>
        <w:rPr>
          <w:sz w:val="21"/>
          <w:szCs w:val="21"/>
        </w:rPr>
      </w:pPr>
      <w:r>
        <w:rPr>
          <w:rFonts w:hint="eastAsia"/>
          <w:sz w:val="21"/>
          <w:szCs w:val="21"/>
        </w:rPr>
        <w:t>组合中，按账龄分析法计提坏账准备的应收账款：</w:t>
      </w:r>
    </w:p>
    <w:p>
      <w:pPr>
        <w:jc w:val="left"/>
        <w:rPr>
          <w:sz w:val="21"/>
          <w:szCs w:val="21"/>
        </w:rPr>
      </w:pPr>
      <w:r>
        <w:rPr>
          <w:sz w:val="21"/>
          <w:szCs w:val="21"/>
        </w:rPr>
        <w:t xml:space="preserve">√ </w:t>
      </w:r>
      <w:r>
        <w:rPr>
          <w:rFonts w:hint="eastAsia"/>
          <w:sz w:val="21"/>
          <w:szCs w:val="21"/>
        </w:rPr>
        <w:t>适用</w:t>
      </w:r>
      <w:r>
        <w:rPr>
          <w:sz w:val="21"/>
          <w:szCs w:val="21"/>
        </w:rPr>
        <w:t xml:space="preserve"> □ </w:t>
      </w:r>
      <w:r>
        <w:rPr>
          <w:rFonts w:hint="eastAsia"/>
          <w:sz w:val="21"/>
          <w:szCs w:val="21"/>
        </w:rPr>
        <w:t>不适用</w:t>
      </w:r>
      <w:r>
        <w:rPr>
          <w:sz w:val="21"/>
          <w:szCs w:val="21"/>
        </w:rPr>
        <w:t xml:space="preserve"> </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568" w:type="dxa"/>
        <w:tblInd w:w="28" w:type="dxa"/>
        <w:tblLayout w:type="fixed"/>
        <w:tblCellMar>
          <w:top w:w="0" w:type="dxa"/>
          <w:left w:w="28" w:type="dxa"/>
          <w:bottom w:w="0" w:type="dxa"/>
          <w:right w:w="28" w:type="dxa"/>
        </w:tblCellMar>
      </w:tblPr>
      <w:tblGrid>
        <w:gridCol w:w="2493"/>
        <w:gridCol w:w="2295"/>
        <w:gridCol w:w="2390"/>
        <w:gridCol w:w="2390"/>
      </w:tblGrid>
      <w:tr>
        <w:tblPrEx>
          <w:tblLayout w:type="fixed"/>
          <w:tblCellMar>
            <w:top w:w="0" w:type="dxa"/>
            <w:left w:w="28" w:type="dxa"/>
            <w:bottom w:w="0" w:type="dxa"/>
            <w:right w:w="28" w:type="dxa"/>
          </w:tblCellMar>
        </w:tblPrEx>
        <w:tc>
          <w:tcPr>
            <w:tcW w:w="2493"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账龄</w:t>
            </w:r>
          </w:p>
        </w:tc>
        <w:tc>
          <w:tcPr>
            <w:tcW w:w="7075" w:type="dxa"/>
            <w:gridSpan w:val="3"/>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r>
      <w:tr>
        <w:tblPrEx>
          <w:tblLayout w:type="fixed"/>
          <w:tblCellMar>
            <w:top w:w="0" w:type="dxa"/>
            <w:left w:w="28" w:type="dxa"/>
            <w:bottom w:w="0" w:type="dxa"/>
            <w:right w:w="28" w:type="dxa"/>
          </w:tblCellMar>
        </w:tblPrEx>
        <w:tc>
          <w:tcPr>
            <w:tcW w:w="2493"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229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应收账款</w:t>
            </w:r>
          </w:p>
        </w:tc>
        <w:tc>
          <w:tcPr>
            <w:tcW w:w="239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坏账准备</w:t>
            </w:r>
          </w:p>
        </w:tc>
        <w:tc>
          <w:tcPr>
            <w:tcW w:w="239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计提比例</w:t>
            </w:r>
          </w:p>
        </w:tc>
      </w:tr>
      <w:tr>
        <w:tblPrEx>
          <w:tblLayout w:type="fixed"/>
          <w:tblCellMar>
            <w:top w:w="0" w:type="dxa"/>
            <w:left w:w="28" w:type="dxa"/>
            <w:bottom w:w="0" w:type="dxa"/>
            <w:right w:w="28" w:type="dxa"/>
          </w:tblCellMar>
        </w:tblPrEx>
        <w:tc>
          <w:tcPr>
            <w:tcW w:w="9568" w:type="dxa"/>
            <w:gridSpan w:val="4"/>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1</w:t>
            </w:r>
            <w:r>
              <w:rPr>
                <w:rFonts w:hint="eastAsia"/>
                <w:sz w:val="21"/>
                <w:szCs w:val="21"/>
              </w:rPr>
              <w:t>年以内分项</w:t>
            </w:r>
          </w:p>
        </w:tc>
      </w:tr>
      <w:tr>
        <w:tblPrEx>
          <w:tblLayout w:type="fixed"/>
          <w:tblCellMar>
            <w:top w:w="0" w:type="dxa"/>
            <w:left w:w="28" w:type="dxa"/>
            <w:bottom w:w="0" w:type="dxa"/>
            <w:right w:w="28" w:type="dxa"/>
          </w:tblCellMar>
        </w:tblPrEx>
        <w:tc>
          <w:tcPr>
            <w:tcW w:w="249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p>
        </w:tc>
        <w:tc>
          <w:tcPr>
            <w:tcW w:w="229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49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1</w:t>
            </w:r>
            <w:r>
              <w:rPr>
                <w:rFonts w:hint="eastAsia"/>
                <w:sz w:val="21"/>
                <w:szCs w:val="21"/>
              </w:rPr>
              <w:t>年以内小计</w:t>
            </w:r>
          </w:p>
        </w:tc>
        <w:tc>
          <w:tcPr>
            <w:tcW w:w="229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103,351,819.49</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5,167,590.97</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5.00%</w:t>
            </w:r>
          </w:p>
        </w:tc>
      </w:tr>
      <w:tr>
        <w:tblPrEx>
          <w:tblLayout w:type="fixed"/>
          <w:tblCellMar>
            <w:top w:w="0" w:type="dxa"/>
            <w:left w:w="28" w:type="dxa"/>
            <w:bottom w:w="0" w:type="dxa"/>
            <w:right w:w="28" w:type="dxa"/>
          </w:tblCellMar>
        </w:tblPrEx>
        <w:tc>
          <w:tcPr>
            <w:tcW w:w="249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1</w:t>
            </w:r>
            <w:r>
              <w:rPr>
                <w:rFonts w:hint="eastAsia"/>
                <w:sz w:val="21"/>
                <w:szCs w:val="21"/>
              </w:rPr>
              <w:t>至</w:t>
            </w:r>
            <w:r>
              <w:rPr>
                <w:sz w:val="21"/>
                <w:szCs w:val="21"/>
              </w:rPr>
              <w:t>2</w:t>
            </w:r>
            <w:r>
              <w:rPr>
                <w:rFonts w:hint="eastAsia"/>
                <w:sz w:val="21"/>
                <w:szCs w:val="21"/>
              </w:rPr>
              <w:t>年</w:t>
            </w:r>
          </w:p>
        </w:tc>
        <w:tc>
          <w:tcPr>
            <w:tcW w:w="229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31,617,464.92</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3,161,746.49</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10.00%</w:t>
            </w:r>
          </w:p>
        </w:tc>
      </w:tr>
      <w:tr>
        <w:tblPrEx>
          <w:tblLayout w:type="fixed"/>
          <w:tblCellMar>
            <w:top w:w="0" w:type="dxa"/>
            <w:left w:w="28" w:type="dxa"/>
            <w:bottom w:w="0" w:type="dxa"/>
            <w:right w:w="28" w:type="dxa"/>
          </w:tblCellMar>
        </w:tblPrEx>
        <w:tc>
          <w:tcPr>
            <w:tcW w:w="249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2</w:t>
            </w:r>
            <w:r>
              <w:rPr>
                <w:rFonts w:hint="eastAsia"/>
                <w:sz w:val="21"/>
                <w:szCs w:val="21"/>
              </w:rPr>
              <w:t>至</w:t>
            </w:r>
            <w:r>
              <w:rPr>
                <w:sz w:val="21"/>
                <w:szCs w:val="21"/>
              </w:rPr>
              <w:t>3</w:t>
            </w:r>
            <w:r>
              <w:rPr>
                <w:rFonts w:hint="eastAsia"/>
                <w:sz w:val="21"/>
                <w:szCs w:val="21"/>
              </w:rPr>
              <w:t>年</w:t>
            </w:r>
          </w:p>
        </w:tc>
        <w:tc>
          <w:tcPr>
            <w:tcW w:w="229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13,020,661.84</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3,906,198.55</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30.00%</w:t>
            </w:r>
          </w:p>
        </w:tc>
      </w:tr>
      <w:tr>
        <w:tblPrEx>
          <w:tblLayout w:type="fixed"/>
          <w:tblCellMar>
            <w:top w:w="0" w:type="dxa"/>
            <w:left w:w="28" w:type="dxa"/>
            <w:bottom w:w="0" w:type="dxa"/>
            <w:right w:w="28" w:type="dxa"/>
          </w:tblCellMar>
        </w:tblPrEx>
        <w:tc>
          <w:tcPr>
            <w:tcW w:w="249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3</w:t>
            </w:r>
            <w:r>
              <w:rPr>
                <w:rFonts w:hint="eastAsia"/>
                <w:sz w:val="21"/>
                <w:szCs w:val="21"/>
              </w:rPr>
              <w:t>年以上</w:t>
            </w:r>
          </w:p>
        </w:tc>
        <w:tc>
          <w:tcPr>
            <w:tcW w:w="229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249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3</w:t>
            </w:r>
            <w:r>
              <w:rPr>
                <w:rFonts w:hint="eastAsia"/>
                <w:sz w:val="21"/>
                <w:szCs w:val="21"/>
              </w:rPr>
              <w:t>至</w:t>
            </w:r>
            <w:r>
              <w:rPr>
                <w:sz w:val="21"/>
                <w:szCs w:val="21"/>
              </w:rPr>
              <w:t>4</w:t>
            </w:r>
            <w:r>
              <w:rPr>
                <w:rFonts w:hint="eastAsia"/>
                <w:sz w:val="21"/>
                <w:szCs w:val="21"/>
              </w:rPr>
              <w:t>年</w:t>
            </w:r>
          </w:p>
        </w:tc>
        <w:tc>
          <w:tcPr>
            <w:tcW w:w="229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8,538,105.20</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4,269,052.60</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50.00%</w:t>
            </w:r>
          </w:p>
        </w:tc>
      </w:tr>
      <w:tr>
        <w:tblPrEx>
          <w:tblLayout w:type="fixed"/>
          <w:tblCellMar>
            <w:top w:w="0" w:type="dxa"/>
            <w:left w:w="28" w:type="dxa"/>
            <w:bottom w:w="0" w:type="dxa"/>
            <w:right w:w="28" w:type="dxa"/>
          </w:tblCellMar>
        </w:tblPrEx>
        <w:tc>
          <w:tcPr>
            <w:tcW w:w="249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4</w:t>
            </w:r>
            <w:r>
              <w:rPr>
                <w:rFonts w:hint="eastAsia"/>
                <w:sz w:val="21"/>
                <w:szCs w:val="21"/>
              </w:rPr>
              <w:t>至</w:t>
            </w:r>
            <w:r>
              <w:rPr>
                <w:sz w:val="21"/>
                <w:szCs w:val="21"/>
              </w:rPr>
              <w:t>5</w:t>
            </w:r>
            <w:r>
              <w:rPr>
                <w:rFonts w:hint="eastAsia"/>
                <w:sz w:val="21"/>
                <w:szCs w:val="21"/>
              </w:rPr>
              <w:t>年</w:t>
            </w:r>
          </w:p>
        </w:tc>
        <w:tc>
          <w:tcPr>
            <w:tcW w:w="229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349,920.00</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279,936.00</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80.00%</w:t>
            </w:r>
          </w:p>
        </w:tc>
      </w:tr>
      <w:tr>
        <w:tblPrEx>
          <w:tblLayout w:type="fixed"/>
          <w:tblCellMar>
            <w:top w:w="0" w:type="dxa"/>
            <w:left w:w="28" w:type="dxa"/>
            <w:bottom w:w="0" w:type="dxa"/>
            <w:right w:w="28" w:type="dxa"/>
          </w:tblCellMar>
        </w:tblPrEx>
        <w:tc>
          <w:tcPr>
            <w:tcW w:w="249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5</w:t>
            </w:r>
            <w:r>
              <w:rPr>
                <w:rFonts w:hint="eastAsia"/>
                <w:sz w:val="21"/>
                <w:szCs w:val="21"/>
              </w:rPr>
              <w:t>年以上</w:t>
            </w:r>
          </w:p>
        </w:tc>
        <w:tc>
          <w:tcPr>
            <w:tcW w:w="229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1,528,433.40</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1,528,433.40</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100.00%</w:t>
            </w:r>
          </w:p>
        </w:tc>
      </w:tr>
      <w:tr>
        <w:tblPrEx>
          <w:tblLayout w:type="fixed"/>
          <w:tblCellMar>
            <w:top w:w="0" w:type="dxa"/>
            <w:left w:w="28" w:type="dxa"/>
            <w:bottom w:w="0" w:type="dxa"/>
            <w:right w:w="28" w:type="dxa"/>
          </w:tblCellMar>
        </w:tblPrEx>
        <w:tc>
          <w:tcPr>
            <w:tcW w:w="249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229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158,406,404.85</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18,312,958.01</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bl>
    <w:p>
      <w:pPr>
        <w:jc w:val="left"/>
        <w:rPr>
          <w:sz w:val="21"/>
          <w:szCs w:val="21"/>
        </w:rPr>
      </w:pPr>
      <w:r>
        <w:rPr>
          <w:rFonts w:hint="eastAsia"/>
          <w:sz w:val="21"/>
          <w:szCs w:val="21"/>
        </w:rPr>
        <w:t>确定该组合依据的说明：</w:t>
      </w:r>
    </w:p>
    <w:p>
      <w:pPr>
        <w:autoSpaceDE w:val="0"/>
        <w:autoSpaceDN w:val="0"/>
        <w:adjustRightInd w:val="0"/>
        <w:spacing w:before="0" w:after="0"/>
        <w:jc w:val="left"/>
        <w:rPr>
          <w:rFonts w:eastAsia="Times New Roman"/>
          <w:kern w:val="0"/>
          <w:sz w:val="21"/>
          <w:szCs w:val="21"/>
          <w:lang w:val="zh-CN"/>
        </w:rPr>
      </w:pPr>
      <w:r>
        <w:rPr>
          <w:rFonts w:hint="eastAsia" w:ascii="宋体" w:hAnsi="宋体" w:cs="宋体"/>
          <w:kern w:val="0"/>
          <w:sz w:val="21"/>
          <w:szCs w:val="21"/>
          <w:lang w:val="zh-CN"/>
        </w:rPr>
        <w:t>以应收款项的账龄为信用风险特征划分组合</w:t>
      </w:r>
    </w:p>
    <w:p>
      <w:pPr>
        <w:jc w:val="left"/>
        <w:rPr>
          <w:sz w:val="21"/>
          <w:szCs w:val="21"/>
        </w:rPr>
      </w:pPr>
      <w:r>
        <w:rPr>
          <w:rFonts w:hint="eastAsia"/>
          <w:sz w:val="21"/>
          <w:szCs w:val="21"/>
        </w:rPr>
        <w:t>组合中，采用余额百分比法计提坏账准备的应收账款：</w:t>
      </w:r>
    </w:p>
    <w:p>
      <w:pPr>
        <w:jc w:val="left"/>
        <w:rPr>
          <w:sz w:val="21"/>
          <w:szCs w:val="21"/>
        </w:rPr>
      </w:pPr>
      <w:r>
        <w:rPr>
          <w:sz w:val="21"/>
          <w:szCs w:val="21"/>
        </w:rPr>
        <w:t xml:space="preserve">□ </w:t>
      </w:r>
      <w:r>
        <w:rPr>
          <w:rFonts w:hint="eastAsia"/>
          <w:sz w:val="21"/>
          <w:szCs w:val="21"/>
        </w:rPr>
        <w:t>适用</w:t>
      </w:r>
      <w:r>
        <w:rPr>
          <w:sz w:val="21"/>
          <w:szCs w:val="21"/>
        </w:rPr>
        <w:t xml:space="preserve"> √ </w:t>
      </w:r>
      <w:r>
        <w:rPr>
          <w:rFonts w:hint="eastAsia"/>
          <w:sz w:val="21"/>
          <w:szCs w:val="21"/>
        </w:rPr>
        <w:t>不适用</w:t>
      </w:r>
      <w:r>
        <w:rPr>
          <w:sz w:val="21"/>
          <w:szCs w:val="21"/>
        </w:rPr>
        <w:t xml:space="preserve"> </w:t>
      </w:r>
    </w:p>
    <w:p>
      <w:pPr>
        <w:jc w:val="left"/>
        <w:rPr>
          <w:sz w:val="21"/>
          <w:szCs w:val="21"/>
        </w:rPr>
      </w:pPr>
      <w:r>
        <w:rPr>
          <w:rFonts w:hint="eastAsia"/>
          <w:sz w:val="21"/>
          <w:szCs w:val="21"/>
        </w:rPr>
        <w:t>组合中，采用其他方法计提坏账准备的应收账款：</w:t>
      </w:r>
    </w:p>
    <w:tbl>
      <w:tblPr>
        <w:tblStyle w:val="8"/>
        <w:tblW w:w="9658" w:type="dxa"/>
        <w:tblInd w:w="0" w:type="dxa"/>
        <w:tblBorders>
          <w:top w:val="single" w:color="auto" w:sz="6" w:space="0"/>
          <w:left w:val="single" w:color="auto" w:sz="6" w:space="0"/>
          <w:bottom w:val="single" w:color="auto" w:sz="8" w:space="0"/>
          <w:right w:val="none" w:color="auto" w:sz="0" w:space="0"/>
          <w:insideH w:val="single" w:color="auto" w:sz="6" w:space="0"/>
          <w:insideV w:val="single" w:color="auto" w:sz="6" w:space="0"/>
        </w:tblBorders>
        <w:tblLayout w:type="fixed"/>
        <w:tblCellMar>
          <w:top w:w="10" w:type="dxa"/>
          <w:left w:w="10" w:type="dxa"/>
          <w:bottom w:w="10" w:type="dxa"/>
          <w:right w:w="10" w:type="dxa"/>
        </w:tblCellMar>
      </w:tblPr>
      <w:tblGrid>
        <w:gridCol w:w="2878"/>
        <w:gridCol w:w="3514"/>
        <w:gridCol w:w="3266"/>
      </w:tblGrid>
      <w:tr>
        <w:tblPrEx>
          <w:tblBorders>
            <w:top w:val="single" w:color="auto" w:sz="6" w:space="0"/>
            <w:left w:val="single" w:color="auto" w:sz="6" w:space="0"/>
            <w:bottom w:val="single" w:color="auto" w:sz="8" w:space="0"/>
            <w:right w:val="none" w:color="auto" w:sz="0" w:space="0"/>
            <w:insideH w:val="single" w:color="auto" w:sz="6" w:space="0"/>
            <w:insideV w:val="single" w:color="auto" w:sz="6" w:space="0"/>
          </w:tblBorders>
          <w:tblLayout w:type="fixed"/>
          <w:tblCellMar>
            <w:top w:w="10" w:type="dxa"/>
            <w:left w:w="10" w:type="dxa"/>
            <w:bottom w:w="10" w:type="dxa"/>
            <w:right w:w="10" w:type="dxa"/>
          </w:tblCellMar>
        </w:tblPrEx>
        <w:tc>
          <w:tcPr>
            <w:tcW w:w="2878" w:type="dxa"/>
            <w:tcBorders>
              <w:bottom w:val="single" w:color="auto" w:sz="8" w:space="0"/>
              <w:right w:val="nil"/>
            </w:tcBorders>
          </w:tcPr>
          <w:p>
            <w:pPr>
              <w:autoSpaceDE w:val="0"/>
              <w:autoSpaceDN w:val="0"/>
              <w:adjustRightInd w:val="0"/>
              <w:spacing w:before="0" w:after="0"/>
              <w:rPr>
                <w:rFonts w:eastAsia="Times New Roman"/>
                <w:b/>
                <w:kern w:val="0"/>
                <w:sz w:val="21"/>
                <w:szCs w:val="21"/>
                <w:lang w:val="zh-CN"/>
              </w:rPr>
            </w:pPr>
            <w:r>
              <w:rPr>
                <w:rFonts w:hint="eastAsia" w:ascii="宋体" w:hAnsi="宋体" w:cs="宋体"/>
                <w:b/>
                <w:kern w:val="0"/>
                <w:sz w:val="21"/>
                <w:szCs w:val="21"/>
                <w:lang w:val="zh-CN"/>
              </w:rPr>
              <w:t>组合名称</w:t>
            </w:r>
          </w:p>
        </w:tc>
        <w:tc>
          <w:tcPr>
            <w:tcW w:w="3514" w:type="dxa"/>
            <w:tcBorders>
              <w:bottom w:val="single" w:color="auto" w:sz="8" w:space="0"/>
              <w:right w:val="nil"/>
            </w:tcBorders>
          </w:tcPr>
          <w:p>
            <w:pPr>
              <w:autoSpaceDE w:val="0"/>
              <w:autoSpaceDN w:val="0"/>
              <w:adjustRightInd w:val="0"/>
              <w:spacing w:before="0" w:after="0"/>
              <w:jc w:val="center"/>
              <w:rPr>
                <w:rFonts w:eastAsia="Times New Roman"/>
                <w:b/>
                <w:kern w:val="0"/>
                <w:sz w:val="21"/>
                <w:szCs w:val="21"/>
                <w:lang w:val="zh-CN"/>
              </w:rPr>
            </w:pPr>
            <w:r>
              <w:rPr>
                <w:rFonts w:hint="eastAsia" w:ascii="宋体" w:hAnsi="宋体" w:cs="宋体"/>
                <w:b/>
                <w:kern w:val="0"/>
                <w:sz w:val="21"/>
                <w:szCs w:val="21"/>
                <w:lang w:val="zh-CN"/>
              </w:rPr>
              <w:t>账面余额</w:t>
            </w:r>
          </w:p>
        </w:tc>
        <w:tc>
          <w:tcPr>
            <w:tcW w:w="3266" w:type="dxa"/>
            <w:tcBorders>
              <w:bottom w:val="single" w:color="auto" w:sz="8" w:space="0"/>
              <w:right w:val="single" w:color="auto" w:sz="8" w:space="0"/>
            </w:tcBorders>
          </w:tcPr>
          <w:p>
            <w:pPr>
              <w:autoSpaceDE w:val="0"/>
              <w:autoSpaceDN w:val="0"/>
              <w:adjustRightInd w:val="0"/>
              <w:spacing w:before="0" w:after="0"/>
              <w:jc w:val="center"/>
              <w:rPr>
                <w:rFonts w:eastAsia="Times New Roman"/>
                <w:b/>
                <w:kern w:val="0"/>
                <w:sz w:val="21"/>
                <w:szCs w:val="21"/>
                <w:lang w:val="zh-CN"/>
              </w:rPr>
            </w:pPr>
            <w:r>
              <w:rPr>
                <w:rFonts w:hint="eastAsia" w:ascii="宋体" w:hAnsi="宋体" w:cs="宋体"/>
                <w:b/>
                <w:kern w:val="0"/>
                <w:sz w:val="21"/>
                <w:szCs w:val="21"/>
                <w:lang w:val="zh-CN"/>
              </w:rPr>
              <w:t>坏账金额</w:t>
            </w:r>
          </w:p>
        </w:tc>
      </w:tr>
      <w:tr>
        <w:tblPrEx>
          <w:tblBorders>
            <w:top w:val="single" w:color="auto" w:sz="6" w:space="0"/>
            <w:left w:val="single" w:color="auto" w:sz="6" w:space="0"/>
            <w:bottom w:val="single" w:color="auto" w:sz="8" w:space="0"/>
            <w:right w:val="none" w:color="auto" w:sz="0" w:space="0"/>
            <w:insideH w:val="single" w:color="auto" w:sz="6" w:space="0"/>
            <w:insideV w:val="single" w:color="auto" w:sz="6" w:space="0"/>
          </w:tblBorders>
          <w:tblLayout w:type="fixed"/>
          <w:tblCellMar>
            <w:top w:w="10" w:type="dxa"/>
            <w:left w:w="10" w:type="dxa"/>
            <w:bottom w:w="10" w:type="dxa"/>
            <w:right w:w="10" w:type="dxa"/>
          </w:tblCellMar>
        </w:tblPrEx>
        <w:tc>
          <w:tcPr>
            <w:tcW w:w="2878" w:type="dxa"/>
            <w:tcBorders>
              <w:bottom w:val="single" w:color="auto" w:sz="8" w:space="0"/>
              <w:right w:val="nil"/>
            </w:tcBorders>
          </w:tcPr>
          <w:p>
            <w:pPr>
              <w:autoSpaceDE w:val="0"/>
              <w:autoSpaceDN w:val="0"/>
              <w:adjustRightInd w:val="0"/>
              <w:spacing w:before="0" w:after="0"/>
              <w:rPr>
                <w:rFonts w:eastAsia="Times New Roman"/>
                <w:kern w:val="0"/>
                <w:sz w:val="21"/>
                <w:szCs w:val="21"/>
                <w:lang w:val="zh-CN"/>
              </w:rPr>
            </w:pPr>
            <w:r>
              <w:rPr>
                <w:rFonts w:hint="eastAsia" w:ascii="宋体" w:hAnsi="宋体" w:cs="宋体"/>
                <w:kern w:val="0"/>
                <w:sz w:val="21"/>
                <w:szCs w:val="21"/>
                <w:lang w:val="zh-CN"/>
              </w:rPr>
              <w:t>与交易对象关系组合</w:t>
            </w:r>
          </w:p>
        </w:tc>
        <w:tc>
          <w:tcPr>
            <w:tcW w:w="3514" w:type="dxa"/>
            <w:tcBorders>
              <w:bottom w:val="single" w:color="auto" w:sz="8" w:space="0"/>
              <w:right w:val="nil"/>
            </w:tcBorders>
          </w:tcPr>
          <w:p>
            <w:pPr>
              <w:autoSpaceDE w:val="0"/>
              <w:autoSpaceDN w:val="0"/>
              <w:adjustRightInd w:val="0"/>
              <w:spacing w:before="0" w:after="0"/>
              <w:jc w:val="right"/>
              <w:rPr>
                <w:rFonts w:eastAsia="Times New Roman"/>
                <w:kern w:val="0"/>
                <w:sz w:val="21"/>
                <w:szCs w:val="21"/>
                <w:lang w:val="zh-CN"/>
              </w:rPr>
            </w:pPr>
            <w:r>
              <w:rPr>
                <w:rFonts w:eastAsia="Times New Roman"/>
                <w:kern w:val="0"/>
                <w:sz w:val="21"/>
                <w:szCs w:val="21"/>
                <w:lang w:val="en-GB"/>
              </w:rPr>
              <w:t>16,253,610.37</w:t>
            </w:r>
          </w:p>
        </w:tc>
        <w:tc>
          <w:tcPr>
            <w:tcW w:w="3266" w:type="dxa"/>
            <w:tcBorders>
              <w:top w:val="single" w:color="auto" w:sz="8" w:space="0"/>
              <w:bottom w:val="single" w:color="auto" w:sz="8" w:space="0"/>
              <w:right w:val="single" w:color="auto" w:sz="8" w:space="0"/>
            </w:tcBorders>
          </w:tcPr>
          <w:p>
            <w:pPr>
              <w:autoSpaceDE w:val="0"/>
              <w:autoSpaceDN w:val="0"/>
              <w:adjustRightInd w:val="0"/>
              <w:spacing w:before="0" w:after="0"/>
              <w:jc w:val="right"/>
              <w:rPr>
                <w:rFonts w:eastAsia="Times New Roman"/>
                <w:kern w:val="0"/>
                <w:sz w:val="21"/>
                <w:szCs w:val="21"/>
                <w:lang w:val="zh-CN"/>
              </w:rPr>
            </w:pPr>
          </w:p>
        </w:tc>
      </w:tr>
    </w:tbl>
    <w:p>
      <w:pPr>
        <w:pStyle w:val="11"/>
        <w:outlineLvl w:val="3"/>
        <w:rPr>
          <w:bCs w:val="0"/>
          <w:szCs w:val="24"/>
        </w:rPr>
      </w:pPr>
      <w:r>
        <w:rPr>
          <w:rFonts w:hint="eastAsia"/>
          <w:bCs w:val="0"/>
          <w:szCs w:val="24"/>
        </w:rPr>
        <w:t>（</w:t>
      </w:r>
      <w:r>
        <w:rPr>
          <w:bCs w:val="0"/>
          <w:szCs w:val="24"/>
        </w:rPr>
        <w:t>2</w:t>
      </w:r>
      <w:r>
        <w:rPr>
          <w:rFonts w:hint="eastAsia"/>
          <w:bCs w:val="0"/>
          <w:szCs w:val="24"/>
        </w:rPr>
        <w:t>）本期计提、收回或转回的坏账准备情况</w:t>
      </w:r>
    </w:p>
    <w:p>
      <w:pPr>
        <w:jc w:val="left"/>
        <w:rPr>
          <w:sz w:val="21"/>
          <w:szCs w:val="21"/>
        </w:rPr>
      </w:pPr>
      <w:r>
        <w:rPr>
          <w:rFonts w:hint="eastAsia"/>
          <w:sz w:val="21"/>
          <w:szCs w:val="21"/>
        </w:rPr>
        <w:t>本期计提坏账准备金额</w:t>
      </w:r>
      <w:r>
        <w:rPr>
          <w:sz w:val="21"/>
          <w:szCs w:val="21"/>
        </w:rPr>
        <w:t>1,462,377.12</w:t>
      </w:r>
      <w:r>
        <w:rPr>
          <w:rFonts w:hint="eastAsia"/>
          <w:sz w:val="21"/>
          <w:szCs w:val="21"/>
        </w:rPr>
        <w:t>元；本期收回或转回坏账准备金额</w:t>
      </w:r>
      <w:r>
        <w:rPr>
          <w:sz w:val="21"/>
          <w:szCs w:val="21"/>
        </w:rPr>
        <w:t>0.00</w:t>
      </w:r>
      <w:r>
        <w:rPr>
          <w:rFonts w:hint="eastAsia"/>
          <w:sz w:val="21"/>
          <w:szCs w:val="21"/>
        </w:rPr>
        <w:t>元。</w:t>
      </w:r>
    </w:p>
    <w:p>
      <w:pPr>
        <w:pStyle w:val="11"/>
        <w:outlineLvl w:val="3"/>
        <w:rPr>
          <w:bCs w:val="0"/>
          <w:szCs w:val="24"/>
        </w:rPr>
      </w:pPr>
      <w:r>
        <w:rPr>
          <w:rFonts w:hint="eastAsia"/>
          <w:bCs w:val="0"/>
          <w:szCs w:val="24"/>
        </w:rPr>
        <w:t>（</w:t>
      </w:r>
      <w:r>
        <w:rPr>
          <w:bCs w:val="0"/>
          <w:szCs w:val="24"/>
        </w:rPr>
        <w:t>4</w:t>
      </w:r>
      <w:r>
        <w:rPr>
          <w:rFonts w:hint="eastAsia"/>
          <w:bCs w:val="0"/>
          <w:szCs w:val="24"/>
        </w:rPr>
        <w:t>）按欠款方归集的期末余额前五名的应收账款情况</w:t>
      </w:r>
    </w:p>
    <w:tbl>
      <w:tblPr>
        <w:tblStyle w:val="8"/>
        <w:tblW w:w="9658" w:type="dxa"/>
        <w:tblInd w:w="0" w:type="dxa"/>
        <w:tblBorders>
          <w:top w:val="single" w:color="auto" w:sz="6" w:space="0"/>
          <w:left w:val="single" w:color="auto" w:sz="6" w:space="0"/>
          <w:bottom w:val="single" w:color="auto" w:sz="8" w:space="0"/>
          <w:right w:val="none" w:color="auto" w:sz="0" w:space="0"/>
          <w:insideH w:val="single" w:color="auto" w:sz="6" w:space="0"/>
          <w:insideV w:val="single" w:color="auto" w:sz="6" w:space="0"/>
        </w:tblBorders>
        <w:tblLayout w:type="fixed"/>
        <w:tblCellMar>
          <w:top w:w="10" w:type="dxa"/>
          <w:left w:w="10" w:type="dxa"/>
          <w:bottom w:w="10" w:type="dxa"/>
          <w:right w:w="10" w:type="dxa"/>
        </w:tblCellMar>
      </w:tblPr>
      <w:tblGrid>
        <w:gridCol w:w="2276"/>
        <w:gridCol w:w="1885"/>
        <w:gridCol w:w="2623"/>
        <w:gridCol w:w="1238"/>
        <w:gridCol w:w="1636"/>
      </w:tblGrid>
      <w:tr>
        <w:tblPrEx>
          <w:tblBorders>
            <w:top w:val="single" w:color="auto" w:sz="6" w:space="0"/>
            <w:left w:val="single" w:color="auto" w:sz="6" w:space="0"/>
            <w:bottom w:val="single" w:color="auto" w:sz="8" w:space="0"/>
            <w:right w:val="none" w:color="auto" w:sz="0" w:space="0"/>
            <w:insideH w:val="single" w:color="auto" w:sz="6" w:space="0"/>
            <w:insideV w:val="single" w:color="auto" w:sz="6" w:space="0"/>
          </w:tblBorders>
          <w:tblLayout w:type="fixed"/>
          <w:tblCellMar>
            <w:top w:w="10" w:type="dxa"/>
            <w:left w:w="10" w:type="dxa"/>
            <w:bottom w:w="10" w:type="dxa"/>
            <w:right w:w="10" w:type="dxa"/>
          </w:tblCellMar>
        </w:tblPrEx>
        <w:tc>
          <w:tcPr>
            <w:tcW w:w="2276" w:type="dxa"/>
            <w:tcBorders>
              <w:bottom w:val="single" w:color="auto" w:sz="8" w:space="0"/>
              <w:right w:val="nil"/>
            </w:tcBorders>
          </w:tcPr>
          <w:p>
            <w:pPr>
              <w:autoSpaceDE w:val="0"/>
              <w:autoSpaceDN w:val="0"/>
              <w:adjustRightInd w:val="0"/>
              <w:spacing w:before="0" w:after="0"/>
              <w:rPr>
                <w:rFonts w:eastAsia="Times New Roman"/>
                <w:b/>
                <w:kern w:val="0"/>
                <w:sz w:val="21"/>
                <w:szCs w:val="21"/>
                <w:lang w:val="zh-CN"/>
              </w:rPr>
            </w:pPr>
            <w:r>
              <w:rPr>
                <w:rFonts w:hint="eastAsia" w:ascii="宋体" w:hAnsi="宋体" w:cs="宋体"/>
                <w:b/>
                <w:kern w:val="0"/>
                <w:sz w:val="21"/>
                <w:szCs w:val="21"/>
                <w:lang w:val="zh-CN"/>
              </w:rPr>
              <w:t>单位名称</w:t>
            </w:r>
          </w:p>
        </w:tc>
        <w:tc>
          <w:tcPr>
            <w:tcW w:w="1885" w:type="dxa"/>
            <w:tcBorders>
              <w:bottom w:val="single" w:color="auto" w:sz="8" w:space="0"/>
              <w:right w:val="nil"/>
            </w:tcBorders>
          </w:tcPr>
          <w:p>
            <w:pPr>
              <w:autoSpaceDE w:val="0"/>
              <w:autoSpaceDN w:val="0"/>
              <w:adjustRightInd w:val="0"/>
              <w:spacing w:before="0" w:after="0"/>
              <w:jc w:val="center"/>
              <w:rPr>
                <w:rFonts w:eastAsia="Times New Roman"/>
                <w:b/>
                <w:kern w:val="0"/>
                <w:sz w:val="21"/>
                <w:szCs w:val="21"/>
                <w:lang w:val="zh-CN"/>
              </w:rPr>
            </w:pPr>
            <w:r>
              <w:rPr>
                <w:rFonts w:hint="eastAsia" w:ascii="宋体" w:hAnsi="宋体" w:cs="宋体"/>
                <w:b/>
                <w:kern w:val="0"/>
                <w:sz w:val="21"/>
                <w:szCs w:val="21"/>
                <w:lang w:val="zh-CN"/>
              </w:rPr>
              <w:t>年末余额</w:t>
            </w:r>
          </w:p>
        </w:tc>
        <w:tc>
          <w:tcPr>
            <w:tcW w:w="2623" w:type="dxa"/>
            <w:tcBorders>
              <w:bottom w:val="single" w:color="auto" w:sz="8" w:space="0"/>
              <w:right w:val="nil"/>
            </w:tcBorders>
          </w:tcPr>
          <w:p>
            <w:pPr>
              <w:autoSpaceDE w:val="0"/>
              <w:autoSpaceDN w:val="0"/>
              <w:adjustRightInd w:val="0"/>
              <w:spacing w:before="0" w:after="0"/>
              <w:jc w:val="center"/>
              <w:rPr>
                <w:rFonts w:eastAsia="Times New Roman"/>
                <w:b/>
                <w:kern w:val="0"/>
                <w:sz w:val="21"/>
                <w:szCs w:val="21"/>
                <w:lang w:val="zh-CN"/>
              </w:rPr>
            </w:pPr>
            <w:r>
              <w:rPr>
                <w:rFonts w:hint="eastAsia" w:ascii="宋体" w:hAnsi="宋体" w:cs="宋体"/>
                <w:b/>
                <w:kern w:val="0"/>
                <w:sz w:val="21"/>
                <w:szCs w:val="21"/>
                <w:lang w:val="zh-CN"/>
              </w:rPr>
              <w:t>账龄</w:t>
            </w:r>
          </w:p>
        </w:tc>
        <w:tc>
          <w:tcPr>
            <w:tcW w:w="1238" w:type="dxa"/>
            <w:tcBorders>
              <w:bottom w:val="single" w:color="auto" w:sz="8" w:space="0"/>
              <w:right w:val="nil"/>
            </w:tcBorders>
          </w:tcPr>
          <w:p>
            <w:pPr>
              <w:autoSpaceDE w:val="0"/>
              <w:autoSpaceDN w:val="0"/>
              <w:adjustRightInd w:val="0"/>
              <w:spacing w:before="0" w:after="0"/>
              <w:jc w:val="center"/>
              <w:rPr>
                <w:rFonts w:eastAsia="Times New Roman"/>
                <w:b/>
                <w:kern w:val="0"/>
                <w:sz w:val="21"/>
                <w:szCs w:val="21"/>
                <w:lang w:val="zh-CN"/>
              </w:rPr>
            </w:pPr>
            <w:r>
              <w:rPr>
                <w:rFonts w:hint="eastAsia" w:ascii="宋体" w:hAnsi="宋体" w:cs="宋体"/>
                <w:b/>
                <w:kern w:val="0"/>
                <w:sz w:val="21"/>
                <w:szCs w:val="21"/>
                <w:lang w:val="zh-CN"/>
              </w:rPr>
              <w:t>占应收账款年末余额合计数的比例</w:t>
            </w:r>
            <w:r>
              <w:rPr>
                <w:rFonts w:eastAsia="Times New Roman"/>
                <w:b/>
                <w:kern w:val="0"/>
                <w:sz w:val="21"/>
                <w:szCs w:val="21"/>
                <w:lang w:val="en-GB"/>
              </w:rPr>
              <w:t>(%)</w:t>
            </w:r>
          </w:p>
        </w:tc>
        <w:tc>
          <w:tcPr>
            <w:tcW w:w="1636" w:type="dxa"/>
            <w:tcBorders>
              <w:bottom w:val="single" w:color="auto" w:sz="8" w:space="0"/>
              <w:right w:val="single" w:color="auto" w:sz="8" w:space="0"/>
            </w:tcBorders>
          </w:tcPr>
          <w:p>
            <w:pPr>
              <w:autoSpaceDE w:val="0"/>
              <w:autoSpaceDN w:val="0"/>
              <w:adjustRightInd w:val="0"/>
              <w:spacing w:before="0" w:after="0"/>
              <w:jc w:val="center"/>
              <w:rPr>
                <w:rFonts w:eastAsia="Times New Roman"/>
                <w:b/>
                <w:kern w:val="0"/>
                <w:sz w:val="21"/>
                <w:szCs w:val="21"/>
                <w:lang w:val="zh-CN"/>
              </w:rPr>
            </w:pPr>
            <w:r>
              <w:rPr>
                <w:rFonts w:hint="eastAsia" w:ascii="宋体" w:hAnsi="宋体" w:cs="宋体"/>
                <w:b/>
                <w:kern w:val="0"/>
                <w:sz w:val="21"/>
                <w:szCs w:val="21"/>
                <w:lang w:val="zh-CN"/>
              </w:rPr>
              <w:t>坏账准备年末余额</w:t>
            </w:r>
          </w:p>
        </w:tc>
      </w:tr>
      <w:tr>
        <w:tblPrEx>
          <w:tblBorders>
            <w:top w:val="single" w:color="auto" w:sz="6" w:space="0"/>
            <w:left w:val="single" w:color="auto" w:sz="6" w:space="0"/>
            <w:bottom w:val="single" w:color="auto" w:sz="8" w:space="0"/>
            <w:right w:val="none" w:color="auto" w:sz="0" w:space="0"/>
            <w:insideH w:val="single" w:color="auto" w:sz="6" w:space="0"/>
            <w:insideV w:val="single" w:color="auto" w:sz="6" w:space="0"/>
          </w:tblBorders>
          <w:tblLayout w:type="fixed"/>
          <w:tblCellMar>
            <w:top w:w="10" w:type="dxa"/>
            <w:left w:w="10" w:type="dxa"/>
            <w:bottom w:w="10" w:type="dxa"/>
            <w:right w:w="10" w:type="dxa"/>
          </w:tblCellMar>
        </w:tblPrEx>
        <w:tc>
          <w:tcPr>
            <w:tcW w:w="2276" w:type="dxa"/>
            <w:tcBorders>
              <w:bottom w:val="single" w:color="auto" w:sz="8" w:space="0"/>
              <w:right w:val="nil"/>
            </w:tcBorders>
          </w:tcPr>
          <w:p>
            <w:pPr>
              <w:autoSpaceDE w:val="0"/>
              <w:autoSpaceDN w:val="0"/>
              <w:adjustRightInd w:val="0"/>
              <w:spacing w:before="0" w:after="0"/>
              <w:rPr>
                <w:rFonts w:eastAsia="Times New Roman"/>
                <w:kern w:val="0"/>
                <w:sz w:val="21"/>
                <w:szCs w:val="21"/>
                <w:lang w:val="zh-CN"/>
              </w:rPr>
            </w:pPr>
            <w:r>
              <w:rPr>
                <w:rFonts w:hint="eastAsia" w:ascii="宋体" w:hAnsi="宋体" w:cs="宋体"/>
                <w:kern w:val="0"/>
                <w:sz w:val="21"/>
                <w:szCs w:val="21"/>
                <w:lang w:val="zh-CN"/>
              </w:rPr>
              <w:t>客户一</w:t>
            </w:r>
          </w:p>
        </w:tc>
        <w:tc>
          <w:tcPr>
            <w:tcW w:w="1885" w:type="dxa"/>
            <w:tcBorders>
              <w:bottom w:val="single" w:color="auto" w:sz="8" w:space="0"/>
              <w:right w:val="nil"/>
            </w:tcBorders>
          </w:tcPr>
          <w:p>
            <w:pPr>
              <w:autoSpaceDE w:val="0"/>
              <w:autoSpaceDN w:val="0"/>
              <w:adjustRightInd w:val="0"/>
              <w:spacing w:before="0" w:after="0"/>
              <w:jc w:val="right"/>
              <w:rPr>
                <w:rFonts w:eastAsia="Times New Roman"/>
                <w:kern w:val="0"/>
                <w:sz w:val="21"/>
                <w:szCs w:val="21"/>
                <w:lang w:val="zh-CN"/>
              </w:rPr>
            </w:pPr>
            <w:r>
              <w:rPr>
                <w:rFonts w:eastAsia="Times New Roman"/>
                <w:kern w:val="0"/>
                <w:sz w:val="21"/>
                <w:szCs w:val="21"/>
                <w:lang w:val="en-GB"/>
              </w:rPr>
              <w:t xml:space="preserve">23,806,100.00 </w:t>
            </w:r>
          </w:p>
        </w:tc>
        <w:tc>
          <w:tcPr>
            <w:tcW w:w="2623" w:type="dxa"/>
            <w:tcBorders>
              <w:bottom w:val="single" w:color="auto" w:sz="8" w:space="0"/>
              <w:right w:val="nil"/>
            </w:tcBorders>
          </w:tcPr>
          <w:p>
            <w:pPr>
              <w:autoSpaceDE w:val="0"/>
              <w:autoSpaceDN w:val="0"/>
              <w:adjustRightInd w:val="0"/>
              <w:spacing w:before="0" w:after="0"/>
              <w:jc w:val="center"/>
              <w:rPr>
                <w:rFonts w:eastAsia="Times New Roman"/>
                <w:kern w:val="0"/>
                <w:sz w:val="21"/>
                <w:szCs w:val="21"/>
                <w:lang w:val="zh-CN"/>
              </w:rPr>
            </w:pPr>
            <w:r>
              <w:rPr>
                <w:rFonts w:eastAsia="Times New Roman"/>
                <w:kern w:val="0"/>
                <w:sz w:val="21"/>
                <w:szCs w:val="21"/>
                <w:lang w:val="zh-CN"/>
              </w:rPr>
              <w:t>1</w:t>
            </w:r>
            <w:r>
              <w:rPr>
                <w:rFonts w:hint="eastAsia" w:ascii="宋体" w:hAnsi="宋体" w:cs="宋体"/>
                <w:kern w:val="0"/>
                <w:sz w:val="21"/>
                <w:szCs w:val="21"/>
                <w:lang w:val="zh-CN"/>
              </w:rPr>
              <w:t>年以内</w:t>
            </w:r>
          </w:p>
        </w:tc>
        <w:tc>
          <w:tcPr>
            <w:tcW w:w="1238" w:type="dxa"/>
            <w:tcBorders>
              <w:bottom w:val="single" w:color="auto" w:sz="8" w:space="0"/>
              <w:right w:val="nil"/>
            </w:tcBorders>
          </w:tcPr>
          <w:p>
            <w:pPr>
              <w:autoSpaceDE w:val="0"/>
              <w:autoSpaceDN w:val="0"/>
              <w:adjustRightInd w:val="0"/>
              <w:spacing w:before="0" w:after="0"/>
              <w:jc w:val="right"/>
              <w:rPr>
                <w:rFonts w:eastAsia="Times New Roman"/>
                <w:kern w:val="0"/>
                <w:sz w:val="21"/>
                <w:szCs w:val="21"/>
                <w:lang w:val="zh-CN"/>
              </w:rPr>
            </w:pPr>
            <w:r>
              <w:rPr>
                <w:rFonts w:eastAsia="Times New Roman"/>
                <w:kern w:val="0"/>
                <w:sz w:val="21"/>
                <w:szCs w:val="21"/>
                <w:lang w:val="en-GB"/>
              </w:rPr>
              <w:t>13.62</w:t>
            </w:r>
          </w:p>
        </w:tc>
        <w:tc>
          <w:tcPr>
            <w:tcW w:w="1636" w:type="dxa"/>
            <w:tcBorders>
              <w:top w:val="single" w:color="auto" w:sz="8" w:space="0"/>
              <w:bottom w:val="single" w:color="auto" w:sz="8" w:space="0"/>
              <w:right w:val="single" w:color="auto" w:sz="8" w:space="0"/>
            </w:tcBorders>
          </w:tcPr>
          <w:p>
            <w:pPr>
              <w:autoSpaceDE w:val="0"/>
              <w:autoSpaceDN w:val="0"/>
              <w:adjustRightInd w:val="0"/>
              <w:spacing w:before="0" w:after="0"/>
              <w:jc w:val="right"/>
              <w:rPr>
                <w:rFonts w:eastAsia="Times New Roman"/>
                <w:kern w:val="0"/>
                <w:sz w:val="21"/>
                <w:szCs w:val="21"/>
                <w:lang w:val="zh-CN"/>
              </w:rPr>
            </w:pPr>
            <w:r>
              <w:rPr>
                <w:rFonts w:eastAsia="Times New Roman"/>
                <w:kern w:val="0"/>
                <w:sz w:val="21"/>
                <w:szCs w:val="21"/>
                <w:lang w:val="en-GB"/>
              </w:rPr>
              <w:t xml:space="preserve">1,190,305.00 </w:t>
            </w:r>
          </w:p>
        </w:tc>
      </w:tr>
      <w:tr>
        <w:tblPrEx>
          <w:tblBorders>
            <w:top w:val="single" w:color="auto" w:sz="6" w:space="0"/>
            <w:left w:val="single" w:color="auto" w:sz="6" w:space="0"/>
            <w:bottom w:val="single" w:color="auto" w:sz="8" w:space="0"/>
            <w:right w:val="none" w:color="auto" w:sz="0" w:space="0"/>
            <w:insideH w:val="single" w:color="auto" w:sz="6" w:space="0"/>
            <w:insideV w:val="single" w:color="auto" w:sz="6" w:space="0"/>
          </w:tblBorders>
          <w:tblLayout w:type="fixed"/>
          <w:tblCellMar>
            <w:top w:w="10" w:type="dxa"/>
            <w:left w:w="10" w:type="dxa"/>
            <w:bottom w:w="10" w:type="dxa"/>
            <w:right w:w="10" w:type="dxa"/>
          </w:tblCellMar>
        </w:tblPrEx>
        <w:tc>
          <w:tcPr>
            <w:tcW w:w="2276" w:type="dxa"/>
            <w:tcBorders>
              <w:bottom w:val="single" w:color="auto" w:sz="8" w:space="0"/>
              <w:right w:val="nil"/>
            </w:tcBorders>
          </w:tcPr>
          <w:p>
            <w:pPr>
              <w:autoSpaceDE w:val="0"/>
              <w:autoSpaceDN w:val="0"/>
              <w:adjustRightInd w:val="0"/>
              <w:spacing w:before="0" w:after="0"/>
              <w:rPr>
                <w:rFonts w:eastAsia="Times New Roman"/>
                <w:kern w:val="0"/>
                <w:sz w:val="21"/>
                <w:szCs w:val="21"/>
                <w:lang w:val="zh-CN"/>
              </w:rPr>
            </w:pPr>
            <w:r>
              <w:rPr>
                <w:rFonts w:hint="eastAsia" w:ascii="宋体" w:hAnsi="宋体" w:cs="宋体"/>
                <w:kern w:val="0"/>
                <w:sz w:val="21"/>
                <w:szCs w:val="21"/>
                <w:lang w:val="zh-CN"/>
              </w:rPr>
              <w:t>客户二</w:t>
            </w:r>
          </w:p>
        </w:tc>
        <w:tc>
          <w:tcPr>
            <w:tcW w:w="1885" w:type="dxa"/>
            <w:tcBorders>
              <w:bottom w:val="single" w:color="auto" w:sz="8" w:space="0"/>
              <w:right w:val="nil"/>
            </w:tcBorders>
          </w:tcPr>
          <w:p>
            <w:pPr>
              <w:autoSpaceDE w:val="0"/>
              <w:autoSpaceDN w:val="0"/>
              <w:adjustRightInd w:val="0"/>
              <w:spacing w:before="0" w:after="0"/>
              <w:jc w:val="right"/>
              <w:rPr>
                <w:rFonts w:eastAsia="Times New Roman"/>
                <w:kern w:val="0"/>
                <w:sz w:val="21"/>
                <w:szCs w:val="21"/>
                <w:lang w:val="zh-CN"/>
              </w:rPr>
            </w:pPr>
            <w:r>
              <w:rPr>
                <w:rFonts w:eastAsia="Times New Roman"/>
                <w:kern w:val="0"/>
                <w:sz w:val="21"/>
                <w:szCs w:val="21"/>
                <w:lang w:val="en-GB"/>
              </w:rPr>
              <w:t>19,297,350.00</w:t>
            </w:r>
          </w:p>
        </w:tc>
        <w:tc>
          <w:tcPr>
            <w:tcW w:w="2623" w:type="dxa"/>
            <w:tcBorders>
              <w:bottom w:val="single" w:color="auto" w:sz="8" w:space="0"/>
              <w:right w:val="nil"/>
            </w:tcBorders>
          </w:tcPr>
          <w:p>
            <w:pPr>
              <w:autoSpaceDE w:val="0"/>
              <w:autoSpaceDN w:val="0"/>
              <w:adjustRightInd w:val="0"/>
              <w:spacing w:before="0" w:after="0"/>
              <w:jc w:val="center"/>
              <w:rPr>
                <w:rFonts w:eastAsia="Times New Roman"/>
                <w:kern w:val="0"/>
                <w:sz w:val="21"/>
                <w:szCs w:val="21"/>
                <w:lang w:val="zh-CN"/>
              </w:rPr>
            </w:pPr>
            <w:r>
              <w:rPr>
                <w:rFonts w:eastAsia="Times New Roman"/>
                <w:kern w:val="0"/>
                <w:sz w:val="21"/>
                <w:szCs w:val="21"/>
                <w:lang w:val="en-GB"/>
              </w:rPr>
              <w:t>1</w:t>
            </w:r>
            <w:r>
              <w:rPr>
                <w:rFonts w:hint="eastAsia" w:ascii="宋体" w:hAnsi="宋体" w:cs="宋体"/>
                <w:kern w:val="0"/>
                <w:sz w:val="21"/>
                <w:szCs w:val="21"/>
                <w:lang w:val="zh-CN"/>
              </w:rPr>
              <w:t>年以内</w:t>
            </w:r>
          </w:p>
        </w:tc>
        <w:tc>
          <w:tcPr>
            <w:tcW w:w="1238" w:type="dxa"/>
            <w:tcBorders>
              <w:bottom w:val="single" w:color="auto" w:sz="8" w:space="0"/>
              <w:right w:val="nil"/>
            </w:tcBorders>
          </w:tcPr>
          <w:p>
            <w:pPr>
              <w:autoSpaceDE w:val="0"/>
              <w:autoSpaceDN w:val="0"/>
              <w:adjustRightInd w:val="0"/>
              <w:spacing w:before="0" w:after="0"/>
              <w:jc w:val="center"/>
              <w:rPr>
                <w:rFonts w:eastAsia="Times New Roman"/>
                <w:kern w:val="0"/>
                <w:sz w:val="21"/>
                <w:szCs w:val="21"/>
                <w:lang w:val="zh-CN"/>
              </w:rPr>
            </w:pPr>
            <w:r>
              <w:rPr>
                <w:rFonts w:eastAsia="Times New Roman"/>
                <w:kern w:val="0"/>
                <w:sz w:val="21"/>
                <w:szCs w:val="21"/>
                <w:lang w:val="en-GB"/>
              </w:rPr>
              <w:t>11.04</w:t>
            </w:r>
          </w:p>
        </w:tc>
        <w:tc>
          <w:tcPr>
            <w:tcW w:w="1636" w:type="dxa"/>
            <w:tcBorders>
              <w:top w:val="single" w:color="auto" w:sz="8" w:space="0"/>
              <w:bottom w:val="single" w:color="auto" w:sz="8" w:space="0"/>
              <w:right w:val="single" w:color="auto" w:sz="8" w:space="0"/>
            </w:tcBorders>
          </w:tcPr>
          <w:p>
            <w:pPr>
              <w:autoSpaceDE w:val="0"/>
              <w:autoSpaceDN w:val="0"/>
              <w:adjustRightInd w:val="0"/>
              <w:spacing w:before="0" w:after="0"/>
              <w:jc w:val="right"/>
              <w:rPr>
                <w:rFonts w:eastAsia="Times New Roman"/>
                <w:kern w:val="0"/>
                <w:sz w:val="21"/>
                <w:szCs w:val="21"/>
                <w:lang w:val="zh-CN"/>
              </w:rPr>
            </w:pPr>
            <w:r>
              <w:rPr>
                <w:rFonts w:eastAsia="Times New Roman"/>
                <w:kern w:val="0"/>
                <w:sz w:val="21"/>
                <w:szCs w:val="21"/>
                <w:lang w:val="en-GB"/>
              </w:rPr>
              <w:t>964,867.50</w:t>
            </w:r>
          </w:p>
        </w:tc>
      </w:tr>
      <w:tr>
        <w:tblPrEx>
          <w:tblBorders>
            <w:top w:val="single" w:color="auto" w:sz="6" w:space="0"/>
            <w:left w:val="single" w:color="auto" w:sz="6" w:space="0"/>
            <w:bottom w:val="single" w:color="auto" w:sz="8" w:space="0"/>
            <w:right w:val="none" w:color="auto" w:sz="0" w:space="0"/>
            <w:insideH w:val="single" w:color="auto" w:sz="6" w:space="0"/>
            <w:insideV w:val="single" w:color="auto" w:sz="6" w:space="0"/>
          </w:tblBorders>
          <w:tblLayout w:type="fixed"/>
          <w:tblCellMar>
            <w:top w:w="10" w:type="dxa"/>
            <w:left w:w="10" w:type="dxa"/>
            <w:bottom w:w="10" w:type="dxa"/>
            <w:right w:w="10" w:type="dxa"/>
          </w:tblCellMar>
        </w:tblPrEx>
        <w:tc>
          <w:tcPr>
            <w:tcW w:w="2276" w:type="dxa"/>
            <w:tcBorders>
              <w:bottom w:val="single" w:color="auto" w:sz="8" w:space="0"/>
              <w:right w:val="nil"/>
            </w:tcBorders>
          </w:tcPr>
          <w:p>
            <w:pPr>
              <w:autoSpaceDE w:val="0"/>
              <w:autoSpaceDN w:val="0"/>
              <w:adjustRightInd w:val="0"/>
              <w:spacing w:before="0" w:after="0"/>
              <w:rPr>
                <w:rFonts w:eastAsia="Times New Roman"/>
                <w:kern w:val="0"/>
                <w:sz w:val="21"/>
                <w:szCs w:val="21"/>
                <w:lang w:val="zh-CN"/>
              </w:rPr>
            </w:pPr>
            <w:r>
              <w:rPr>
                <w:rFonts w:hint="eastAsia" w:ascii="宋体" w:hAnsi="宋体" w:cs="宋体"/>
                <w:kern w:val="0"/>
                <w:sz w:val="21"/>
                <w:szCs w:val="21"/>
                <w:lang w:val="zh-CN"/>
              </w:rPr>
              <w:t>客户三</w:t>
            </w:r>
          </w:p>
        </w:tc>
        <w:tc>
          <w:tcPr>
            <w:tcW w:w="1885" w:type="dxa"/>
            <w:tcBorders>
              <w:bottom w:val="single" w:color="auto" w:sz="8" w:space="0"/>
              <w:right w:val="nil"/>
            </w:tcBorders>
          </w:tcPr>
          <w:p>
            <w:pPr>
              <w:autoSpaceDE w:val="0"/>
              <w:autoSpaceDN w:val="0"/>
              <w:adjustRightInd w:val="0"/>
              <w:spacing w:before="0" w:after="0"/>
              <w:jc w:val="right"/>
              <w:rPr>
                <w:rFonts w:eastAsia="Times New Roman"/>
                <w:kern w:val="0"/>
                <w:sz w:val="21"/>
                <w:szCs w:val="21"/>
                <w:lang w:val="zh-CN"/>
              </w:rPr>
            </w:pPr>
            <w:r>
              <w:rPr>
                <w:rFonts w:eastAsia="Times New Roman"/>
                <w:kern w:val="0"/>
                <w:sz w:val="21"/>
                <w:szCs w:val="21"/>
                <w:lang w:val="en-GB"/>
              </w:rPr>
              <w:t>12,300,000.00</w:t>
            </w:r>
          </w:p>
        </w:tc>
        <w:tc>
          <w:tcPr>
            <w:tcW w:w="2623" w:type="dxa"/>
            <w:tcBorders>
              <w:bottom w:val="single" w:color="auto" w:sz="8" w:space="0"/>
              <w:right w:val="nil"/>
            </w:tcBorders>
          </w:tcPr>
          <w:p>
            <w:pPr>
              <w:autoSpaceDE w:val="0"/>
              <w:autoSpaceDN w:val="0"/>
              <w:adjustRightInd w:val="0"/>
              <w:spacing w:before="0" w:after="0"/>
              <w:jc w:val="center"/>
              <w:rPr>
                <w:rFonts w:eastAsia="Times New Roman"/>
                <w:kern w:val="0"/>
                <w:sz w:val="21"/>
                <w:szCs w:val="21"/>
                <w:lang w:val="zh-CN"/>
              </w:rPr>
            </w:pPr>
            <w:r>
              <w:rPr>
                <w:rFonts w:eastAsia="Times New Roman"/>
                <w:kern w:val="0"/>
                <w:sz w:val="21"/>
                <w:szCs w:val="21"/>
                <w:lang w:val="en-GB"/>
              </w:rPr>
              <w:t>1</w:t>
            </w:r>
            <w:r>
              <w:rPr>
                <w:rFonts w:hint="eastAsia" w:ascii="宋体" w:hAnsi="宋体" w:cs="宋体"/>
                <w:kern w:val="0"/>
                <w:sz w:val="21"/>
                <w:szCs w:val="21"/>
                <w:lang w:val="zh-CN"/>
              </w:rPr>
              <w:t>年以内：</w:t>
            </w:r>
            <w:r>
              <w:rPr>
                <w:rFonts w:eastAsia="Times New Roman"/>
                <w:kern w:val="0"/>
                <w:sz w:val="21"/>
                <w:szCs w:val="21"/>
                <w:lang w:val="en-GB"/>
              </w:rPr>
              <w:t>2,814,000</w:t>
            </w:r>
          </w:p>
          <w:p>
            <w:pPr>
              <w:autoSpaceDE w:val="0"/>
              <w:autoSpaceDN w:val="0"/>
              <w:adjustRightInd w:val="0"/>
              <w:spacing w:before="0" w:after="0"/>
              <w:jc w:val="center"/>
              <w:rPr>
                <w:rFonts w:eastAsia="Times New Roman"/>
                <w:kern w:val="0"/>
                <w:sz w:val="21"/>
                <w:szCs w:val="21"/>
                <w:lang w:val="zh-CN"/>
              </w:rPr>
            </w:pPr>
            <w:r>
              <w:rPr>
                <w:rFonts w:eastAsia="Times New Roman"/>
                <w:kern w:val="0"/>
                <w:sz w:val="21"/>
                <w:szCs w:val="21"/>
                <w:lang w:val="en-GB"/>
              </w:rPr>
              <w:t>1-2</w:t>
            </w:r>
            <w:r>
              <w:rPr>
                <w:rFonts w:hint="eastAsia" w:ascii="宋体" w:hAnsi="宋体" w:cs="宋体"/>
                <w:kern w:val="0"/>
                <w:sz w:val="21"/>
                <w:szCs w:val="21"/>
                <w:lang w:val="zh-CN"/>
              </w:rPr>
              <w:t>年：</w:t>
            </w:r>
            <w:r>
              <w:rPr>
                <w:rFonts w:eastAsia="Times New Roman"/>
                <w:kern w:val="0"/>
                <w:sz w:val="21"/>
                <w:szCs w:val="21"/>
                <w:lang w:val="en-GB"/>
              </w:rPr>
              <w:t>3,145,000</w:t>
            </w:r>
          </w:p>
          <w:p>
            <w:pPr>
              <w:autoSpaceDE w:val="0"/>
              <w:autoSpaceDN w:val="0"/>
              <w:adjustRightInd w:val="0"/>
              <w:spacing w:before="0" w:after="0"/>
              <w:jc w:val="center"/>
              <w:rPr>
                <w:rFonts w:eastAsia="Times New Roman"/>
                <w:kern w:val="0"/>
                <w:sz w:val="21"/>
                <w:szCs w:val="21"/>
                <w:lang w:val="zh-CN"/>
              </w:rPr>
            </w:pPr>
            <w:r>
              <w:rPr>
                <w:rFonts w:eastAsia="Times New Roman"/>
                <w:kern w:val="0"/>
                <w:sz w:val="21"/>
                <w:szCs w:val="21"/>
                <w:lang w:val="en-GB"/>
              </w:rPr>
              <w:t>2-3</w:t>
            </w:r>
            <w:r>
              <w:rPr>
                <w:rFonts w:hint="eastAsia" w:ascii="宋体" w:hAnsi="宋体" w:cs="宋体"/>
                <w:kern w:val="0"/>
                <w:sz w:val="21"/>
                <w:szCs w:val="21"/>
                <w:lang w:val="zh-CN"/>
              </w:rPr>
              <w:t>年：</w:t>
            </w:r>
            <w:r>
              <w:rPr>
                <w:rFonts w:eastAsia="Times New Roman"/>
                <w:kern w:val="0"/>
                <w:sz w:val="21"/>
                <w:szCs w:val="21"/>
                <w:lang w:val="en-GB"/>
              </w:rPr>
              <w:t>1,880,000</w:t>
            </w:r>
          </w:p>
          <w:p>
            <w:pPr>
              <w:autoSpaceDE w:val="0"/>
              <w:autoSpaceDN w:val="0"/>
              <w:adjustRightInd w:val="0"/>
              <w:spacing w:before="0" w:after="0"/>
              <w:jc w:val="center"/>
              <w:rPr>
                <w:rFonts w:eastAsia="Times New Roman"/>
                <w:kern w:val="0"/>
                <w:sz w:val="21"/>
                <w:szCs w:val="21"/>
                <w:lang w:val="zh-CN"/>
              </w:rPr>
            </w:pPr>
            <w:r>
              <w:rPr>
                <w:rFonts w:eastAsia="Times New Roman"/>
                <w:kern w:val="0"/>
                <w:sz w:val="21"/>
                <w:szCs w:val="21"/>
                <w:lang w:val="en-GB"/>
              </w:rPr>
              <w:t>3-4</w:t>
            </w:r>
            <w:r>
              <w:rPr>
                <w:rFonts w:hint="eastAsia" w:ascii="宋体" w:hAnsi="宋体" w:cs="宋体"/>
                <w:kern w:val="0"/>
                <w:sz w:val="21"/>
                <w:szCs w:val="21"/>
                <w:lang w:val="zh-CN"/>
              </w:rPr>
              <w:t>年：</w:t>
            </w:r>
            <w:r>
              <w:rPr>
                <w:rFonts w:eastAsia="Times New Roman"/>
                <w:kern w:val="0"/>
                <w:sz w:val="21"/>
                <w:szCs w:val="21"/>
                <w:lang w:val="en-GB"/>
              </w:rPr>
              <w:t>4,461,000</w:t>
            </w:r>
          </w:p>
        </w:tc>
        <w:tc>
          <w:tcPr>
            <w:tcW w:w="1238" w:type="dxa"/>
            <w:tcBorders>
              <w:bottom w:val="single" w:color="auto" w:sz="8" w:space="0"/>
              <w:right w:val="nil"/>
            </w:tcBorders>
          </w:tcPr>
          <w:p>
            <w:pPr>
              <w:autoSpaceDE w:val="0"/>
              <w:autoSpaceDN w:val="0"/>
              <w:adjustRightInd w:val="0"/>
              <w:spacing w:before="0" w:after="0"/>
              <w:jc w:val="center"/>
              <w:rPr>
                <w:rFonts w:eastAsia="Times New Roman"/>
                <w:kern w:val="0"/>
                <w:sz w:val="21"/>
                <w:szCs w:val="21"/>
                <w:lang w:val="zh-CN"/>
              </w:rPr>
            </w:pPr>
            <w:r>
              <w:rPr>
                <w:rFonts w:eastAsia="Times New Roman"/>
                <w:kern w:val="0"/>
                <w:sz w:val="21"/>
                <w:szCs w:val="21"/>
                <w:lang w:val="en-GB"/>
              </w:rPr>
              <w:t>7.04</w:t>
            </w:r>
          </w:p>
        </w:tc>
        <w:tc>
          <w:tcPr>
            <w:tcW w:w="1636" w:type="dxa"/>
            <w:tcBorders>
              <w:top w:val="single" w:color="auto" w:sz="8" w:space="0"/>
              <w:bottom w:val="single" w:color="auto" w:sz="8" w:space="0"/>
              <w:right w:val="single" w:color="auto" w:sz="8" w:space="0"/>
            </w:tcBorders>
          </w:tcPr>
          <w:p>
            <w:pPr>
              <w:autoSpaceDE w:val="0"/>
              <w:autoSpaceDN w:val="0"/>
              <w:adjustRightInd w:val="0"/>
              <w:spacing w:before="0" w:after="0"/>
              <w:jc w:val="right"/>
              <w:rPr>
                <w:rFonts w:eastAsia="Times New Roman"/>
                <w:kern w:val="0"/>
                <w:sz w:val="21"/>
                <w:szCs w:val="21"/>
                <w:lang w:val="zh-CN"/>
              </w:rPr>
            </w:pPr>
            <w:r>
              <w:rPr>
                <w:rFonts w:eastAsia="Times New Roman"/>
                <w:kern w:val="0"/>
                <w:sz w:val="21"/>
                <w:szCs w:val="21"/>
                <w:lang w:val="en-GB"/>
              </w:rPr>
              <w:t>3,249,700.00</w:t>
            </w:r>
          </w:p>
        </w:tc>
      </w:tr>
      <w:tr>
        <w:tblPrEx>
          <w:tblBorders>
            <w:top w:val="single" w:color="auto" w:sz="6" w:space="0"/>
            <w:left w:val="single" w:color="auto" w:sz="6" w:space="0"/>
            <w:bottom w:val="single" w:color="auto" w:sz="8" w:space="0"/>
            <w:right w:val="none" w:color="auto" w:sz="0" w:space="0"/>
            <w:insideH w:val="single" w:color="auto" w:sz="6" w:space="0"/>
            <w:insideV w:val="single" w:color="auto" w:sz="6" w:space="0"/>
          </w:tblBorders>
          <w:tblLayout w:type="fixed"/>
          <w:tblCellMar>
            <w:top w:w="10" w:type="dxa"/>
            <w:left w:w="10" w:type="dxa"/>
            <w:bottom w:w="10" w:type="dxa"/>
            <w:right w:w="10" w:type="dxa"/>
          </w:tblCellMar>
        </w:tblPrEx>
        <w:tc>
          <w:tcPr>
            <w:tcW w:w="2276" w:type="dxa"/>
            <w:tcBorders>
              <w:bottom w:val="single" w:color="auto" w:sz="8" w:space="0"/>
              <w:right w:val="nil"/>
            </w:tcBorders>
          </w:tcPr>
          <w:p>
            <w:pPr>
              <w:autoSpaceDE w:val="0"/>
              <w:autoSpaceDN w:val="0"/>
              <w:adjustRightInd w:val="0"/>
              <w:spacing w:before="0" w:after="0"/>
              <w:rPr>
                <w:rFonts w:eastAsia="Times New Roman"/>
                <w:kern w:val="0"/>
                <w:sz w:val="21"/>
                <w:szCs w:val="21"/>
                <w:lang w:val="zh-CN"/>
              </w:rPr>
            </w:pPr>
            <w:r>
              <w:rPr>
                <w:rFonts w:hint="eastAsia" w:ascii="宋体" w:hAnsi="宋体" w:cs="宋体"/>
                <w:kern w:val="0"/>
                <w:sz w:val="21"/>
                <w:szCs w:val="21"/>
                <w:lang w:val="zh-CN"/>
              </w:rPr>
              <w:t>客户四</w:t>
            </w:r>
          </w:p>
        </w:tc>
        <w:tc>
          <w:tcPr>
            <w:tcW w:w="1885" w:type="dxa"/>
            <w:tcBorders>
              <w:bottom w:val="single" w:color="auto" w:sz="8" w:space="0"/>
              <w:right w:val="nil"/>
            </w:tcBorders>
          </w:tcPr>
          <w:p>
            <w:pPr>
              <w:autoSpaceDE w:val="0"/>
              <w:autoSpaceDN w:val="0"/>
              <w:adjustRightInd w:val="0"/>
              <w:spacing w:before="0" w:after="0"/>
              <w:jc w:val="right"/>
              <w:rPr>
                <w:rFonts w:eastAsia="Times New Roman"/>
                <w:kern w:val="0"/>
                <w:sz w:val="21"/>
                <w:szCs w:val="21"/>
                <w:lang w:val="zh-CN"/>
              </w:rPr>
            </w:pPr>
            <w:r>
              <w:rPr>
                <w:rFonts w:eastAsia="Times New Roman"/>
                <w:kern w:val="0"/>
                <w:sz w:val="21"/>
                <w:szCs w:val="21"/>
                <w:lang w:val="en-GB"/>
              </w:rPr>
              <w:t>7,665,500.00</w:t>
            </w:r>
          </w:p>
        </w:tc>
        <w:tc>
          <w:tcPr>
            <w:tcW w:w="2623" w:type="dxa"/>
            <w:tcBorders>
              <w:bottom w:val="single" w:color="auto" w:sz="8" w:space="0"/>
              <w:right w:val="nil"/>
            </w:tcBorders>
          </w:tcPr>
          <w:p>
            <w:pPr>
              <w:autoSpaceDE w:val="0"/>
              <w:autoSpaceDN w:val="0"/>
              <w:adjustRightInd w:val="0"/>
              <w:spacing w:before="0" w:after="0"/>
              <w:jc w:val="center"/>
              <w:rPr>
                <w:rFonts w:eastAsia="Times New Roman"/>
                <w:kern w:val="0"/>
                <w:sz w:val="21"/>
                <w:szCs w:val="21"/>
                <w:lang w:val="zh-CN"/>
              </w:rPr>
            </w:pPr>
            <w:r>
              <w:rPr>
                <w:rFonts w:eastAsia="Times New Roman"/>
                <w:kern w:val="0"/>
                <w:sz w:val="21"/>
                <w:szCs w:val="21"/>
                <w:lang w:val="en-GB"/>
              </w:rPr>
              <w:t>1</w:t>
            </w:r>
            <w:r>
              <w:rPr>
                <w:rFonts w:hint="eastAsia" w:ascii="宋体" w:hAnsi="宋体" w:cs="宋体"/>
                <w:kern w:val="0"/>
                <w:sz w:val="21"/>
                <w:szCs w:val="21"/>
                <w:lang w:val="zh-CN"/>
              </w:rPr>
              <w:t>年以内</w:t>
            </w:r>
          </w:p>
        </w:tc>
        <w:tc>
          <w:tcPr>
            <w:tcW w:w="1238" w:type="dxa"/>
            <w:tcBorders>
              <w:bottom w:val="single" w:color="auto" w:sz="8" w:space="0"/>
              <w:right w:val="nil"/>
            </w:tcBorders>
          </w:tcPr>
          <w:p>
            <w:pPr>
              <w:autoSpaceDE w:val="0"/>
              <w:autoSpaceDN w:val="0"/>
              <w:adjustRightInd w:val="0"/>
              <w:spacing w:before="0" w:after="0"/>
              <w:jc w:val="center"/>
              <w:rPr>
                <w:rFonts w:eastAsia="Times New Roman"/>
                <w:kern w:val="0"/>
                <w:sz w:val="21"/>
                <w:szCs w:val="21"/>
                <w:lang w:val="zh-CN"/>
              </w:rPr>
            </w:pPr>
            <w:r>
              <w:rPr>
                <w:rFonts w:eastAsia="Times New Roman"/>
                <w:kern w:val="0"/>
                <w:sz w:val="21"/>
                <w:szCs w:val="21"/>
                <w:lang w:val="en-GB"/>
              </w:rPr>
              <w:t>4.39</w:t>
            </w:r>
          </w:p>
        </w:tc>
        <w:tc>
          <w:tcPr>
            <w:tcW w:w="1636" w:type="dxa"/>
            <w:tcBorders>
              <w:top w:val="single" w:color="auto" w:sz="8" w:space="0"/>
              <w:bottom w:val="single" w:color="auto" w:sz="8" w:space="0"/>
              <w:right w:val="single" w:color="auto" w:sz="8" w:space="0"/>
            </w:tcBorders>
          </w:tcPr>
          <w:p>
            <w:pPr>
              <w:autoSpaceDE w:val="0"/>
              <w:autoSpaceDN w:val="0"/>
              <w:adjustRightInd w:val="0"/>
              <w:spacing w:before="0" w:after="0"/>
              <w:jc w:val="right"/>
              <w:rPr>
                <w:rFonts w:eastAsia="Times New Roman"/>
                <w:kern w:val="0"/>
                <w:sz w:val="21"/>
                <w:szCs w:val="21"/>
                <w:lang w:val="zh-CN"/>
              </w:rPr>
            </w:pPr>
            <w:r>
              <w:rPr>
                <w:rFonts w:eastAsia="Times New Roman"/>
                <w:kern w:val="0"/>
                <w:sz w:val="21"/>
                <w:szCs w:val="21"/>
                <w:lang w:val="en-GB"/>
              </w:rPr>
              <w:t>383,275.00</w:t>
            </w:r>
          </w:p>
        </w:tc>
      </w:tr>
      <w:tr>
        <w:tblPrEx>
          <w:tblBorders>
            <w:top w:val="single" w:color="auto" w:sz="6" w:space="0"/>
            <w:left w:val="single" w:color="auto" w:sz="6" w:space="0"/>
            <w:bottom w:val="single" w:color="auto" w:sz="8" w:space="0"/>
            <w:right w:val="none" w:color="auto" w:sz="0" w:space="0"/>
            <w:insideH w:val="single" w:color="auto" w:sz="6" w:space="0"/>
            <w:insideV w:val="single" w:color="auto" w:sz="6" w:space="0"/>
          </w:tblBorders>
          <w:tblLayout w:type="fixed"/>
          <w:tblCellMar>
            <w:top w:w="10" w:type="dxa"/>
            <w:left w:w="10" w:type="dxa"/>
            <w:bottom w:w="10" w:type="dxa"/>
            <w:right w:w="10" w:type="dxa"/>
          </w:tblCellMar>
        </w:tblPrEx>
        <w:tc>
          <w:tcPr>
            <w:tcW w:w="2276" w:type="dxa"/>
            <w:tcBorders>
              <w:bottom w:val="single" w:color="auto" w:sz="8" w:space="0"/>
              <w:right w:val="nil"/>
            </w:tcBorders>
          </w:tcPr>
          <w:p>
            <w:pPr>
              <w:autoSpaceDE w:val="0"/>
              <w:autoSpaceDN w:val="0"/>
              <w:adjustRightInd w:val="0"/>
              <w:spacing w:before="0" w:after="0"/>
              <w:rPr>
                <w:rFonts w:eastAsia="Times New Roman"/>
                <w:kern w:val="0"/>
                <w:sz w:val="21"/>
                <w:szCs w:val="21"/>
                <w:lang w:val="zh-CN"/>
              </w:rPr>
            </w:pPr>
            <w:r>
              <w:rPr>
                <w:rFonts w:hint="eastAsia" w:ascii="宋体" w:hAnsi="宋体" w:cs="宋体"/>
                <w:kern w:val="0"/>
                <w:sz w:val="21"/>
                <w:szCs w:val="21"/>
                <w:lang w:val="zh-CN"/>
              </w:rPr>
              <w:t>客户五</w:t>
            </w:r>
          </w:p>
        </w:tc>
        <w:tc>
          <w:tcPr>
            <w:tcW w:w="1885" w:type="dxa"/>
            <w:tcBorders>
              <w:bottom w:val="single" w:color="auto" w:sz="8" w:space="0"/>
              <w:right w:val="nil"/>
            </w:tcBorders>
          </w:tcPr>
          <w:p>
            <w:pPr>
              <w:autoSpaceDE w:val="0"/>
              <w:autoSpaceDN w:val="0"/>
              <w:adjustRightInd w:val="0"/>
              <w:spacing w:before="0" w:after="0"/>
              <w:jc w:val="right"/>
              <w:rPr>
                <w:rFonts w:eastAsia="Times New Roman"/>
                <w:kern w:val="0"/>
                <w:sz w:val="21"/>
                <w:szCs w:val="21"/>
                <w:lang w:val="zh-CN"/>
              </w:rPr>
            </w:pPr>
            <w:r>
              <w:rPr>
                <w:rFonts w:eastAsia="Times New Roman"/>
                <w:kern w:val="0"/>
                <w:sz w:val="21"/>
                <w:szCs w:val="21"/>
                <w:lang w:val="en-GB"/>
              </w:rPr>
              <w:t>7,332,392.15</w:t>
            </w:r>
          </w:p>
        </w:tc>
        <w:tc>
          <w:tcPr>
            <w:tcW w:w="2623" w:type="dxa"/>
            <w:tcBorders>
              <w:bottom w:val="single" w:color="auto" w:sz="8" w:space="0"/>
              <w:right w:val="nil"/>
            </w:tcBorders>
          </w:tcPr>
          <w:p>
            <w:pPr>
              <w:autoSpaceDE w:val="0"/>
              <w:autoSpaceDN w:val="0"/>
              <w:adjustRightInd w:val="0"/>
              <w:spacing w:before="0" w:after="0"/>
              <w:jc w:val="center"/>
              <w:rPr>
                <w:rFonts w:eastAsia="Times New Roman"/>
                <w:kern w:val="0"/>
                <w:sz w:val="21"/>
                <w:szCs w:val="21"/>
                <w:lang w:val="zh-CN"/>
              </w:rPr>
            </w:pPr>
            <w:r>
              <w:rPr>
                <w:rFonts w:eastAsia="Times New Roman"/>
                <w:kern w:val="0"/>
                <w:sz w:val="21"/>
                <w:szCs w:val="21"/>
                <w:lang w:val="en-GB"/>
              </w:rPr>
              <w:t>1</w:t>
            </w:r>
            <w:r>
              <w:rPr>
                <w:rFonts w:hint="eastAsia" w:ascii="宋体" w:hAnsi="宋体" w:cs="宋体"/>
                <w:kern w:val="0"/>
                <w:sz w:val="21"/>
                <w:szCs w:val="21"/>
                <w:lang w:val="zh-CN"/>
              </w:rPr>
              <w:t>年以内</w:t>
            </w:r>
          </w:p>
        </w:tc>
        <w:tc>
          <w:tcPr>
            <w:tcW w:w="1238" w:type="dxa"/>
            <w:tcBorders>
              <w:bottom w:val="single" w:color="auto" w:sz="8" w:space="0"/>
              <w:right w:val="nil"/>
            </w:tcBorders>
          </w:tcPr>
          <w:p>
            <w:pPr>
              <w:autoSpaceDE w:val="0"/>
              <w:autoSpaceDN w:val="0"/>
              <w:adjustRightInd w:val="0"/>
              <w:spacing w:before="0" w:after="0"/>
              <w:jc w:val="center"/>
              <w:rPr>
                <w:rFonts w:eastAsia="Times New Roman"/>
                <w:kern w:val="0"/>
                <w:sz w:val="21"/>
                <w:szCs w:val="21"/>
                <w:lang w:val="zh-CN"/>
              </w:rPr>
            </w:pPr>
            <w:r>
              <w:rPr>
                <w:rFonts w:eastAsia="Times New Roman"/>
                <w:kern w:val="0"/>
                <w:sz w:val="21"/>
                <w:szCs w:val="21"/>
                <w:lang w:val="en-GB"/>
              </w:rPr>
              <w:t xml:space="preserve">4.20 </w:t>
            </w:r>
          </w:p>
        </w:tc>
        <w:tc>
          <w:tcPr>
            <w:tcW w:w="1636" w:type="dxa"/>
            <w:tcBorders>
              <w:top w:val="single" w:color="auto" w:sz="8" w:space="0"/>
              <w:bottom w:val="single" w:color="auto" w:sz="8" w:space="0"/>
              <w:right w:val="single" w:color="auto" w:sz="8" w:space="0"/>
            </w:tcBorders>
          </w:tcPr>
          <w:p>
            <w:pPr>
              <w:autoSpaceDE w:val="0"/>
              <w:autoSpaceDN w:val="0"/>
              <w:adjustRightInd w:val="0"/>
              <w:spacing w:before="0" w:after="0"/>
              <w:jc w:val="right"/>
              <w:rPr>
                <w:rFonts w:eastAsia="Times New Roman"/>
                <w:kern w:val="0"/>
                <w:sz w:val="21"/>
                <w:szCs w:val="21"/>
                <w:lang w:val="zh-CN"/>
              </w:rPr>
            </w:pPr>
            <w:r>
              <w:rPr>
                <w:rFonts w:hint="eastAsia" w:ascii="宋体" w:hAnsi="宋体" w:cs="宋体"/>
                <w:kern w:val="0"/>
                <w:sz w:val="21"/>
                <w:szCs w:val="21"/>
                <w:lang w:val="zh-CN"/>
              </w:rPr>
              <w:t>　</w:t>
            </w:r>
          </w:p>
        </w:tc>
      </w:tr>
      <w:tr>
        <w:tblPrEx>
          <w:tblBorders>
            <w:top w:val="single" w:color="auto" w:sz="6" w:space="0"/>
            <w:left w:val="single" w:color="auto" w:sz="6" w:space="0"/>
            <w:bottom w:val="single" w:color="auto" w:sz="8" w:space="0"/>
            <w:right w:val="none" w:color="auto" w:sz="0" w:space="0"/>
            <w:insideH w:val="single" w:color="auto" w:sz="6" w:space="0"/>
            <w:insideV w:val="single" w:color="auto" w:sz="6" w:space="0"/>
          </w:tblBorders>
          <w:tblLayout w:type="fixed"/>
          <w:tblCellMar>
            <w:top w:w="10" w:type="dxa"/>
            <w:left w:w="10" w:type="dxa"/>
            <w:bottom w:w="10" w:type="dxa"/>
            <w:right w:w="10" w:type="dxa"/>
          </w:tblCellMar>
        </w:tblPrEx>
        <w:tc>
          <w:tcPr>
            <w:tcW w:w="2276" w:type="dxa"/>
            <w:tcBorders>
              <w:bottom w:val="single" w:color="auto" w:sz="8" w:space="0"/>
              <w:right w:val="nil"/>
            </w:tcBorders>
          </w:tcPr>
          <w:p>
            <w:pPr>
              <w:autoSpaceDE w:val="0"/>
              <w:autoSpaceDN w:val="0"/>
              <w:adjustRightInd w:val="0"/>
              <w:spacing w:before="0" w:after="0"/>
              <w:rPr>
                <w:rFonts w:eastAsia="Times New Roman"/>
                <w:b/>
                <w:kern w:val="0"/>
                <w:sz w:val="21"/>
                <w:szCs w:val="21"/>
                <w:lang w:val="zh-CN"/>
              </w:rPr>
            </w:pPr>
            <w:r>
              <w:rPr>
                <w:rFonts w:hint="eastAsia" w:ascii="宋体" w:hAnsi="宋体" w:cs="宋体"/>
                <w:b/>
                <w:kern w:val="0"/>
                <w:sz w:val="21"/>
                <w:szCs w:val="21"/>
                <w:lang w:val="zh-CN"/>
              </w:rPr>
              <w:t>合计</w:t>
            </w:r>
          </w:p>
        </w:tc>
        <w:tc>
          <w:tcPr>
            <w:tcW w:w="1885" w:type="dxa"/>
            <w:tcBorders>
              <w:bottom w:val="single" w:color="auto" w:sz="8" w:space="0"/>
              <w:right w:val="nil"/>
            </w:tcBorders>
          </w:tcPr>
          <w:p>
            <w:pPr>
              <w:autoSpaceDE w:val="0"/>
              <w:autoSpaceDN w:val="0"/>
              <w:adjustRightInd w:val="0"/>
              <w:spacing w:before="0" w:after="0"/>
              <w:jc w:val="right"/>
              <w:rPr>
                <w:rFonts w:eastAsia="Times New Roman"/>
                <w:b/>
                <w:kern w:val="0"/>
                <w:sz w:val="21"/>
                <w:szCs w:val="21"/>
                <w:lang w:val="zh-CN"/>
              </w:rPr>
            </w:pPr>
            <w:r>
              <w:rPr>
                <w:rFonts w:eastAsia="Times New Roman"/>
                <w:b/>
                <w:kern w:val="0"/>
                <w:sz w:val="21"/>
                <w:szCs w:val="21"/>
                <w:lang w:val="en-GB"/>
              </w:rPr>
              <w:t>70,401,342.15</w:t>
            </w:r>
          </w:p>
        </w:tc>
        <w:tc>
          <w:tcPr>
            <w:tcW w:w="2623" w:type="dxa"/>
            <w:tcBorders>
              <w:bottom w:val="single" w:color="auto" w:sz="8" w:space="0"/>
              <w:right w:val="nil"/>
            </w:tcBorders>
          </w:tcPr>
          <w:p>
            <w:pPr>
              <w:autoSpaceDE w:val="0"/>
              <w:autoSpaceDN w:val="0"/>
              <w:adjustRightInd w:val="0"/>
              <w:spacing w:before="0" w:after="0"/>
              <w:rPr>
                <w:rFonts w:eastAsia="Times New Roman"/>
                <w:b/>
                <w:kern w:val="0"/>
                <w:sz w:val="21"/>
                <w:szCs w:val="21"/>
                <w:lang w:val="zh-CN"/>
              </w:rPr>
            </w:pPr>
          </w:p>
        </w:tc>
        <w:tc>
          <w:tcPr>
            <w:tcW w:w="1238" w:type="dxa"/>
            <w:tcBorders>
              <w:bottom w:val="single" w:color="auto" w:sz="8" w:space="0"/>
              <w:right w:val="nil"/>
            </w:tcBorders>
          </w:tcPr>
          <w:p>
            <w:pPr>
              <w:autoSpaceDE w:val="0"/>
              <w:autoSpaceDN w:val="0"/>
              <w:adjustRightInd w:val="0"/>
              <w:spacing w:before="0" w:after="0"/>
              <w:jc w:val="center"/>
              <w:rPr>
                <w:rFonts w:eastAsia="Times New Roman"/>
                <w:b/>
                <w:kern w:val="0"/>
                <w:sz w:val="21"/>
                <w:szCs w:val="21"/>
                <w:lang w:val="zh-CN"/>
              </w:rPr>
            </w:pPr>
            <w:r>
              <w:rPr>
                <w:rFonts w:eastAsia="Times New Roman"/>
                <w:b/>
                <w:kern w:val="0"/>
                <w:sz w:val="21"/>
                <w:szCs w:val="21"/>
                <w:lang w:val="en-GB"/>
              </w:rPr>
              <w:t>40.29</w:t>
            </w:r>
          </w:p>
        </w:tc>
        <w:tc>
          <w:tcPr>
            <w:tcW w:w="1636" w:type="dxa"/>
            <w:tcBorders>
              <w:top w:val="single" w:color="auto" w:sz="8" w:space="0"/>
              <w:bottom w:val="single" w:color="auto" w:sz="8" w:space="0"/>
              <w:right w:val="single" w:color="auto" w:sz="8" w:space="0"/>
            </w:tcBorders>
          </w:tcPr>
          <w:p>
            <w:pPr>
              <w:autoSpaceDE w:val="0"/>
              <w:autoSpaceDN w:val="0"/>
              <w:adjustRightInd w:val="0"/>
              <w:spacing w:before="0" w:after="0"/>
              <w:jc w:val="right"/>
              <w:rPr>
                <w:rFonts w:eastAsia="Times New Roman"/>
                <w:b/>
                <w:kern w:val="0"/>
                <w:sz w:val="21"/>
                <w:szCs w:val="21"/>
                <w:lang w:val="zh-CN"/>
              </w:rPr>
            </w:pPr>
            <w:r>
              <w:rPr>
                <w:rFonts w:eastAsia="Times New Roman"/>
                <w:b/>
                <w:kern w:val="0"/>
                <w:sz w:val="21"/>
                <w:szCs w:val="21"/>
                <w:lang w:val="en-GB"/>
              </w:rPr>
              <w:t>5,788,147.50</w:t>
            </w:r>
          </w:p>
        </w:tc>
      </w:tr>
    </w:tbl>
    <w:p>
      <w:pPr>
        <w:jc w:val="left"/>
        <w:rPr>
          <w:sz w:val="21"/>
          <w:szCs w:val="21"/>
        </w:rPr>
      </w:pPr>
      <w:r>
        <w:rPr>
          <w:rFonts w:hint="eastAsia"/>
          <w:sz w:val="21"/>
          <w:szCs w:val="21"/>
        </w:rPr>
        <w:t>注：按欠款方集中度，汇总或分别披露期末余额前五名的应收账款的期末余额及占应收账款期末余额合计数的比例，以及相应计提的坏账准备期末余额。</w:t>
      </w:r>
    </w:p>
    <w:p>
      <w:pPr>
        <w:pStyle w:val="11"/>
        <w:outlineLvl w:val="2"/>
        <w:rPr>
          <w:bCs w:val="0"/>
          <w:szCs w:val="24"/>
        </w:rPr>
      </w:pPr>
      <w:r>
        <w:rPr>
          <w:bCs w:val="0"/>
          <w:szCs w:val="24"/>
        </w:rPr>
        <w:t>2</w:t>
      </w:r>
      <w:r>
        <w:rPr>
          <w:rFonts w:hint="eastAsia"/>
          <w:bCs w:val="0"/>
          <w:szCs w:val="24"/>
        </w:rPr>
        <w:t>、其他应收款</w:t>
      </w:r>
    </w:p>
    <w:p>
      <w:pPr>
        <w:pStyle w:val="11"/>
        <w:outlineLvl w:val="3"/>
        <w:rPr>
          <w:bCs w:val="0"/>
          <w:szCs w:val="24"/>
        </w:rPr>
      </w:pPr>
      <w:r>
        <w:rPr>
          <w:rFonts w:hint="eastAsia"/>
          <w:bCs w:val="0"/>
          <w:szCs w:val="24"/>
        </w:rPr>
        <w:t>（</w:t>
      </w:r>
      <w:r>
        <w:rPr>
          <w:bCs w:val="0"/>
          <w:szCs w:val="24"/>
        </w:rPr>
        <w:t>1</w:t>
      </w:r>
      <w:r>
        <w:rPr>
          <w:rFonts w:hint="eastAsia"/>
          <w:bCs w:val="0"/>
          <w:szCs w:val="24"/>
        </w:rPr>
        <w:t>）其他应收款分类披露</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694" w:type="dxa"/>
        <w:tblInd w:w="0" w:type="dxa"/>
        <w:tblLayout w:type="fixed"/>
        <w:tblCellMar>
          <w:top w:w="0" w:type="dxa"/>
          <w:left w:w="28" w:type="dxa"/>
          <w:bottom w:w="0" w:type="dxa"/>
          <w:right w:w="28" w:type="dxa"/>
        </w:tblCellMar>
      </w:tblPr>
      <w:tblGrid>
        <w:gridCol w:w="1472"/>
        <w:gridCol w:w="976"/>
        <w:gridCol w:w="630"/>
        <w:gridCol w:w="896"/>
        <w:gridCol w:w="548"/>
        <w:gridCol w:w="976"/>
        <w:gridCol w:w="976"/>
        <w:gridCol w:w="630"/>
        <w:gridCol w:w="896"/>
        <w:gridCol w:w="718"/>
        <w:gridCol w:w="976"/>
      </w:tblGrid>
      <w:tr>
        <w:tblPrEx>
          <w:tblLayout w:type="fixed"/>
          <w:tblCellMar>
            <w:top w:w="0" w:type="dxa"/>
            <w:left w:w="28" w:type="dxa"/>
            <w:bottom w:w="0" w:type="dxa"/>
            <w:right w:w="28" w:type="dxa"/>
          </w:tblCellMar>
        </w:tblPrEx>
        <w:tc>
          <w:tcPr>
            <w:tcW w:w="1472"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类别</w:t>
            </w:r>
          </w:p>
        </w:tc>
        <w:tc>
          <w:tcPr>
            <w:tcW w:w="4026" w:type="dxa"/>
            <w:gridSpan w:val="5"/>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c>
          <w:tcPr>
            <w:tcW w:w="4196" w:type="dxa"/>
            <w:gridSpan w:val="5"/>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期初余额</w:t>
            </w:r>
          </w:p>
        </w:tc>
      </w:tr>
      <w:tr>
        <w:tblPrEx>
          <w:tblLayout w:type="fixed"/>
          <w:tblCellMar>
            <w:top w:w="0" w:type="dxa"/>
            <w:left w:w="28" w:type="dxa"/>
            <w:bottom w:w="0" w:type="dxa"/>
            <w:right w:w="28" w:type="dxa"/>
          </w:tblCellMar>
        </w:tblPrEx>
        <w:tc>
          <w:tcPr>
            <w:tcW w:w="1472"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606"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账面余额</w:t>
            </w:r>
          </w:p>
        </w:tc>
        <w:tc>
          <w:tcPr>
            <w:tcW w:w="1444"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坏账准备</w:t>
            </w:r>
          </w:p>
        </w:tc>
        <w:tc>
          <w:tcPr>
            <w:tcW w:w="976"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账面价值</w:t>
            </w:r>
          </w:p>
        </w:tc>
        <w:tc>
          <w:tcPr>
            <w:tcW w:w="1606"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账面余额</w:t>
            </w:r>
          </w:p>
        </w:tc>
        <w:tc>
          <w:tcPr>
            <w:tcW w:w="1614"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坏账准备</w:t>
            </w:r>
          </w:p>
        </w:tc>
        <w:tc>
          <w:tcPr>
            <w:tcW w:w="976"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账面价值</w:t>
            </w:r>
          </w:p>
        </w:tc>
      </w:tr>
      <w:tr>
        <w:tblPrEx>
          <w:tblLayout w:type="fixed"/>
          <w:tblCellMar>
            <w:top w:w="0" w:type="dxa"/>
            <w:left w:w="28" w:type="dxa"/>
            <w:bottom w:w="0" w:type="dxa"/>
            <w:right w:w="28" w:type="dxa"/>
          </w:tblCellMar>
        </w:tblPrEx>
        <w:tc>
          <w:tcPr>
            <w:tcW w:w="1472"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97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金额</w:t>
            </w:r>
          </w:p>
        </w:tc>
        <w:tc>
          <w:tcPr>
            <w:tcW w:w="63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比例</w:t>
            </w:r>
          </w:p>
        </w:tc>
        <w:tc>
          <w:tcPr>
            <w:tcW w:w="89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金额</w:t>
            </w:r>
          </w:p>
        </w:tc>
        <w:tc>
          <w:tcPr>
            <w:tcW w:w="548"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计提比例</w:t>
            </w:r>
          </w:p>
        </w:tc>
        <w:tc>
          <w:tcPr>
            <w:tcW w:w="976"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97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金额</w:t>
            </w:r>
          </w:p>
        </w:tc>
        <w:tc>
          <w:tcPr>
            <w:tcW w:w="63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比例</w:t>
            </w:r>
          </w:p>
        </w:tc>
        <w:tc>
          <w:tcPr>
            <w:tcW w:w="89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金额</w:t>
            </w:r>
          </w:p>
        </w:tc>
        <w:tc>
          <w:tcPr>
            <w:tcW w:w="718"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计提比例</w:t>
            </w:r>
          </w:p>
        </w:tc>
        <w:tc>
          <w:tcPr>
            <w:tcW w:w="976"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r>
      <w:tr>
        <w:tblPrEx>
          <w:tblLayout w:type="fixed"/>
          <w:tblCellMar>
            <w:top w:w="0" w:type="dxa"/>
            <w:left w:w="28" w:type="dxa"/>
            <w:bottom w:w="0" w:type="dxa"/>
            <w:right w:w="28" w:type="dxa"/>
          </w:tblCellMar>
        </w:tblPrEx>
        <w:tc>
          <w:tcPr>
            <w:tcW w:w="147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16"/>
                <w:szCs w:val="16"/>
              </w:rPr>
            </w:pPr>
            <w:r>
              <w:rPr>
                <w:rFonts w:hint="eastAsia"/>
                <w:sz w:val="16"/>
                <w:szCs w:val="16"/>
              </w:rPr>
              <w:t>按信用风险特征组合计提坏账准备的其他应收款</w:t>
            </w:r>
          </w:p>
        </w:tc>
        <w:tc>
          <w:tcPr>
            <w:tcW w:w="9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32,158,328.59</w:t>
            </w:r>
          </w:p>
        </w:tc>
        <w:tc>
          <w:tcPr>
            <w:tcW w:w="63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100.00%</w:t>
            </w:r>
          </w:p>
        </w:tc>
        <w:tc>
          <w:tcPr>
            <w:tcW w:w="89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1,451,707.21</w:t>
            </w:r>
          </w:p>
        </w:tc>
        <w:tc>
          <w:tcPr>
            <w:tcW w:w="54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4.51%</w:t>
            </w:r>
          </w:p>
        </w:tc>
        <w:tc>
          <w:tcPr>
            <w:tcW w:w="9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30,706,621.38</w:t>
            </w:r>
          </w:p>
        </w:tc>
        <w:tc>
          <w:tcPr>
            <w:tcW w:w="9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26,499,510.39</w:t>
            </w:r>
          </w:p>
        </w:tc>
        <w:tc>
          <w:tcPr>
            <w:tcW w:w="63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100.00%</w:t>
            </w:r>
          </w:p>
        </w:tc>
        <w:tc>
          <w:tcPr>
            <w:tcW w:w="89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1,342,651.98</w:t>
            </w:r>
          </w:p>
        </w:tc>
        <w:tc>
          <w:tcPr>
            <w:tcW w:w="71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5.07%</w:t>
            </w:r>
          </w:p>
        </w:tc>
        <w:tc>
          <w:tcPr>
            <w:tcW w:w="9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25,156,858.41</w:t>
            </w:r>
          </w:p>
        </w:tc>
      </w:tr>
      <w:tr>
        <w:tblPrEx>
          <w:tblLayout w:type="fixed"/>
          <w:tblCellMar>
            <w:top w:w="0" w:type="dxa"/>
            <w:left w:w="28" w:type="dxa"/>
            <w:bottom w:w="0" w:type="dxa"/>
            <w:right w:w="28" w:type="dxa"/>
          </w:tblCellMar>
        </w:tblPrEx>
        <w:tc>
          <w:tcPr>
            <w:tcW w:w="147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16"/>
                <w:szCs w:val="16"/>
              </w:rPr>
            </w:pPr>
            <w:r>
              <w:rPr>
                <w:rFonts w:hint="eastAsia"/>
                <w:sz w:val="16"/>
                <w:szCs w:val="16"/>
              </w:rPr>
              <w:t>合计</w:t>
            </w:r>
          </w:p>
        </w:tc>
        <w:tc>
          <w:tcPr>
            <w:tcW w:w="9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32,158,328.59</w:t>
            </w:r>
          </w:p>
        </w:tc>
        <w:tc>
          <w:tcPr>
            <w:tcW w:w="63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100.00%</w:t>
            </w:r>
          </w:p>
        </w:tc>
        <w:tc>
          <w:tcPr>
            <w:tcW w:w="89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1,451,707.21</w:t>
            </w:r>
          </w:p>
        </w:tc>
        <w:tc>
          <w:tcPr>
            <w:tcW w:w="54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4.51%</w:t>
            </w:r>
          </w:p>
        </w:tc>
        <w:tc>
          <w:tcPr>
            <w:tcW w:w="976" w:type="dxa"/>
            <w:tcBorders>
              <w:top w:val="single" w:color="auto" w:sz="4" w:space="0"/>
              <w:left w:val="single" w:color="auto" w:sz="4" w:space="0"/>
              <w:bottom w:val="single" w:color="auto" w:sz="4" w:space="0"/>
              <w:right w:val="single" w:color="auto" w:sz="4" w:space="0"/>
            </w:tcBorders>
            <w:vAlign w:val="center"/>
          </w:tcPr>
          <w:p>
            <w:pPr>
              <w:jc w:val="right"/>
              <w:rPr>
                <w:sz w:val="16"/>
                <w:szCs w:val="16"/>
              </w:rPr>
            </w:pPr>
            <w:r>
              <w:rPr>
                <w:sz w:val="16"/>
                <w:szCs w:val="16"/>
              </w:rPr>
              <w:t>30,706,621.38</w:t>
            </w:r>
          </w:p>
        </w:tc>
        <w:tc>
          <w:tcPr>
            <w:tcW w:w="97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26,499,510.39</w:t>
            </w:r>
          </w:p>
        </w:tc>
        <w:tc>
          <w:tcPr>
            <w:tcW w:w="63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100.00%</w:t>
            </w:r>
          </w:p>
        </w:tc>
        <w:tc>
          <w:tcPr>
            <w:tcW w:w="89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1,342,651.98</w:t>
            </w:r>
          </w:p>
        </w:tc>
        <w:tc>
          <w:tcPr>
            <w:tcW w:w="71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16"/>
                <w:szCs w:val="16"/>
              </w:rPr>
            </w:pPr>
            <w:r>
              <w:rPr>
                <w:sz w:val="16"/>
                <w:szCs w:val="16"/>
              </w:rPr>
              <w:t>5.07%</w:t>
            </w:r>
          </w:p>
        </w:tc>
        <w:tc>
          <w:tcPr>
            <w:tcW w:w="976" w:type="dxa"/>
            <w:tcBorders>
              <w:top w:val="single" w:color="auto" w:sz="4" w:space="0"/>
              <w:left w:val="single" w:color="auto" w:sz="4" w:space="0"/>
              <w:bottom w:val="single" w:color="auto" w:sz="4" w:space="0"/>
              <w:right w:val="single" w:color="auto" w:sz="4" w:space="0"/>
            </w:tcBorders>
            <w:vAlign w:val="center"/>
          </w:tcPr>
          <w:p>
            <w:pPr>
              <w:jc w:val="right"/>
              <w:rPr>
                <w:sz w:val="16"/>
                <w:szCs w:val="16"/>
              </w:rPr>
            </w:pPr>
            <w:r>
              <w:rPr>
                <w:sz w:val="16"/>
                <w:szCs w:val="16"/>
              </w:rPr>
              <w:t>25,156,858.41</w:t>
            </w:r>
          </w:p>
        </w:tc>
      </w:tr>
    </w:tbl>
    <w:p>
      <w:pPr>
        <w:jc w:val="left"/>
        <w:rPr>
          <w:sz w:val="21"/>
          <w:szCs w:val="21"/>
        </w:rPr>
      </w:pPr>
      <w:r>
        <w:rPr>
          <w:rFonts w:hint="eastAsia"/>
          <w:sz w:val="21"/>
          <w:szCs w:val="21"/>
        </w:rPr>
        <w:t>期末单项金额重大并单项计提坏账准备的其他应收款：</w:t>
      </w:r>
    </w:p>
    <w:p>
      <w:pPr>
        <w:jc w:val="left"/>
        <w:rPr>
          <w:sz w:val="21"/>
          <w:szCs w:val="21"/>
        </w:rPr>
      </w:pPr>
      <w:r>
        <w:rPr>
          <w:sz w:val="21"/>
          <w:szCs w:val="21"/>
        </w:rPr>
        <w:t xml:space="preserve">□ </w:t>
      </w:r>
      <w:r>
        <w:rPr>
          <w:rFonts w:hint="eastAsia"/>
          <w:sz w:val="21"/>
          <w:szCs w:val="21"/>
        </w:rPr>
        <w:t>适用</w:t>
      </w:r>
      <w:r>
        <w:rPr>
          <w:sz w:val="21"/>
          <w:szCs w:val="21"/>
        </w:rPr>
        <w:t xml:space="preserve"> √ </w:t>
      </w:r>
      <w:r>
        <w:rPr>
          <w:rFonts w:hint="eastAsia"/>
          <w:sz w:val="21"/>
          <w:szCs w:val="21"/>
        </w:rPr>
        <w:t>不适用</w:t>
      </w:r>
      <w:r>
        <w:rPr>
          <w:sz w:val="21"/>
          <w:szCs w:val="21"/>
        </w:rPr>
        <w:t xml:space="preserve"> </w:t>
      </w:r>
    </w:p>
    <w:p>
      <w:pPr>
        <w:jc w:val="left"/>
        <w:rPr>
          <w:sz w:val="21"/>
          <w:szCs w:val="21"/>
        </w:rPr>
      </w:pPr>
      <w:r>
        <w:rPr>
          <w:rFonts w:hint="eastAsia"/>
          <w:sz w:val="21"/>
          <w:szCs w:val="21"/>
        </w:rPr>
        <w:t>组合中，按账龄分析法计提坏账准备的其他应收款：</w:t>
      </w:r>
    </w:p>
    <w:p>
      <w:pPr>
        <w:jc w:val="left"/>
        <w:rPr>
          <w:sz w:val="21"/>
          <w:szCs w:val="21"/>
        </w:rPr>
      </w:pPr>
      <w:r>
        <w:rPr>
          <w:sz w:val="21"/>
          <w:szCs w:val="21"/>
        </w:rPr>
        <w:t xml:space="preserve">√ </w:t>
      </w:r>
      <w:r>
        <w:rPr>
          <w:rFonts w:hint="eastAsia"/>
          <w:sz w:val="21"/>
          <w:szCs w:val="21"/>
        </w:rPr>
        <w:t>适用</w:t>
      </w:r>
      <w:r>
        <w:rPr>
          <w:sz w:val="21"/>
          <w:szCs w:val="21"/>
        </w:rPr>
        <w:t xml:space="preserve"> □ </w:t>
      </w:r>
      <w:r>
        <w:rPr>
          <w:rFonts w:hint="eastAsia"/>
          <w:sz w:val="21"/>
          <w:szCs w:val="21"/>
        </w:rPr>
        <w:t>不适用</w:t>
      </w:r>
      <w:r>
        <w:rPr>
          <w:sz w:val="21"/>
          <w:szCs w:val="21"/>
        </w:rPr>
        <w:t xml:space="preserve"> </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568" w:type="dxa"/>
        <w:tblInd w:w="28" w:type="dxa"/>
        <w:tblLayout w:type="fixed"/>
        <w:tblCellMar>
          <w:top w:w="0" w:type="dxa"/>
          <w:left w:w="28" w:type="dxa"/>
          <w:bottom w:w="0" w:type="dxa"/>
          <w:right w:w="28" w:type="dxa"/>
        </w:tblCellMar>
      </w:tblPr>
      <w:tblGrid>
        <w:gridCol w:w="2493"/>
        <w:gridCol w:w="2295"/>
        <w:gridCol w:w="2390"/>
        <w:gridCol w:w="2390"/>
      </w:tblGrid>
      <w:tr>
        <w:tblPrEx>
          <w:tblLayout w:type="fixed"/>
          <w:tblCellMar>
            <w:top w:w="0" w:type="dxa"/>
            <w:left w:w="28" w:type="dxa"/>
            <w:bottom w:w="0" w:type="dxa"/>
            <w:right w:w="28" w:type="dxa"/>
          </w:tblCellMar>
        </w:tblPrEx>
        <w:tc>
          <w:tcPr>
            <w:tcW w:w="2493"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账龄</w:t>
            </w:r>
          </w:p>
        </w:tc>
        <w:tc>
          <w:tcPr>
            <w:tcW w:w="7075" w:type="dxa"/>
            <w:gridSpan w:val="3"/>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r>
      <w:tr>
        <w:tblPrEx>
          <w:tblLayout w:type="fixed"/>
          <w:tblCellMar>
            <w:top w:w="0" w:type="dxa"/>
            <w:left w:w="28" w:type="dxa"/>
            <w:bottom w:w="0" w:type="dxa"/>
            <w:right w:w="28" w:type="dxa"/>
          </w:tblCellMar>
        </w:tblPrEx>
        <w:tc>
          <w:tcPr>
            <w:tcW w:w="2493"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2295"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其他应收款</w:t>
            </w:r>
          </w:p>
        </w:tc>
        <w:tc>
          <w:tcPr>
            <w:tcW w:w="239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坏账准备</w:t>
            </w:r>
          </w:p>
        </w:tc>
        <w:tc>
          <w:tcPr>
            <w:tcW w:w="239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计提比例</w:t>
            </w:r>
          </w:p>
        </w:tc>
      </w:tr>
      <w:tr>
        <w:tblPrEx>
          <w:tblLayout w:type="fixed"/>
          <w:tblCellMar>
            <w:top w:w="0" w:type="dxa"/>
            <w:left w:w="28" w:type="dxa"/>
            <w:bottom w:w="0" w:type="dxa"/>
            <w:right w:w="28" w:type="dxa"/>
          </w:tblCellMar>
        </w:tblPrEx>
        <w:tc>
          <w:tcPr>
            <w:tcW w:w="9568" w:type="dxa"/>
            <w:gridSpan w:val="4"/>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1</w:t>
            </w:r>
            <w:r>
              <w:rPr>
                <w:rFonts w:hint="eastAsia"/>
                <w:sz w:val="21"/>
                <w:szCs w:val="21"/>
              </w:rPr>
              <w:t>年以内分项</w:t>
            </w:r>
          </w:p>
        </w:tc>
      </w:tr>
      <w:tr>
        <w:tblPrEx>
          <w:tblLayout w:type="fixed"/>
          <w:tblCellMar>
            <w:top w:w="0" w:type="dxa"/>
            <w:left w:w="28" w:type="dxa"/>
            <w:bottom w:w="0" w:type="dxa"/>
            <w:right w:w="28" w:type="dxa"/>
          </w:tblCellMar>
        </w:tblPrEx>
        <w:tc>
          <w:tcPr>
            <w:tcW w:w="249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1</w:t>
            </w:r>
            <w:r>
              <w:rPr>
                <w:rFonts w:hint="eastAsia"/>
                <w:sz w:val="21"/>
                <w:szCs w:val="21"/>
              </w:rPr>
              <w:t>年以内小计</w:t>
            </w:r>
          </w:p>
        </w:tc>
        <w:tc>
          <w:tcPr>
            <w:tcW w:w="229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1,506,525.76</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75,326.29</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5.00%</w:t>
            </w:r>
          </w:p>
        </w:tc>
      </w:tr>
      <w:tr>
        <w:tblPrEx>
          <w:tblLayout w:type="fixed"/>
          <w:tblCellMar>
            <w:top w:w="0" w:type="dxa"/>
            <w:left w:w="28" w:type="dxa"/>
            <w:bottom w:w="0" w:type="dxa"/>
            <w:right w:w="28" w:type="dxa"/>
          </w:tblCellMar>
        </w:tblPrEx>
        <w:tc>
          <w:tcPr>
            <w:tcW w:w="249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1</w:t>
            </w:r>
            <w:r>
              <w:rPr>
                <w:rFonts w:hint="eastAsia"/>
                <w:sz w:val="21"/>
                <w:szCs w:val="21"/>
              </w:rPr>
              <w:t>至</w:t>
            </w:r>
            <w:r>
              <w:rPr>
                <w:sz w:val="21"/>
                <w:szCs w:val="21"/>
              </w:rPr>
              <w:t>2</w:t>
            </w:r>
            <w:r>
              <w:rPr>
                <w:rFonts w:hint="eastAsia"/>
                <w:sz w:val="21"/>
                <w:szCs w:val="21"/>
              </w:rPr>
              <w:t>年</w:t>
            </w:r>
          </w:p>
        </w:tc>
        <w:tc>
          <w:tcPr>
            <w:tcW w:w="229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8,937,574.30</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893,757.43</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10.00%</w:t>
            </w:r>
          </w:p>
        </w:tc>
      </w:tr>
      <w:tr>
        <w:tblPrEx>
          <w:tblLayout w:type="fixed"/>
          <w:tblCellMar>
            <w:top w:w="0" w:type="dxa"/>
            <w:left w:w="28" w:type="dxa"/>
            <w:bottom w:w="0" w:type="dxa"/>
            <w:right w:w="28" w:type="dxa"/>
          </w:tblCellMar>
        </w:tblPrEx>
        <w:tc>
          <w:tcPr>
            <w:tcW w:w="249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2</w:t>
            </w:r>
            <w:r>
              <w:rPr>
                <w:rFonts w:hint="eastAsia"/>
                <w:sz w:val="21"/>
                <w:szCs w:val="21"/>
              </w:rPr>
              <w:t>至</w:t>
            </w:r>
            <w:r>
              <w:rPr>
                <w:sz w:val="21"/>
                <w:szCs w:val="21"/>
              </w:rPr>
              <w:t>3</w:t>
            </w:r>
            <w:r>
              <w:rPr>
                <w:rFonts w:hint="eastAsia"/>
                <w:sz w:val="21"/>
                <w:szCs w:val="21"/>
              </w:rPr>
              <w:t>年</w:t>
            </w:r>
          </w:p>
        </w:tc>
        <w:tc>
          <w:tcPr>
            <w:tcW w:w="229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639,414.20</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191,824.26</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30.00%</w:t>
            </w:r>
          </w:p>
        </w:tc>
      </w:tr>
      <w:tr>
        <w:tblPrEx>
          <w:tblLayout w:type="fixed"/>
          <w:tblCellMar>
            <w:top w:w="0" w:type="dxa"/>
            <w:left w:w="28" w:type="dxa"/>
            <w:bottom w:w="0" w:type="dxa"/>
            <w:right w:w="28" w:type="dxa"/>
          </w:tblCellMar>
        </w:tblPrEx>
        <w:tc>
          <w:tcPr>
            <w:tcW w:w="249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3</w:t>
            </w:r>
            <w:r>
              <w:rPr>
                <w:rFonts w:hint="eastAsia"/>
                <w:sz w:val="21"/>
                <w:szCs w:val="21"/>
              </w:rPr>
              <w:t>至</w:t>
            </w:r>
            <w:r>
              <w:rPr>
                <w:sz w:val="21"/>
                <w:szCs w:val="21"/>
              </w:rPr>
              <w:t>4</w:t>
            </w:r>
            <w:r>
              <w:rPr>
                <w:rFonts w:hint="eastAsia"/>
                <w:sz w:val="21"/>
                <w:szCs w:val="21"/>
              </w:rPr>
              <w:t>年</w:t>
            </w:r>
          </w:p>
        </w:tc>
        <w:tc>
          <w:tcPr>
            <w:tcW w:w="229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153,276.00</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76,638.00</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50.00%</w:t>
            </w:r>
          </w:p>
        </w:tc>
      </w:tr>
      <w:tr>
        <w:tblPrEx>
          <w:tblLayout w:type="fixed"/>
          <w:tblCellMar>
            <w:top w:w="0" w:type="dxa"/>
            <w:left w:w="28" w:type="dxa"/>
            <w:bottom w:w="0" w:type="dxa"/>
            <w:right w:w="28" w:type="dxa"/>
          </w:tblCellMar>
        </w:tblPrEx>
        <w:tc>
          <w:tcPr>
            <w:tcW w:w="249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sz w:val="21"/>
                <w:szCs w:val="21"/>
              </w:rPr>
              <w:t>5</w:t>
            </w:r>
            <w:r>
              <w:rPr>
                <w:rFonts w:hint="eastAsia"/>
                <w:sz w:val="21"/>
                <w:szCs w:val="21"/>
              </w:rPr>
              <w:t>年以上</w:t>
            </w:r>
          </w:p>
        </w:tc>
        <w:tc>
          <w:tcPr>
            <w:tcW w:w="229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214,161.23</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214,161.23</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100.00%</w:t>
            </w:r>
          </w:p>
        </w:tc>
      </w:tr>
      <w:tr>
        <w:tblPrEx>
          <w:tblLayout w:type="fixed"/>
          <w:tblCellMar>
            <w:top w:w="0" w:type="dxa"/>
            <w:left w:w="28" w:type="dxa"/>
            <w:bottom w:w="0" w:type="dxa"/>
            <w:right w:w="28" w:type="dxa"/>
          </w:tblCellMar>
        </w:tblPrEx>
        <w:tc>
          <w:tcPr>
            <w:tcW w:w="2493"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229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11,450,951.49</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1,451,707.21</w:t>
            </w:r>
          </w:p>
        </w:tc>
        <w:tc>
          <w:tcPr>
            <w:tcW w:w="239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bl>
    <w:p>
      <w:pPr>
        <w:jc w:val="left"/>
        <w:rPr>
          <w:sz w:val="21"/>
          <w:szCs w:val="21"/>
        </w:rPr>
      </w:pPr>
      <w:r>
        <w:rPr>
          <w:rFonts w:hint="eastAsia"/>
          <w:sz w:val="21"/>
          <w:szCs w:val="21"/>
        </w:rPr>
        <w:t>确定该组合依据的说明：</w:t>
      </w:r>
    </w:p>
    <w:p>
      <w:pPr>
        <w:jc w:val="left"/>
        <w:rPr>
          <w:sz w:val="21"/>
          <w:szCs w:val="21"/>
        </w:rPr>
      </w:pPr>
      <w:r>
        <w:rPr>
          <w:rFonts w:hint="eastAsia"/>
          <w:sz w:val="21"/>
          <w:szCs w:val="21"/>
        </w:rPr>
        <w:t>组合中，采用余额百分比法计提坏账准备的其他应收款：</w:t>
      </w:r>
    </w:p>
    <w:p>
      <w:pPr>
        <w:jc w:val="left"/>
        <w:rPr>
          <w:sz w:val="21"/>
          <w:szCs w:val="21"/>
        </w:rPr>
      </w:pPr>
      <w:r>
        <w:rPr>
          <w:sz w:val="21"/>
          <w:szCs w:val="21"/>
        </w:rPr>
        <w:t xml:space="preserve">□ </w:t>
      </w:r>
      <w:r>
        <w:rPr>
          <w:rFonts w:hint="eastAsia"/>
          <w:sz w:val="21"/>
          <w:szCs w:val="21"/>
        </w:rPr>
        <w:t>适用</w:t>
      </w:r>
      <w:r>
        <w:rPr>
          <w:sz w:val="21"/>
          <w:szCs w:val="21"/>
        </w:rPr>
        <w:t xml:space="preserve"> √ </w:t>
      </w:r>
      <w:r>
        <w:rPr>
          <w:rFonts w:hint="eastAsia"/>
          <w:sz w:val="21"/>
          <w:szCs w:val="21"/>
        </w:rPr>
        <w:t>不适用</w:t>
      </w:r>
      <w:r>
        <w:rPr>
          <w:sz w:val="21"/>
          <w:szCs w:val="21"/>
        </w:rPr>
        <w:t xml:space="preserve"> </w:t>
      </w:r>
    </w:p>
    <w:p>
      <w:pPr>
        <w:jc w:val="left"/>
        <w:rPr>
          <w:sz w:val="21"/>
          <w:szCs w:val="21"/>
        </w:rPr>
      </w:pPr>
      <w:r>
        <w:rPr>
          <w:rFonts w:hint="eastAsia"/>
          <w:sz w:val="21"/>
          <w:szCs w:val="21"/>
        </w:rPr>
        <w:t>组合中，采用其他方法计提坏账准备的其他应收款：</w:t>
      </w:r>
    </w:p>
    <w:p>
      <w:pPr>
        <w:jc w:val="left"/>
        <w:rPr>
          <w:sz w:val="21"/>
          <w:szCs w:val="21"/>
        </w:rPr>
      </w:pPr>
      <w:r>
        <w:rPr>
          <w:sz w:val="21"/>
          <w:szCs w:val="21"/>
        </w:rPr>
        <w:t xml:space="preserve">√ </w:t>
      </w:r>
      <w:r>
        <w:rPr>
          <w:rFonts w:hint="eastAsia"/>
          <w:sz w:val="21"/>
          <w:szCs w:val="21"/>
        </w:rPr>
        <w:t>适用</w:t>
      </w:r>
      <w:r>
        <w:rPr>
          <w:sz w:val="21"/>
          <w:szCs w:val="21"/>
        </w:rPr>
        <w:t xml:space="preserve"> □ </w:t>
      </w:r>
      <w:r>
        <w:rPr>
          <w:rFonts w:hint="eastAsia"/>
          <w:sz w:val="21"/>
          <w:szCs w:val="21"/>
        </w:rPr>
        <w:t>不适用</w:t>
      </w:r>
      <w:r>
        <w:rPr>
          <w:sz w:val="21"/>
          <w:szCs w:val="21"/>
        </w:rPr>
        <w:t xml:space="preserve"> </w:t>
      </w:r>
    </w:p>
    <w:tbl>
      <w:tblPr>
        <w:tblStyle w:val="8"/>
        <w:tblW w:w="9658" w:type="dxa"/>
        <w:tblInd w:w="0" w:type="dxa"/>
        <w:tblBorders>
          <w:top w:val="single" w:color="auto" w:sz="6" w:space="0"/>
          <w:left w:val="single" w:color="auto" w:sz="6" w:space="0"/>
          <w:bottom w:val="single" w:color="auto" w:sz="8" w:space="0"/>
          <w:right w:val="none" w:color="auto" w:sz="0" w:space="0"/>
          <w:insideH w:val="single" w:color="auto" w:sz="6" w:space="0"/>
          <w:insideV w:val="single" w:color="auto" w:sz="6" w:space="0"/>
        </w:tblBorders>
        <w:tblLayout w:type="fixed"/>
        <w:tblCellMar>
          <w:top w:w="10" w:type="dxa"/>
          <w:left w:w="10" w:type="dxa"/>
          <w:bottom w:w="10" w:type="dxa"/>
          <w:right w:w="10" w:type="dxa"/>
        </w:tblCellMar>
      </w:tblPr>
      <w:tblGrid>
        <w:gridCol w:w="3127"/>
        <w:gridCol w:w="3222"/>
        <w:gridCol w:w="3309"/>
      </w:tblGrid>
      <w:tr>
        <w:tblPrEx>
          <w:tblBorders>
            <w:top w:val="single" w:color="auto" w:sz="6" w:space="0"/>
            <w:left w:val="single" w:color="auto" w:sz="6" w:space="0"/>
            <w:bottom w:val="single" w:color="auto" w:sz="8" w:space="0"/>
            <w:right w:val="none" w:color="auto" w:sz="0" w:space="0"/>
            <w:insideH w:val="single" w:color="auto" w:sz="6" w:space="0"/>
            <w:insideV w:val="single" w:color="auto" w:sz="6" w:space="0"/>
          </w:tblBorders>
          <w:tblLayout w:type="fixed"/>
          <w:tblCellMar>
            <w:top w:w="10" w:type="dxa"/>
            <w:left w:w="10" w:type="dxa"/>
            <w:bottom w:w="10" w:type="dxa"/>
            <w:right w:w="10" w:type="dxa"/>
          </w:tblCellMar>
        </w:tblPrEx>
        <w:tc>
          <w:tcPr>
            <w:tcW w:w="3127" w:type="dxa"/>
            <w:tcBorders>
              <w:bottom w:val="single" w:color="auto" w:sz="8" w:space="0"/>
              <w:right w:val="nil"/>
            </w:tcBorders>
          </w:tcPr>
          <w:p>
            <w:pPr>
              <w:autoSpaceDE w:val="0"/>
              <w:autoSpaceDN w:val="0"/>
              <w:adjustRightInd w:val="0"/>
              <w:spacing w:before="0" w:after="0"/>
              <w:rPr>
                <w:rFonts w:eastAsia="Times New Roman"/>
                <w:b/>
                <w:kern w:val="0"/>
                <w:sz w:val="21"/>
                <w:szCs w:val="21"/>
                <w:lang w:val="zh-CN"/>
              </w:rPr>
            </w:pPr>
            <w:r>
              <w:rPr>
                <w:rFonts w:hint="eastAsia" w:ascii="宋体" w:hAnsi="宋体" w:cs="宋体"/>
                <w:b/>
                <w:kern w:val="0"/>
                <w:sz w:val="21"/>
                <w:szCs w:val="21"/>
                <w:lang w:val="zh-CN"/>
              </w:rPr>
              <w:t>组合名称</w:t>
            </w:r>
          </w:p>
        </w:tc>
        <w:tc>
          <w:tcPr>
            <w:tcW w:w="3222" w:type="dxa"/>
            <w:tcBorders>
              <w:bottom w:val="single" w:color="auto" w:sz="8" w:space="0"/>
              <w:right w:val="nil"/>
            </w:tcBorders>
          </w:tcPr>
          <w:p>
            <w:pPr>
              <w:autoSpaceDE w:val="0"/>
              <w:autoSpaceDN w:val="0"/>
              <w:adjustRightInd w:val="0"/>
              <w:spacing w:before="0" w:after="0"/>
              <w:jc w:val="center"/>
              <w:rPr>
                <w:rFonts w:eastAsia="Times New Roman"/>
                <w:b/>
                <w:kern w:val="0"/>
                <w:sz w:val="21"/>
                <w:szCs w:val="21"/>
                <w:lang w:val="zh-CN"/>
              </w:rPr>
            </w:pPr>
            <w:r>
              <w:rPr>
                <w:rFonts w:hint="eastAsia" w:ascii="宋体" w:hAnsi="宋体" w:cs="宋体"/>
                <w:b/>
                <w:kern w:val="0"/>
                <w:sz w:val="21"/>
                <w:szCs w:val="21"/>
                <w:lang w:val="zh-CN"/>
              </w:rPr>
              <w:t>账面余额</w:t>
            </w:r>
          </w:p>
        </w:tc>
        <w:tc>
          <w:tcPr>
            <w:tcW w:w="3309" w:type="dxa"/>
            <w:tcBorders>
              <w:bottom w:val="single" w:color="auto" w:sz="8" w:space="0"/>
              <w:right w:val="single" w:color="auto" w:sz="4" w:space="0"/>
            </w:tcBorders>
          </w:tcPr>
          <w:p>
            <w:pPr>
              <w:autoSpaceDE w:val="0"/>
              <w:autoSpaceDN w:val="0"/>
              <w:adjustRightInd w:val="0"/>
              <w:spacing w:before="0" w:after="0"/>
              <w:jc w:val="center"/>
              <w:rPr>
                <w:rFonts w:eastAsia="Times New Roman"/>
                <w:b/>
                <w:kern w:val="0"/>
                <w:sz w:val="21"/>
                <w:szCs w:val="21"/>
                <w:lang w:val="zh-CN"/>
              </w:rPr>
            </w:pPr>
            <w:r>
              <w:rPr>
                <w:rFonts w:hint="eastAsia" w:ascii="宋体" w:hAnsi="宋体" w:cs="宋体"/>
                <w:b/>
                <w:kern w:val="0"/>
                <w:sz w:val="21"/>
                <w:szCs w:val="21"/>
                <w:lang w:val="zh-CN"/>
              </w:rPr>
              <w:t>坏账金额</w:t>
            </w:r>
          </w:p>
        </w:tc>
      </w:tr>
      <w:tr>
        <w:tblPrEx>
          <w:tblBorders>
            <w:top w:val="single" w:color="auto" w:sz="6" w:space="0"/>
            <w:left w:val="single" w:color="auto" w:sz="6" w:space="0"/>
            <w:bottom w:val="single" w:color="auto" w:sz="8" w:space="0"/>
            <w:right w:val="none" w:color="auto" w:sz="0" w:space="0"/>
            <w:insideH w:val="single" w:color="auto" w:sz="6" w:space="0"/>
            <w:insideV w:val="single" w:color="auto" w:sz="6" w:space="0"/>
          </w:tblBorders>
          <w:tblLayout w:type="fixed"/>
          <w:tblCellMar>
            <w:top w:w="10" w:type="dxa"/>
            <w:left w:w="10" w:type="dxa"/>
            <w:bottom w:w="10" w:type="dxa"/>
            <w:right w:w="10" w:type="dxa"/>
          </w:tblCellMar>
        </w:tblPrEx>
        <w:tc>
          <w:tcPr>
            <w:tcW w:w="3127" w:type="dxa"/>
            <w:tcBorders>
              <w:bottom w:val="single" w:color="auto" w:sz="8" w:space="0"/>
              <w:right w:val="nil"/>
            </w:tcBorders>
          </w:tcPr>
          <w:p>
            <w:pPr>
              <w:autoSpaceDE w:val="0"/>
              <w:autoSpaceDN w:val="0"/>
              <w:adjustRightInd w:val="0"/>
              <w:spacing w:before="0" w:after="0"/>
              <w:rPr>
                <w:rFonts w:eastAsia="Times New Roman"/>
                <w:kern w:val="0"/>
                <w:sz w:val="21"/>
                <w:szCs w:val="21"/>
                <w:lang w:val="zh-CN"/>
              </w:rPr>
            </w:pPr>
            <w:r>
              <w:rPr>
                <w:rFonts w:hint="eastAsia" w:ascii="宋体" w:hAnsi="宋体" w:cs="宋体"/>
                <w:kern w:val="0"/>
                <w:sz w:val="21"/>
                <w:szCs w:val="21"/>
                <w:lang w:val="zh-CN"/>
              </w:rPr>
              <w:t>关联方组合</w:t>
            </w:r>
          </w:p>
        </w:tc>
        <w:tc>
          <w:tcPr>
            <w:tcW w:w="3222" w:type="dxa"/>
            <w:tcBorders>
              <w:bottom w:val="single" w:color="auto" w:sz="8" w:space="0"/>
              <w:right w:val="nil"/>
            </w:tcBorders>
          </w:tcPr>
          <w:p>
            <w:pPr>
              <w:autoSpaceDE w:val="0"/>
              <w:autoSpaceDN w:val="0"/>
              <w:adjustRightInd w:val="0"/>
              <w:spacing w:before="0" w:after="0"/>
              <w:jc w:val="right"/>
              <w:rPr>
                <w:rFonts w:eastAsia="Times New Roman"/>
                <w:kern w:val="0"/>
                <w:sz w:val="21"/>
                <w:szCs w:val="21"/>
                <w:lang w:val="zh-CN"/>
              </w:rPr>
            </w:pPr>
            <w:r>
              <w:rPr>
                <w:rFonts w:eastAsia="Times New Roman"/>
                <w:kern w:val="0"/>
                <w:sz w:val="21"/>
                <w:szCs w:val="21"/>
                <w:lang w:val="en-GB"/>
              </w:rPr>
              <w:t>18,151,464.01</w:t>
            </w:r>
          </w:p>
        </w:tc>
        <w:tc>
          <w:tcPr>
            <w:tcW w:w="3309" w:type="dxa"/>
            <w:tcBorders>
              <w:bottom w:val="single" w:color="auto" w:sz="8" w:space="0"/>
              <w:right w:val="single" w:color="auto" w:sz="4" w:space="0"/>
            </w:tcBorders>
          </w:tcPr>
          <w:p>
            <w:pPr>
              <w:autoSpaceDE w:val="0"/>
              <w:autoSpaceDN w:val="0"/>
              <w:adjustRightInd w:val="0"/>
              <w:spacing w:before="0" w:after="0"/>
              <w:jc w:val="right"/>
              <w:rPr>
                <w:rFonts w:eastAsia="Times New Roman"/>
                <w:kern w:val="0"/>
                <w:sz w:val="21"/>
                <w:szCs w:val="21"/>
                <w:lang w:val="zh-CN"/>
              </w:rPr>
            </w:pPr>
          </w:p>
        </w:tc>
      </w:tr>
      <w:tr>
        <w:tblPrEx>
          <w:tblBorders>
            <w:top w:val="single" w:color="auto" w:sz="6" w:space="0"/>
            <w:left w:val="single" w:color="auto" w:sz="6" w:space="0"/>
            <w:bottom w:val="single" w:color="auto" w:sz="8" w:space="0"/>
            <w:right w:val="none" w:color="auto" w:sz="0" w:space="0"/>
            <w:insideH w:val="single" w:color="auto" w:sz="6" w:space="0"/>
            <w:insideV w:val="single" w:color="auto" w:sz="6" w:space="0"/>
          </w:tblBorders>
          <w:tblLayout w:type="fixed"/>
          <w:tblCellMar>
            <w:top w:w="10" w:type="dxa"/>
            <w:left w:w="10" w:type="dxa"/>
            <w:bottom w:w="10" w:type="dxa"/>
            <w:right w:w="10" w:type="dxa"/>
          </w:tblCellMar>
        </w:tblPrEx>
        <w:tc>
          <w:tcPr>
            <w:tcW w:w="3127" w:type="dxa"/>
            <w:tcBorders>
              <w:bottom w:val="single" w:color="auto" w:sz="8" w:space="0"/>
              <w:right w:val="nil"/>
            </w:tcBorders>
          </w:tcPr>
          <w:p>
            <w:pPr>
              <w:autoSpaceDE w:val="0"/>
              <w:autoSpaceDN w:val="0"/>
              <w:adjustRightInd w:val="0"/>
              <w:spacing w:before="0" w:after="0"/>
              <w:rPr>
                <w:rFonts w:eastAsia="Times New Roman"/>
                <w:kern w:val="0"/>
                <w:sz w:val="21"/>
                <w:szCs w:val="21"/>
                <w:lang w:val="zh-CN"/>
              </w:rPr>
            </w:pPr>
            <w:r>
              <w:rPr>
                <w:rFonts w:hint="eastAsia" w:ascii="宋体" w:hAnsi="宋体" w:cs="宋体"/>
                <w:kern w:val="0"/>
                <w:sz w:val="21"/>
                <w:szCs w:val="21"/>
                <w:lang w:val="zh-CN"/>
              </w:rPr>
              <w:t>款项性质组合</w:t>
            </w:r>
          </w:p>
        </w:tc>
        <w:tc>
          <w:tcPr>
            <w:tcW w:w="3222" w:type="dxa"/>
            <w:tcBorders>
              <w:bottom w:val="single" w:color="auto" w:sz="8" w:space="0"/>
              <w:right w:val="nil"/>
            </w:tcBorders>
          </w:tcPr>
          <w:p>
            <w:pPr>
              <w:autoSpaceDE w:val="0"/>
              <w:autoSpaceDN w:val="0"/>
              <w:adjustRightInd w:val="0"/>
              <w:spacing w:before="0" w:after="0"/>
              <w:jc w:val="right"/>
              <w:rPr>
                <w:rFonts w:eastAsia="Times New Roman"/>
                <w:kern w:val="0"/>
                <w:sz w:val="21"/>
                <w:szCs w:val="21"/>
                <w:lang w:val="zh-CN"/>
              </w:rPr>
            </w:pPr>
            <w:r>
              <w:rPr>
                <w:rFonts w:eastAsia="Times New Roman"/>
                <w:kern w:val="0"/>
                <w:sz w:val="21"/>
                <w:szCs w:val="21"/>
                <w:lang w:val="en-GB"/>
              </w:rPr>
              <w:t>2,555,913.09</w:t>
            </w:r>
          </w:p>
        </w:tc>
        <w:tc>
          <w:tcPr>
            <w:tcW w:w="3309" w:type="dxa"/>
            <w:tcBorders>
              <w:bottom w:val="single" w:color="auto" w:sz="8" w:space="0"/>
              <w:right w:val="single" w:color="auto" w:sz="4" w:space="0"/>
            </w:tcBorders>
          </w:tcPr>
          <w:p>
            <w:pPr>
              <w:autoSpaceDE w:val="0"/>
              <w:autoSpaceDN w:val="0"/>
              <w:adjustRightInd w:val="0"/>
              <w:spacing w:before="0" w:after="0"/>
              <w:jc w:val="right"/>
              <w:rPr>
                <w:rFonts w:eastAsia="Times New Roman"/>
                <w:kern w:val="0"/>
                <w:sz w:val="21"/>
                <w:szCs w:val="21"/>
                <w:lang w:val="zh-CN"/>
              </w:rPr>
            </w:pPr>
          </w:p>
        </w:tc>
      </w:tr>
      <w:tr>
        <w:tblPrEx>
          <w:tblBorders>
            <w:top w:val="single" w:color="auto" w:sz="6" w:space="0"/>
            <w:left w:val="single" w:color="auto" w:sz="6" w:space="0"/>
            <w:bottom w:val="single" w:color="auto" w:sz="8" w:space="0"/>
            <w:right w:val="none" w:color="auto" w:sz="0" w:space="0"/>
            <w:insideH w:val="single" w:color="auto" w:sz="6" w:space="0"/>
            <w:insideV w:val="single" w:color="auto" w:sz="6" w:space="0"/>
          </w:tblBorders>
          <w:tblLayout w:type="fixed"/>
          <w:tblCellMar>
            <w:top w:w="10" w:type="dxa"/>
            <w:left w:w="10" w:type="dxa"/>
            <w:bottom w:w="10" w:type="dxa"/>
            <w:right w:w="10" w:type="dxa"/>
          </w:tblCellMar>
        </w:tblPrEx>
        <w:tc>
          <w:tcPr>
            <w:tcW w:w="3127" w:type="dxa"/>
            <w:tcBorders>
              <w:bottom w:val="single" w:color="auto" w:sz="8" w:space="0"/>
              <w:right w:val="nil"/>
            </w:tcBorders>
          </w:tcPr>
          <w:p>
            <w:pPr>
              <w:autoSpaceDE w:val="0"/>
              <w:autoSpaceDN w:val="0"/>
              <w:adjustRightInd w:val="0"/>
              <w:spacing w:before="0" w:after="0"/>
              <w:jc w:val="left"/>
              <w:rPr>
                <w:rFonts w:eastAsia="Times New Roman"/>
                <w:b/>
                <w:kern w:val="0"/>
                <w:sz w:val="21"/>
                <w:szCs w:val="21"/>
                <w:lang w:val="zh-CN"/>
              </w:rPr>
            </w:pPr>
            <w:r>
              <w:rPr>
                <w:rFonts w:hint="eastAsia" w:ascii="宋体" w:hAnsi="宋体" w:cs="宋体"/>
                <w:b/>
                <w:kern w:val="0"/>
                <w:sz w:val="21"/>
                <w:szCs w:val="21"/>
                <w:lang w:val="zh-CN"/>
              </w:rPr>
              <w:t>合计</w:t>
            </w:r>
          </w:p>
        </w:tc>
        <w:tc>
          <w:tcPr>
            <w:tcW w:w="3222" w:type="dxa"/>
            <w:tcBorders>
              <w:bottom w:val="single" w:color="auto" w:sz="8" w:space="0"/>
              <w:right w:val="nil"/>
            </w:tcBorders>
          </w:tcPr>
          <w:p>
            <w:pPr>
              <w:autoSpaceDE w:val="0"/>
              <w:autoSpaceDN w:val="0"/>
              <w:adjustRightInd w:val="0"/>
              <w:spacing w:before="0" w:after="0"/>
              <w:jc w:val="right"/>
              <w:rPr>
                <w:rFonts w:eastAsia="Times New Roman"/>
                <w:b/>
                <w:kern w:val="0"/>
                <w:sz w:val="21"/>
                <w:szCs w:val="21"/>
                <w:lang w:val="zh-CN"/>
              </w:rPr>
            </w:pPr>
            <w:r>
              <w:rPr>
                <w:rFonts w:eastAsia="Times New Roman"/>
                <w:b/>
                <w:kern w:val="0"/>
                <w:sz w:val="21"/>
                <w:szCs w:val="21"/>
                <w:lang w:val="en-GB"/>
              </w:rPr>
              <w:t>20,707,377.10</w:t>
            </w:r>
          </w:p>
        </w:tc>
        <w:tc>
          <w:tcPr>
            <w:tcW w:w="3309" w:type="dxa"/>
            <w:tcBorders>
              <w:bottom w:val="single" w:color="auto" w:sz="8" w:space="0"/>
              <w:right w:val="single" w:color="auto" w:sz="4" w:space="0"/>
            </w:tcBorders>
          </w:tcPr>
          <w:p>
            <w:pPr>
              <w:autoSpaceDE w:val="0"/>
              <w:autoSpaceDN w:val="0"/>
              <w:adjustRightInd w:val="0"/>
              <w:spacing w:before="0" w:after="0"/>
              <w:jc w:val="right"/>
              <w:rPr>
                <w:rFonts w:eastAsia="Times New Roman"/>
                <w:b/>
                <w:kern w:val="0"/>
                <w:sz w:val="21"/>
                <w:szCs w:val="21"/>
                <w:lang w:val="zh-CN"/>
              </w:rPr>
            </w:pPr>
          </w:p>
        </w:tc>
      </w:tr>
    </w:tbl>
    <w:p>
      <w:pPr>
        <w:jc w:val="left"/>
        <w:rPr>
          <w:sz w:val="21"/>
          <w:szCs w:val="21"/>
        </w:rPr>
      </w:pPr>
      <w:r>
        <w:rPr>
          <w:rFonts w:hint="eastAsia"/>
          <w:sz w:val="21"/>
          <w:szCs w:val="21"/>
        </w:rPr>
        <w:t>注：说明确定该组合的依据、该组合中各类其他应收款期末余额、坏账准备期末余额，以及坏账准备的计提比例。</w:t>
      </w:r>
    </w:p>
    <w:p>
      <w:pPr>
        <w:pStyle w:val="11"/>
        <w:outlineLvl w:val="3"/>
        <w:rPr>
          <w:bCs w:val="0"/>
          <w:szCs w:val="24"/>
        </w:rPr>
      </w:pPr>
      <w:r>
        <w:rPr>
          <w:rFonts w:hint="eastAsia"/>
          <w:bCs w:val="0"/>
          <w:szCs w:val="24"/>
        </w:rPr>
        <w:t>（</w:t>
      </w:r>
      <w:r>
        <w:rPr>
          <w:bCs w:val="0"/>
          <w:szCs w:val="24"/>
        </w:rPr>
        <w:t>2</w:t>
      </w:r>
      <w:r>
        <w:rPr>
          <w:rFonts w:hint="eastAsia"/>
          <w:bCs w:val="0"/>
          <w:szCs w:val="24"/>
        </w:rPr>
        <w:t>）本期计提、收回或转回的坏账准备情况</w:t>
      </w:r>
    </w:p>
    <w:p>
      <w:pPr>
        <w:jc w:val="left"/>
        <w:rPr>
          <w:sz w:val="21"/>
          <w:szCs w:val="21"/>
        </w:rPr>
      </w:pPr>
      <w:r>
        <w:rPr>
          <w:rFonts w:hint="eastAsia"/>
          <w:sz w:val="21"/>
          <w:szCs w:val="21"/>
        </w:rPr>
        <w:t>本期计提坏账准备金额</w:t>
      </w:r>
      <w:r>
        <w:rPr>
          <w:sz w:val="21"/>
          <w:szCs w:val="21"/>
        </w:rPr>
        <w:t>109,055.23</w:t>
      </w:r>
      <w:r>
        <w:rPr>
          <w:rFonts w:hint="eastAsia"/>
          <w:sz w:val="21"/>
          <w:szCs w:val="21"/>
        </w:rPr>
        <w:t>元；本期收回或转回坏账准备金额</w:t>
      </w:r>
      <w:r>
        <w:rPr>
          <w:sz w:val="21"/>
          <w:szCs w:val="21"/>
        </w:rPr>
        <w:t>0.00</w:t>
      </w:r>
      <w:r>
        <w:rPr>
          <w:rFonts w:hint="eastAsia"/>
          <w:sz w:val="21"/>
          <w:szCs w:val="21"/>
        </w:rPr>
        <w:t>元。</w:t>
      </w:r>
    </w:p>
    <w:p>
      <w:pPr>
        <w:pStyle w:val="11"/>
        <w:outlineLvl w:val="3"/>
        <w:rPr>
          <w:bCs w:val="0"/>
          <w:szCs w:val="24"/>
        </w:rPr>
      </w:pPr>
      <w:r>
        <w:rPr>
          <w:rFonts w:hint="eastAsia"/>
          <w:bCs w:val="0"/>
          <w:szCs w:val="24"/>
        </w:rPr>
        <w:t>（</w:t>
      </w:r>
      <w:r>
        <w:rPr>
          <w:bCs w:val="0"/>
          <w:szCs w:val="24"/>
        </w:rPr>
        <w:t>4</w:t>
      </w:r>
      <w:r>
        <w:rPr>
          <w:rFonts w:hint="eastAsia"/>
          <w:bCs w:val="0"/>
          <w:szCs w:val="24"/>
        </w:rPr>
        <w:t>）其他应收款按款项性质分类情况</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568" w:type="dxa"/>
        <w:tblInd w:w="28" w:type="dxa"/>
        <w:tblLayout w:type="fixed"/>
        <w:tblCellMar>
          <w:top w:w="0" w:type="dxa"/>
          <w:left w:w="28" w:type="dxa"/>
          <w:bottom w:w="0" w:type="dxa"/>
          <w:right w:w="28" w:type="dxa"/>
        </w:tblCellMar>
      </w:tblPr>
      <w:tblGrid>
        <w:gridCol w:w="3368"/>
        <w:gridCol w:w="3100"/>
        <w:gridCol w:w="3100"/>
      </w:tblGrid>
      <w:tr>
        <w:tblPrEx>
          <w:tblLayout w:type="fixed"/>
          <w:tblCellMar>
            <w:top w:w="0" w:type="dxa"/>
            <w:left w:w="28" w:type="dxa"/>
            <w:bottom w:w="0" w:type="dxa"/>
            <w:right w:w="28" w:type="dxa"/>
          </w:tblCellMar>
        </w:tblPrEx>
        <w:tc>
          <w:tcPr>
            <w:tcW w:w="3368"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款项性质</w:t>
            </w:r>
          </w:p>
        </w:tc>
        <w:tc>
          <w:tcPr>
            <w:tcW w:w="310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期末账面余额</w:t>
            </w:r>
          </w:p>
        </w:tc>
        <w:tc>
          <w:tcPr>
            <w:tcW w:w="3100"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期初账面余额</w:t>
            </w:r>
          </w:p>
        </w:tc>
      </w:tr>
      <w:tr>
        <w:tblPrEx>
          <w:tblLayout w:type="fixed"/>
          <w:tblCellMar>
            <w:top w:w="0" w:type="dxa"/>
            <w:left w:w="28" w:type="dxa"/>
            <w:bottom w:w="0" w:type="dxa"/>
            <w:right w:w="28" w:type="dxa"/>
          </w:tblCellMar>
        </w:tblPrEx>
        <w:tc>
          <w:tcPr>
            <w:tcW w:w="336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关联方往来款</w:t>
            </w:r>
          </w:p>
        </w:tc>
        <w:tc>
          <w:tcPr>
            <w:tcW w:w="31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18,151,464.01</w:t>
            </w:r>
          </w:p>
        </w:tc>
        <w:tc>
          <w:tcPr>
            <w:tcW w:w="31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3,343,726.65</w:t>
            </w:r>
          </w:p>
        </w:tc>
      </w:tr>
      <w:tr>
        <w:tblPrEx>
          <w:tblLayout w:type="fixed"/>
          <w:tblCellMar>
            <w:top w:w="0" w:type="dxa"/>
            <w:left w:w="28" w:type="dxa"/>
            <w:bottom w:w="0" w:type="dxa"/>
            <w:right w:w="28" w:type="dxa"/>
          </w:tblCellMar>
        </w:tblPrEx>
        <w:tc>
          <w:tcPr>
            <w:tcW w:w="336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股权转让款</w:t>
            </w:r>
          </w:p>
        </w:tc>
        <w:tc>
          <w:tcPr>
            <w:tcW w:w="31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8,840,000.00</w:t>
            </w:r>
          </w:p>
        </w:tc>
        <w:tc>
          <w:tcPr>
            <w:tcW w:w="31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19,890,000.00</w:t>
            </w:r>
          </w:p>
        </w:tc>
      </w:tr>
      <w:tr>
        <w:tblPrEx>
          <w:tblLayout w:type="fixed"/>
          <w:tblCellMar>
            <w:top w:w="0" w:type="dxa"/>
            <w:left w:w="28" w:type="dxa"/>
            <w:bottom w:w="0" w:type="dxa"/>
            <w:right w:w="28" w:type="dxa"/>
          </w:tblCellMar>
        </w:tblPrEx>
        <w:tc>
          <w:tcPr>
            <w:tcW w:w="336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个人借款</w:t>
            </w:r>
          </w:p>
        </w:tc>
        <w:tc>
          <w:tcPr>
            <w:tcW w:w="31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2,273,927.23</w:t>
            </w:r>
          </w:p>
        </w:tc>
        <w:tc>
          <w:tcPr>
            <w:tcW w:w="31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1,800,068.94</w:t>
            </w:r>
          </w:p>
        </w:tc>
      </w:tr>
      <w:tr>
        <w:tblPrEx>
          <w:tblLayout w:type="fixed"/>
          <w:tblCellMar>
            <w:top w:w="0" w:type="dxa"/>
            <w:left w:w="28" w:type="dxa"/>
            <w:bottom w:w="0" w:type="dxa"/>
            <w:right w:w="28" w:type="dxa"/>
          </w:tblCellMar>
        </w:tblPrEx>
        <w:tc>
          <w:tcPr>
            <w:tcW w:w="336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保证金</w:t>
            </w:r>
          </w:p>
        </w:tc>
        <w:tc>
          <w:tcPr>
            <w:tcW w:w="31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1,427,316.31</w:t>
            </w:r>
          </w:p>
        </w:tc>
        <w:tc>
          <w:tcPr>
            <w:tcW w:w="31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639,300.00</w:t>
            </w:r>
          </w:p>
        </w:tc>
      </w:tr>
      <w:tr>
        <w:tblPrEx>
          <w:tblLayout w:type="fixed"/>
          <w:tblCellMar>
            <w:top w:w="0" w:type="dxa"/>
            <w:left w:w="28" w:type="dxa"/>
            <w:bottom w:w="0" w:type="dxa"/>
            <w:right w:w="28" w:type="dxa"/>
          </w:tblCellMar>
        </w:tblPrEx>
        <w:tc>
          <w:tcPr>
            <w:tcW w:w="336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押金</w:t>
            </w:r>
          </w:p>
        </w:tc>
        <w:tc>
          <w:tcPr>
            <w:tcW w:w="31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220,451.86</w:t>
            </w:r>
          </w:p>
        </w:tc>
        <w:tc>
          <w:tcPr>
            <w:tcW w:w="31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406,790.20</w:t>
            </w:r>
          </w:p>
        </w:tc>
      </w:tr>
      <w:tr>
        <w:tblPrEx>
          <w:tblLayout w:type="fixed"/>
          <w:tblCellMar>
            <w:top w:w="0" w:type="dxa"/>
            <w:left w:w="28" w:type="dxa"/>
            <w:bottom w:w="0" w:type="dxa"/>
            <w:right w:w="28" w:type="dxa"/>
          </w:tblCellMar>
        </w:tblPrEx>
        <w:tc>
          <w:tcPr>
            <w:tcW w:w="336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代扣代缴社保</w:t>
            </w:r>
          </w:p>
        </w:tc>
        <w:tc>
          <w:tcPr>
            <w:tcW w:w="31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144,099.56</w:t>
            </w:r>
          </w:p>
        </w:tc>
        <w:tc>
          <w:tcPr>
            <w:tcW w:w="31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59,969.27</w:t>
            </w:r>
          </w:p>
        </w:tc>
      </w:tr>
      <w:tr>
        <w:tblPrEx>
          <w:tblLayout w:type="fixed"/>
          <w:tblCellMar>
            <w:top w:w="0" w:type="dxa"/>
            <w:left w:w="28" w:type="dxa"/>
            <w:bottom w:w="0" w:type="dxa"/>
            <w:right w:w="28" w:type="dxa"/>
          </w:tblCellMar>
        </w:tblPrEx>
        <w:tc>
          <w:tcPr>
            <w:tcW w:w="3368"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其他</w:t>
            </w:r>
          </w:p>
        </w:tc>
        <w:tc>
          <w:tcPr>
            <w:tcW w:w="31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1,101,069.62</w:t>
            </w:r>
          </w:p>
        </w:tc>
        <w:tc>
          <w:tcPr>
            <w:tcW w:w="310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359,655.33</w:t>
            </w:r>
          </w:p>
        </w:tc>
      </w:tr>
      <w:tr>
        <w:tblPrEx>
          <w:tblLayout w:type="fixed"/>
          <w:tblCellMar>
            <w:top w:w="0" w:type="dxa"/>
            <w:left w:w="28" w:type="dxa"/>
            <w:bottom w:w="0" w:type="dxa"/>
            <w:right w:w="28" w:type="dxa"/>
          </w:tblCellMar>
        </w:tblPrEx>
        <w:tc>
          <w:tcPr>
            <w:tcW w:w="3368"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3100"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32,158,328.59</w:t>
            </w:r>
          </w:p>
        </w:tc>
        <w:tc>
          <w:tcPr>
            <w:tcW w:w="3100"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26,499,510.39</w:t>
            </w:r>
          </w:p>
        </w:tc>
      </w:tr>
    </w:tbl>
    <w:p>
      <w:pPr>
        <w:pStyle w:val="11"/>
        <w:outlineLvl w:val="3"/>
        <w:rPr>
          <w:bCs w:val="0"/>
          <w:szCs w:val="24"/>
        </w:rPr>
      </w:pPr>
      <w:r>
        <w:rPr>
          <w:rFonts w:hint="eastAsia"/>
          <w:bCs w:val="0"/>
          <w:szCs w:val="24"/>
        </w:rPr>
        <w:t>（</w:t>
      </w:r>
      <w:r>
        <w:rPr>
          <w:bCs w:val="0"/>
          <w:szCs w:val="24"/>
        </w:rPr>
        <w:t>5</w:t>
      </w:r>
      <w:r>
        <w:rPr>
          <w:rFonts w:hint="eastAsia"/>
          <w:bCs w:val="0"/>
          <w:szCs w:val="24"/>
        </w:rPr>
        <w:t>）按欠款方归集的期末余额前五名的其他应收款情况</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694" w:type="dxa"/>
        <w:tblInd w:w="0" w:type="dxa"/>
        <w:tblLayout w:type="fixed"/>
        <w:tblCellMar>
          <w:top w:w="0" w:type="dxa"/>
          <w:left w:w="28" w:type="dxa"/>
          <w:bottom w:w="0" w:type="dxa"/>
          <w:right w:w="28" w:type="dxa"/>
        </w:tblCellMar>
      </w:tblPr>
      <w:tblGrid>
        <w:gridCol w:w="1707"/>
        <w:gridCol w:w="1571"/>
        <w:gridCol w:w="1572"/>
        <w:gridCol w:w="1572"/>
        <w:gridCol w:w="1636"/>
        <w:gridCol w:w="1636"/>
      </w:tblGrid>
      <w:tr>
        <w:tblPrEx>
          <w:tblLayout w:type="fixed"/>
          <w:tblCellMar>
            <w:top w:w="0" w:type="dxa"/>
            <w:left w:w="28" w:type="dxa"/>
            <w:bottom w:w="0" w:type="dxa"/>
            <w:right w:w="28" w:type="dxa"/>
          </w:tblCellMar>
        </w:tblPrEx>
        <w:tc>
          <w:tcPr>
            <w:tcW w:w="170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单位名称</w:t>
            </w:r>
          </w:p>
        </w:tc>
        <w:tc>
          <w:tcPr>
            <w:tcW w:w="157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款项的性质</w:t>
            </w:r>
          </w:p>
        </w:tc>
        <w:tc>
          <w:tcPr>
            <w:tcW w:w="157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c>
          <w:tcPr>
            <w:tcW w:w="157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账龄</w:t>
            </w:r>
          </w:p>
        </w:tc>
        <w:tc>
          <w:tcPr>
            <w:tcW w:w="163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占其他应收款期末余额合计数的比例</w:t>
            </w:r>
          </w:p>
        </w:tc>
        <w:tc>
          <w:tcPr>
            <w:tcW w:w="163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坏账准备期末余额</w:t>
            </w:r>
          </w:p>
        </w:tc>
      </w:tr>
      <w:tr>
        <w:tblPrEx>
          <w:tblLayout w:type="fixed"/>
          <w:tblCellMar>
            <w:top w:w="0" w:type="dxa"/>
            <w:left w:w="28" w:type="dxa"/>
            <w:bottom w:w="0" w:type="dxa"/>
            <w:right w:w="28" w:type="dxa"/>
          </w:tblCellMar>
        </w:tblPrEx>
        <w:tc>
          <w:tcPr>
            <w:tcW w:w="170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成都海兰天澄科技股份有限公司</w:t>
            </w:r>
          </w:p>
        </w:tc>
        <w:tc>
          <w:tcPr>
            <w:tcW w:w="157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关联方往来款</w:t>
            </w:r>
          </w:p>
        </w:tc>
        <w:tc>
          <w:tcPr>
            <w:tcW w:w="157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15,000,000.00</w:t>
            </w:r>
          </w:p>
        </w:tc>
        <w:tc>
          <w:tcPr>
            <w:tcW w:w="157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1</w:t>
            </w:r>
            <w:r>
              <w:rPr>
                <w:rFonts w:hint="eastAsia"/>
                <w:sz w:val="21"/>
                <w:szCs w:val="21"/>
              </w:rPr>
              <w:t>年以内</w:t>
            </w:r>
          </w:p>
        </w:tc>
        <w:tc>
          <w:tcPr>
            <w:tcW w:w="163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46.64%</w:t>
            </w:r>
          </w:p>
        </w:tc>
        <w:tc>
          <w:tcPr>
            <w:tcW w:w="163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70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武维汀</w:t>
            </w:r>
          </w:p>
        </w:tc>
        <w:tc>
          <w:tcPr>
            <w:tcW w:w="157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股权转让款</w:t>
            </w:r>
          </w:p>
        </w:tc>
        <w:tc>
          <w:tcPr>
            <w:tcW w:w="157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8,660,800.00</w:t>
            </w:r>
          </w:p>
        </w:tc>
        <w:tc>
          <w:tcPr>
            <w:tcW w:w="157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1-2</w:t>
            </w:r>
            <w:r>
              <w:rPr>
                <w:rFonts w:hint="eastAsia"/>
                <w:sz w:val="21"/>
                <w:szCs w:val="21"/>
              </w:rPr>
              <w:t>年</w:t>
            </w:r>
          </w:p>
        </w:tc>
        <w:tc>
          <w:tcPr>
            <w:tcW w:w="163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26.93%</w:t>
            </w:r>
          </w:p>
        </w:tc>
        <w:tc>
          <w:tcPr>
            <w:tcW w:w="163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866,080.00</w:t>
            </w:r>
          </w:p>
        </w:tc>
      </w:tr>
      <w:tr>
        <w:tblPrEx>
          <w:tblLayout w:type="fixed"/>
          <w:tblCellMar>
            <w:top w:w="0" w:type="dxa"/>
            <w:left w:w="28" w:type="dxa"/>
            <w:bottom w:w="0" w:type="dxa"/>
            <w:right w:w="28" w:type="dxa"/>
          </w:tblCellMar>
        </w:tblPrEx>
        <w:tc>
          <w:tcPr>
            <w:tcW w:w="170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海兰信（香港）航海科技有限公司</w:t>
            </w:r>
          </w:p>
        </w:tc>
        <w:tc>
          <w:tcPr>
            <w:tcW w:w="157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关联方往来款</w:t>
            </w:r>
          </w:p>
        </w:tc>
        <w:tc>
          <w:tcPr>
            <w:tcW w:w="157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2,308,541.48</w:t>
            </w:r>
          </w:p>
        </w:tc>
        <w:tc>
          <w:tcPr>
            <w:tcW w:w="1572" w:type="dxa"/>
            <w:tcBorders>
              <w:top w:val="single" w:color="auto" w:sz="4" w:space="0"/>
              <w:left w:val="single" w:color="auto" w:sz="4" w:space="0"/>
              <w:bottom w:val="single" w:color="auto" w:sz="4" w:space="0"/>
              <w:right w:val="single" w:color="auto" w:sz="4" w:space="0"/>
            </w:tcBorders>
            <w:shd w:val="clear" w:color="auto" w:fill="FFFFFF"/>
            <w:vAlign w:val="center"/>
          </w:tcPr>
          <w:p>
            <w:pPr>
              <w:rPr>
                <w:rFonts w:ascii="宋体"/>
                <w:sz w:val="21"/>
                <w:szCs w:val="21"/>
              </w:rPr>
            </w:pPr>
            <w:r>
              <w:rPr>
                <w:rFonts w:ascii="宋体" w:hAnsi="宋体"/>
                <w:sz w:val="21"/>
                <w:szCs w:val="21"/>
              </w:rPr>
              <w:t>1</w:t>
            </w:r>
            <w:r>
              <w:rPr>
                <w:rFonts w:hint="eastAsia" w:ascii="宋体" w:hAnsi="宋体"/>
                <w:sz w:val="21"/>
                <w:szCs w:val="21"/>
              </w:rPr>
              <w:t>年以内：</w:t>
            </w:r>
            <w:r>
              <w:rPr>
                <w:rFonts w:ascii="宋体" w:hAnsi="宋体"/>
                <w:sz w:val="21"/>
                <w:szCs w:val="21"/>
              </w:rPr>
              <w:t>210,269</w:t>
            </w:r>
            <w:r>
              <w:rPr>
                <w:rFonts w:ascii="宋体"/>
                <w:sz w:val="21"/>
                <w:szCs w:val="21"/>
              </w:rPr>
              <w:t>.</w:t>
            </w:r>
            <w:r>
              <w:rPr>
                <w:rFonts w:ascii="宋体" w:hAnsi="宋体"/>
                <w:sz w:val="21"/>
                <w:szCs w:val="21"/>
              </w:rPr>
              <w:t>27</w:t>
            </w:r>
          </w:p>
          <w:p>
            <w:pPr>
              <w:rPr>
                <w:rFonts w:ascii="宋体"/>
                <w:sz w:val="21"/>
                <w:szCs w:val="21"/>
              </w:rPr>
            </w:pPr>
            <w:r>
              <w:rPr>
                <w:rFonts w:ascii="宋体" w:hAnsi="宋体"/>
                <w:sz w:val="21"/>
                <w:szCs w:val="21"/>
              </w:rPr>
              <w:t>1-2</w:t>
            </w:r>
            <w:r>
              <w:rPr>
                <w:rFonts w:hint="eastAsia" w:ascii="宋体" w:hAnsi="宋体"/>
                <w:sz w:val="21"/>
                <w:szCs w:val="21"/>
              </w:rPr>
              <w:t>年：</w:t>
            </w:r>
            <w:r>
              <w:rPr>
                <w:rFonts w:ascii="宋体" w:hAnsi="宋体"/>
                <w:sz w:val="21"/>
                <w:szCs w:val="21"/>
              </w:rPr>
              <w:t>372,867</w:t>
            </w:r>
            <w:r>
              <w:rPr>
                <w:rFonts w:ascii="宋体"/>
                <w:sz w:val="21"/>
                <w:szCs w:val="21"/>
              </w:rPr>
              <w:t>.</w:t>
            </w:r>
            <w:r>
              <w:rPr>
                <w:rFonts w:ascii="宋体" w:hAnsi="宋体"/>
                <w:sz w:val="21"/>
                <w:szCs w:val="21"/>
              </w:rPr>
              <w:t>43  2-3</w:t>
            </w:r>
            <w:r>
              <w:rPr>
                <w:rFonts w:hint="eastAsia" w:ascii="宋体" w:hAnsi="宋体"/>
                <w:sz w:val="21"/>
                <w:szCs w:val="21"/>
              </w:rPr>
              <w:t>年：</w:t>
            </w:r>
            <w:r>
              <w:rPr>
                <w:rFonts w:ascii="宋体" w:hAnsi="宋体"/>
                <w:sz w:val="21"/>
                <w:szCs w:val="21"/>
              </w:rPr>
              <w:t>1</w:t>
            </w:r>
            <w:r>
              <w:rPr>
                <w:rFonts w:ascii="宋体"/>
                <w:sz w:val="21"/>
                <w:szCs w:val="21"/>
              </w:rPr>
              <w:t>,</w:t>
            </w:r>
            <w:r>
              <w:rPr>
                <w:rFonts w:ascii="宋体" w:hAnsi="宋体"/>
                <w:sz w:val="21"/>
                <w:szCs w:val="21"/>
              </w:rPr>
              <w:t>581,998</w:t>
            </w:r>
            <w:r>
              <w:rPr>
                <w:rFonts w:ascii="宋体"/>
                <w:sz w:val="21"/>
                <w:szCs w:val="21"/>
              </w:rPr>
              <w:t>.</w:t>
            </w:r>
            <w:r>
              <w:rPr>
                <w:rFonts w:ascii="宋体" w:hAnsi="宋体"/>
                <w:sz w:val="21"/>
                <w:szCs w:val="21"/>
              </w:rPr>
              <w:t>35</w:t>
            </w:r>
          </w:p>
          <w:p>
            <w:pPr>
              <w:rPr>
                <w:rFonts w:ascii="宋体"/>
                <w:sz w:val="21"/>
                <w:szCs w:val="21"/>
              </w:rPr>
            </w:pPr>
            <w:r>
              <w:rPr>
                <w:rFonts w:ascii="宋体" w:hAnsi="宋体"/>
                <w:sz w:val="21"/>
                <w:szCs w:val="21"/>
              </w:rPr>
              <w:t>3-4</w:t>
            </w:r>
            <w:r>
              <w:rPr>
                <w:rFonts w:hint="eastAsia" w:ascii="宋体" w:hAnsi="宋体"/>
                <w:sz w:val="21"/>
                <w:szCs w:val="21"/>
              </w:rPr>
              <w:t>年：</w:t>
            </w:r>
            <w:r>
              <w:rPr>
                <w:rFonts w:ascii="宋体" w:hAnsi="宋体"/>
                <w:sz w:val="21"/>
                <w:szCs w:val="21"/>
              </w:rPr>
              <w:t>143</w:t>
            </w:r>
            <w:r>
              <w:rPr>
                <w:rFonts w:ascii="宋体"/>
                <w:sz w:val="21"/>
                <w:szCs w:val="21"/>
              </w:rPr>
              <w:t>,</w:t>
            </w:r>
            <w:r>
              <w:rPr>
                <w:rFonts w:ascii="宋体" w:hAnsi="宋体"/>
                <w:sz w:val="21"/>
                <w:szCs w:val="21"/>
              </w:rPr>
              <w:t>406.43</w:t>
            </w:r>
          </w:p>
        </w:tc>
        <w:tc>
          <w:tcPr>
            <w:tcW w:w="163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rFonts w:ascii="宋体" w:hAnsi="宋体"/>
                <w:sz w:val="21"/>
                <w:szCs w:val="21"/>
              </w:rPr>
              <w:t>7.18%</w:t>
            </w:r>
          </w:p>
        </w:tc>
        <w:tc>
          <w:tcPr>
            <w:tcW w:w="163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70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江苏海兰信海洋工程技术开发有限公司</w:t>
            </w:r>
          </w:p>
        </w:tc>
        <w:tc>
          <w:tcPr>
            <w:tcW w:w="157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关联方往来款</w:t>
            </w:r>
          </w:p>
        </w:tc>
        <w:tc>
          <w:tcPr>
            <w:tcW w:w="157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704,706.26</w:t>
            </w:r>
          </w:p>
        </w:tc>
        <w:tc>
          <w:tcPr>
            <w:tcW w:w="157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1</w:t>
            </w:r>
            <w:r>
              <w:rPr>
                <w:rFonts w:hint="eastAsia"/>
                <w:sz w:val="21"/>
                <w:szCs w:val="21"/>
              </w:rPr>
              <w:t>年以内</w:t>
            </w:r>
          </w:p>
        </w:tc>
        <w:tc>
          <w:tcPr>
            <w:tcW w:w="163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2.19%</w:t>
            </w:r>
          </w:p>
        </w:tc>
        <w:tc>
          <w:tcPr>
            <w:tcW w:w="163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707"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山东省海洋与渔业督监察总队</w:t>
            </w:r>
          </w:p>
        </w:tc>
        <w:tc>
          <w:tcPr>
            <w:tcW w:w="1571"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保证金</w:t>
            </w:r>
          </w:p>
        </w:tc>
        <w:tc>
          <w:tcPr>
            <w:tcW w:w="157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517,559.20</w:t>
            </w:r>
          </w:p>
        </w:tc>
        <w:tc>
          <w:tcPr>
            <w:tcW w:w="1572"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sz w:val="21"/>
                <w:szCs w:val="21"/>
              </w:rPr>
              <w:t>1</w:t>
            </w:r>
            <w:r>
              <w:rPr>
                <w:rFonts w:hint="eastAsia"/>
                <w:sz w:val="21"/>
                <w:szCs w:val="21"/>
              </w:rPr>
              <w:t>年以内</w:t>
            </w:r>
          </w:p>
        </w:tc>
        <w:tc>
          <w:tcPr>
            <w:tcW w:w="163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1.61%</w:t>
            </w:r>
          </w:p>
        </w:tc>
        <w:tc>
          <w:tcPr>
            <w:tcW w:w="163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25,877.96</w:t>
            </w:r>
          </w:p>
        </w:tc>
      </w:tr>
      <w:tr>
        <w:tblPrEx>
          <w:tblLayout w:type="fixed"/>
          <w:tblCellMar>
            <w:top w:w="0" w:type="dxa"/>
            <w:left w:w="28" w:type="dxa"/>
            <w:bottom w:w="0" w:type="dxa"/>
            <w:right w:w="28" w:type="dxa"/>
          </w:tblCellMar>
        </w:tblPrEx>
        <w:tc>
          <w:tcPr>
            <w:tcW w:w="1707"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157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sz w:val="21"/>
                <w:szCs w:val="21"/>
              </w:rPr>
              <w:t>--</w:t>
            </w:r>
          </w:p>
        </w:tc>
        <w:tc>
          <w:tcPr>
            <w:tcW w:w="157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27,191,606.94</w:t>
            </w:r>
          </w:p>
        </w:tc>
        <w:tc>
          <w:tcPr>
            <w:tcW w:w="157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sz w:val="21"/>
                <w:szCs w:val="21"/>
              </w:rPr>
              <w:t>--</w:t>
            </w:r>
          </w:p>
        </w:tc>
        <w:tc>
          <w:tcPr>
            <w:tcW w:w="163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84.55%</w:t>
            </w:r>
          </w:p>
        </w:tc>
        <w:tc>
          <w:tcPr>
            <w:tcW w:w="163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891,957.96</w:t>
            </w:r>
          </w:p>
        </w:tc>
      </w:tr>
    </w:tbl>
    <w:p>
      <w:pPr>
        <w:pStyle w:val="11"/>
        <w:outlineLvl w:val="2"/>
        <w:rPr>
          <w:bCs w:val="0"/>
          <w:szCs w:val="24"/>
        </w:rPr>
      </w:pPr>
      <w:r>
        <w:rPr>
          <w:bCs w:val="0"/>
          <w:szCs w:val="24"/>
        </w:rPr>
        <w:t>3</w:t>
      </w:r>
      <w:r>
        <w:rPr>
          <w:rFonts w:hint="eastAsia"/>
          <w:bCs w:val="0"/>
          <w:szCs w:val="24"/>
        </w:rPr>
        <w:t>、长期股权投资</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571" w:type="dxa"/>
        <w:tblInd w:w="28" w:type="dxa"/>
        <w:tblLayout w:type="fixed"/>
        <w:tblCellMar>
          <w:top w:w="0" w:type="dxa"/>
          <w:left w:w="28" w:type="dxa"/>
          <w:bottom w:w="0" w:type="dxa"/>
          <w:right w:w="28" w:type="dxa"/>
        </w:tblCellMar>
      </w:tblPr>
      <w:tblGrid>
        <w:gridCol w:w="1368"/>
        <w:gridCol w:w="1368"/>
        <w:gridCol w:w="1367"/>
        <w:gridCol w:w="1367"/>
        <w:gridCol w:w="1367"/>
        <w:gridCol w:w="1367"/>
        <w:gridCol w:w="1367"/>
      </w:tblGrid>
      <w:tr>
        <w:tblPrEx>
          <w:tblLayout w:type="fixed"/>
          <w:tblCellMar>
            <w:top w:w="0" w:type="dxa"/>
            <w:left w:w="28" w:type="dxa"/>
            <w:bottom w:w="0" w:type="dxa"/>
            <w:right w:w="28" w:type="dxa"/>
          </w:tblCellMar>
        </w:tblPrEx>
        <w:tc>
          <w:tcPr>
            <w:tcW w:w="1368"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4102" w:type="dxa"/>
            <w:gridSpan w:val="3"/>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c>
          <w:tcPr>
            <w:tcW w:w="4101" w:type="dxa"/>
            <w:gridSpan w:val="3"/>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期初余额</w:t>
            </w:r>
          </w:p>
        </w:tc>
      </w:tr>
      <w:tr>
        <w:tblPrEx>
          <w:tblLayout w:type="fixed"/>
          <w:tblCellMar>
            <w:top w:w="0" w:type="dxa"/>
            <w:left w:w="28" w:type="dxa"/>
            <w:bottom w:w="0" w:type="dxa"/>
            <w:right w:w="28" w:type="dxa"/>
          </w:tblCellMar>
        </w:tblPrEx>
        <w:tc>
          <w:tcPr>
            <w:tcW w:w="1368"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368"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账面余额</w:t>
            </w:r>
          </w:p>
        </w:tc>
        <w:tc>
          <w:tcPr>
            <w:tcW w:w="136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减值准备</w:t>
            </w:r>
          </w:p>
        </w:tc>
        <w:tc>
          <w:tcPr>
            <w:tcW w:w="136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账面价值</w:t>
            </w:r>
          </w:p>
        </w:tc>
        <w:tc>
          <w:tcPr>
            <w:tcW w:w="136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账面余额</w:t>
            </w:r>
          </w:p>
        </w:tc>
        <w:tc>
          <w:tcPr>
            <w:tcW w:w="136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减值准备</w:t>
            </w:r>
          </w:p>
        </w:tc>
        <w:tc>
          <w:tcPr>
            <w:tcW w:w="136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账面价值</w:t>
            </w:r>
          </w:p>
        </w:tc>
      </w:tr>
      <w:tr>
        <w:tblPrEx>
          <w:tblLayout w:type="fixed"/>
          <w:tblCellMar>
            <w:top w:w="0" w:type="dxa"/>
            <w:left w:w="28" w:type="dxa"/>
            <w:bottom w:w="0" w:type="dxa"/>
            <w:right w:w="28" w:type="dxa"/>
          </w:tblCellMar>
        </w:tblPrEx>
        <w:tc>
          <w:tcPr>
            <w:tcW w:w="1368"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rPr>
                <w:rFonts w:hint="eastAsia"/>
              </w:rPr>
              <w:t>对子公司投资</w:t>
            </w:r>
          </w:p>
        </w:tc>
        <w:tc>
          <w:tcPr>
            <w:tcW w:w="13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793,926,757.66</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793,926,757.66</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793,926,757.66</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793,926,757.66</w:t>
            </w:r>
          </w:p>
        </w:tc>
      </w:tr>
      <w:tr>
        <w:tblPrEx>
          <w:tblLayout w:type="fixed"/>
          <w:tblCellMar>
            <w:top w:w="0" w:type="dxa"/>
            <w:left w:w="28" w:type="dxa"/>
            <w:bottom w:w="0" w:type="dxa"/>
            <w:right w:w="28" w:type="dxa"/>
          </w:tblCellMar>
        </w:tblPrEx>
        <w:tc>
          <w:tcPr>
            <w:tcW w:w="1368"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rPr>
                <w:rFonts w:hint="eastAsia"/>
              </w:rPr>
              <w:t>对联营、合营企业投资</w:t>
            </w:r>
          </w:p>
        </w:tc>
        <w:tc>
          <w:tcPr>
            <w:tcW w:w="13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33,170,392.04</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33,170,392.04</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14,131,997.85</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14,131,997.85</w:t>
            </w:r>
          </w:p>
        </w:tc>
      </w:tr>
      <w:tr>
        <w:tblPrEx>
          <w:tblLayout w:type="fixed"/>
          <w:tblCellMar>
            <w:top w:w="0" w:type="dxa"/>
            <w:left w:w="28" w:type="dxa"/>
            <w:bottom w:w="0" w:type="dxa"/>
            <w:right w:w="28" w:type="dxa"/>
          </w:tblCellMar>
        </w:tblPrEx>
        <w:tc>
          <w:tcPr>
            <w:tcW w:w="1368"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pPr>
            <w:r>
              <w:rPr>
                <w:rFonts w:hint="eastAsia"/>
              </w:rPr>
              <w:t>合计</w:t>
            </w:r>
          </w:p>
        </w:tc>
        <w:tc>
          <w:tcPr>
            <w:tcW w:w="1368"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827,097,149.70</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p>
        </w:tc>
        <w:tc>
          <w:tcPr>
            <w:tcW w:w="1367" w:type="dxa"/>
            <w:tcBorders>
              <w:top w:val="single" w:color="auto" w:sz="4" w:space="0"/>
              <w:left w:val="single" w:color="auto" w:sz="4" w:space="0"/>
              <w:bottom w:val="single" w:color="auto" w:sz="4" w:space="0"/>
              <w:right w:val="single" w:color="auto" w:sz="4" w:space="0"/>
            </w:tcBorders>
            <w:vAlign w:val="center"/>
          </w:tcPr>
          <w:p>
            <w:pPr>
              <w:jc w:val="right"/>
            </w:pPr>
            <w:r>
              <w:t>827,097,149.70</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r>
              <w:t>808,058,755.51</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pPr>
          </w:p>
        </w:tc>
        <w:tc>
          <w:tcPr>
            <w:tcW w:w="1367" w:type="dxa"/>
            <w:tcBorders>
              <w:top w:val="single" w:color="auto" w:sz="4" w:space="0"/>
              <w:left w:val="single" w:color="auto" w:sz="4" w:space="0"/>
              <w:bottom w:val="single" w:color="auto" w:sz="4" w:space="0"/>
              <w:right w:val="single" w:color="auto" w:sz="4" w:space="0"/>
            </w:tcBorders>
            <w:vAlign w:val="center"/>
          </w:tcPr>
          <w:p>
            <w:pPr>
              <w:jc w:val="right"/>
            </w:pPr>
            <w:r>
              <w:t>808,058,755.51</w:t>
            </w:r>
          </w:p>
        </w:tc>
      </w:tr>
    </w:tbl>
    <w:p>
      <w:pPr>
        <w:pStyle w:val="11"/>
        <w:outlineLvl w:val="3"/>
        <w:rPr>
          <w:bCs w:val="0"/>
          <w:szCs w:val="24"/>
        </w:rPr>
      </w:pPr>
      <w:r>
        <w:rPr>
          <w:rFonts w:hint="eastAsia"/>
          <w:bCs w:val="0"/>
          <w:szCs w:val="24"/>
        </w:rPr>
        <w:t>（</w:t>
      </w:r>
      <w:r>
        <w:rPr>
          <w:bCs w:val="0"/>
          <w:szCs w:val="24"/>
        </w:rPr>
        <w:t>1</w:t>
      </w:r>
      <w:r>
        <w:rPr>
          <w:rFonts w:hint="eastAsia"/>
          <w:bCs w:val="0"/>
          <w:szCs w:val="24"/>
        </w:rPr>
        <w:t>）对子公司投资</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694" w:type="dxa"/>
        <w:tblInd w:w="0" w:type="dxa"/>
        <w:tblLayout w:type="fixed"/>
        <w:tblCellMar>
          <w:top w:w="0" w:type="dxa"/>
          <w:left w:w="28" w:type="dxa"/>
          <w:bottom w:w="0" w:type="dxa"/>
          <w:right w:w="28" w:type="dxa"/>
        </w:tblCellMar>
      </w:tblPr>
      <w:tblGrid>
        <w:gridCol w:w="1459"/>
        <w:gridCol w:w="1369"/>
        <w:gridCol w:w="1346"/>
        <w:gridCol w:w="1347"/>
        <w:gridCol w:w="1369"/>
        <w:gridCol w:w="1402"/>
        <w:gridCol w:w="1402"/>
      </w:tblGrid>
      <w:tr>
        <w:tblPrEx>
          <w:tblLayout w:type="fixed"/>
          <w:tblCellMar>
            <w:top w:w="0" w:type="dxa"/>
            <w:left w:w="28" w:type="dxa"/>
            <w:bottom w:w="0" w:type="dxa"/>
            <w:right w:w="28" w:type="dxa"/>
          </w:tblCellMar>
        </w:tblPrEx>
        <w:tc>
          <w:tcPr>
            <w:tcW w:w="145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被投资单位</w:t>
            </w:r>
          </w:p>
        </w:tc>
        <w:tc>
          <w:tcPr>
            <w:tcW w:w="136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期初余额</w:t>
            </w:r>
          </w:p>
        </w:tc>
        <w:tc>
          <w:tcPr>
            <w:tcW w:w="134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本期增加</w:t>
            </w:r>
          </w:p>
        </w:tc>
        <w:tc>
          <w:tcPr>
            <w:tcW w:w="134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本期减少</w:t>
            </w:r>
          </w:p>
        </w:tc>
        <w:tc>
          <w:tcPr>
            <w:tcW w:w="136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c>
          <w:tcPr>
            <w:tcW w:w="140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本期计提减值准备</w:t>
            </w:r>
          </w:p>
        </w:tc>
        <w:tc>
          <w:tcPr>
            <w:tcW w:w="1402"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减值准备期末余额</w:t>
            </w:r>
          </w:p>
        </w:tc>
      </w:tr>
      <w:tr>
        <w:tblPrEx>
          <w:tblLayout w:type="fixed"/>
          <w:tblCellMar>
            <w:top w:w="0" w:type="dxa"/>
            <w:left w:w="28" w:type="dxa"/>
            <w:bottom w:w="0" w:type="dxa"/>
            <w:right w:w="28" w:type="dxa"/>
          </w:tblCellMar>
        </w:tblPrEx>
        <w:tc>
          <w:tcPr>
            <w:tcW w:w="145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北京海兰信船舶设备有限公司</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8,500,000.00</w:t>
            </w:r>
          </w:p>
        </w:tc>
        <w:tc>
          <w:tcPr>
            <w:tcW w:w="134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8,500,000.00</w:t>
            </w:r>
          </w:p>
        </w:tc>
        <w:tc>
          <w:tcPr>
            <w:tcW w:w="14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4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45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海兰信（香港）航海科技有限公司</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4,333,424.31</w:t>
            </w:r>
          </w:p>
        </w:tc>
        <w:tc>
          <w:tcPr>
            <w:tcW w:w="134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4,333,424.31</w:t>
            </w:r>
          </w:p>
        </w:tc>
        <w:tc>
          <w:tcPr>
            <w:tcW w:w="14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4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45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北京海兰盈华科技有限公司</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21,300,000.00</w:t>
            </w:r>
          </w:p>
        </w:tc>
        <w:tc>
          <w:tcPr>
            <w:tcW w:w="134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21,300,000.00</w:t>
            </w:r>
          </w:p>
        </w:tc>
        <w:tc>
          <w:tcPr>
            <w:tcW w:w="14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4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45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北京海兰弘义科技有限公司</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4,964,120.16</w:t>
            </w:r>
          </w:p>
        </w:tc>
        <w:tc>
          <w:tcPr>
            <w:tcW w:w="134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4,964,120.16</w:t>
            </w:r>
          </w:p>
        </w:tc>
        <w:tc>
          <w:tcPr>
            <w:tcW w:w="14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4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45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江苏海兰船舶电气系统科技有限公司</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50,000,000.00</w:t>
            </w:r>
          </w:p>
        </w:tc>
        <w:tc>
          <w:tcPr>
            <w:tcW w:w="134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50,000,000.00</w:t>
            </w:r>
          </w:p>
        </w:tc>
        <w:tc>
          <w:tcPr>
            <w:tcW w:w="14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4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45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成都海兰天澄科技股份有限公司</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4,229,213.19</w:t>
            </w:r>
          </w:p>
        </w:tc>
        <w:tc>
          <w:tcPr>
            <w:tcW w:w="134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4,229,213.19</w:t>
            </w:r>
          </w:p>
        </w:tc>
        <w:tc>
          <w:tcPr>
            <w:tcW w:w="14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4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45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三沙海兰信海洋信息科技有限公司</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50,000,000.00</w:t>
            </w:r>
          </w:p>
        </w:tc>
        <w:tc>
          <w:tcPr>
            <w:tcW w:w="134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50,000,000.00</w:t>
            </w:r>
          </w:p>
        </w:tc>
        <w:tc>
          <w:tcPr>
            <w:tcW w:w="14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4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45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江苏海兰信船舶设备有限公司</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100,000,000.00</w:t>
            </w:r>
          </w:p>
        </w:tc>
        <w:tc>
          <w:tcPr>
            <w:tcW w:w="134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100,000,000.00</w:t>
            </w:r>
          </w:p>
        </w:tc>
        <w:tc>
          <w:tcPr>
            <w:tcW w:w="14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4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459"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上海海兰劳雷海洋科技有限公司</w:t>
            </w: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550,600,000.00</w:t>
            </w:r>
          </w:p>
        </w:tc>
        <w:tc>
          <w:tcPr>
            <w:tcW w:w="134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550,600,000.00</w:t>
            </w:r>
          </w:p>
        </w:tc>
        <w:tc>
          <w:tcPr>
            <w:tcW w:w="14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4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1459"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1369"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793,926,757.66</w:t>
            </w:r>
          </w:p>
        </w:tc>
        <w:tc>
          <w:tcPr>
            <w:tcW w:w="134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4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369"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793,926,757.66</w:t>
            </w:r>
          </w:p>
        </w:tc>
        <w:tc>
          <w:tcPr>
            <w:tcW w:w="1402"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402"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p>
        </w:tc>
      </w:tr>
    </w:tbl>
    <w:p>
      <w:pPr>
        <w:pStyle w:val="11"/>
        <w:outlineLvl w:val="3"/>
        <w:rPr>
          <w:bCs w:val="0"/>
          <w:szCs w:val="24"/>
        </w:rPr>
      </w:pPr>
      <w:r>
        <w:rPr>
          <w:rFonts w:hint="eastAsia"/>
          <w:bCs w:val="0"/>
          <w:szCs w:val="24"/>
        </w:rPr>
        <w:t>（</w:t>
      </w:r>
      <w:r>
        <w:rPr>
          <w:bCs w:val="0"/>
          <w:szCs w:val="24"/>
        </w:rPr>
        <w:t>2</w:t>
      </w:r>
      <w:r>
        <w:rPr>
          <w:rFonts w:hint="eastAsia"/>
          <w:bCs w:val="0"/>
          <w:szCs w:val="24"/>
        </w:rPr>
        <w:t>）对联营、合营企业投资</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694" w:type="dxa"/>
        <w:tblInd w:w="0" w:type="dxa"/>
        <w:tblLayout w:type="fixed"/>
        <w:tblCellMar>
          <w:top w:w="0" w:type="dxa"/>
          <w:left w:w="28" w:type="dxa"/>
          <w:bottom w:w="0" w:type="dxa"/>
          <w:right w:w="28" w:type="dxa"/>
        </w:tblCellMar>
      </w:tblPr>
      <w:tblGrid>
        <w:gridCol w:w="525"/>
        <w:gridCol w:w="1264"/>
        <w:gridCol w:w="1264"/>
        <w:gridCol w:w="526"/>
        <w:gridCol w:w="1221"/>
        <w:gridCol w:w="526"/>
        <w:gridCol w:w="1001"/>
        <w:gridCol w:w="526"/>
        <w:gridCol w:w="526"/>
        <w:gridCol w:w="526"/>
        <w:gridCol w:w="1264"/>
        <w:gridCol w:w="525"/>
      </w:tblGrid>
      <w:tr>
        <w:tblPrEx>
          <w:tblLayout w:type="fixed"/>
          <w:tblCellMar>
            <w:top w:w="0" w:type="dxa"/>
            <w:left w:w="28" w:type="dxa"/>
            <w:bottom w:w="0" w:type="dxa"/>
            <w:right w:w="28" w:type="dxa"/>
          </w:tblCellMar>
        </w:tblPrEx>
        <w:tc>
          <w:tcPr>
            <w:tcW w:w="525"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投资单位</w:t>
            </w:r>
          </w:p>
        </w:tc>
        <w:tc>
          <w:tcPr>
            <w:tcW w:w="1264"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期初余额</w:t>
            </w:r>
          </w:p>
        </w:tc>
        <w:tc>
          <w:tcPr>
            <w:tcW w:w="6116" w:type="dxa"/>
            <w:gridSpan w:val="8"/>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本期增减变动</w:t>
            </w:r>
          </w:p>
        </w:tc>
        <w:tc>
          <w:tcPr>
            <w:tcW w:w="1264"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期末余额</w:t>
            </w:r>
          </w:p>
        </w:tc>
        <w:tc>
          <w:tcPr>
            <w:tcW w:w="525"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减值准备期末余额</w:t>
            </w:r>
          </w:p>
        </w:tc>
      </w:tr>
      <w:tr>
        <w:tblPrEx>
          <w:tblLayout w:type="fixed"/>
          <w:tblCellMar>
            <w:top w:w="0" w:type="dxa"/>
            <w:left w:w="28" w:type="dxa"/>
            <w:bottom w:w="0" w:type="dxa"/>
            <w:right w:w="28" w:type="dxa"/>
          </w:tblCellMar>
        </w:tblPrEx>
        <w:tc>
          <w:tcPr>
            <w:tcW w:w="525"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264"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追加投资</w:t>
            </w:r>
          </w:p>
        </w:tc>
        <w:tc>
          <w:tcPr>
            <w:tcW w:w="52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减少投资</w:t>
            </w:r>
          </w:p>
        </w:tc>
        <w:tc>
          <w:tcPr>
            <w:tcW w:w="122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权益法下确认的投资损益</w:t>
            </w:r>
          </w:p>
        </w:tc>
        <w:tc>
          <w:tcPr>
            <w:tcW w:w="52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其他综合收益调整</w:t>
            </w:r>
          </w:p>
        </w:tc>
        <w:tc>
          <w:tcPr>
            <w:tcW w:w="1001"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其他权益变动</w:t>
            </w:r>
          </w:p>
        </w:tc>
        <w:tc>
          <w:tcPr>
            <w:tcW w:w="52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宣告发放现金股利或利润</w:t>
            </w:r>
          </w:p>
        </w:tc>
        <w:tc>
          <w:tcPr>
            <w:tcW w:w="52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计提减值准备</w:t>
            </w:r>
          </w:p>
        </w:tc>
        <w:tc>
          <w:tcPr>
            <w:tcW w:w="52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其他</w:t>
            </w:r>
          </w:p>
        </w:tc>
        <w:tc>
          <w:tcPr>
            <w:tcW w:w="1264"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525"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r>
      <w:tr>
        <w:tblPrEx>
          <w:tblLayout w:type="fixed"/>
          <w:tblCellMar>
            <w:top w:w="0" w:type="dxa"/>
            <w:left w:w="28" w:type="dxa"/>
            <w:bottom w:w="0" w:type="dxa"/>
            <w:right w:w="28" w:type="dxa"/>
          </w:tblCellMar>
        </w:tblPrEx>
        <w:tc>
          <w:tcPr>
            <w:tcW w:w="9694" w:type="dxa"/>
            <w:gridSpan w:val="12"/>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一、合营企业</w:t>
            </w:r>
          </w:p>
        </w:tc>
      </w:tr>
      <w:tr>
        <w:tblPrEx>
          <w:tblLayout w:type="fixed"/>
          <w:tblCellMar>
            <w:top w:w="0" w:type="dxa"/>
            <w:left w:w="28" w:type="dxa"/>
            <w:bottom w:w="0" w:type="dxa"/>
            <w:right w:w="28" w:type="dxa"/>
          </w:tblCellMar>
        </w:tblPrEx>
        <w:tc>
          <w:tcPr>
            <w:tcW w:w="9694" w:type="dxa"/>
            <w:gridSpan w:val="12"/>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二、联营企业</w:t>
            </w:r>
          </w:p>
        </w:tc>
      </w:tr>
      <w:tr>
        <w:tblPrEx>
          <w:tblLayout w:type="fixed"/>
          <w:tblCellMar>
            <w:top w:w="0" w:type="dxa"/>
            <w:left w:w="28" w:type="dxa"/>
            <w:bottom w:w="0" w:type="dxa"/>
            <w:right w:w="28" w:type="dxa"/>
          </w:tblCellMar>
        </w:tblPrEx>
        <w:tc>
          <w:tcPr>
            <w:tcW w:w="52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北京蓝鲸众合投资管理有限公司</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2,183,576.41</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2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-213,279.31</w:t>
            </w:r>
          </w:p>
        </w:tc>
        <w:tc>
          <w:tcPr>
            <w:tcW w:w="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0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151,234.83</w:t>
            </w:r>
          </w:p>
        </w:tc>
        <w:tc>
          <w:tcPr>
            <w:tcW w:w="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2,121,531.93</w:t>
            </w:r>
          </w:p>
        </w:tc>
        <w:tc>
          <w:tcPr>
            <w:tcW w:w="52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52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杭州边界电子技术有限公司</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11,948,421.44</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2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-866,380.04</w:t>
            </w:r>
          </w:p>
        </w:tc>
        <w:tc>
          <w:tcPr>
            <w:tcW w:w="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0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11,082,041.40</w:t>
            </w:r>
          </w:p>
        </w:tc>
        <w:tc>
          <w:tcPr>
            <w:tcW w:w="52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525"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浙江海兰信海洋信息科技有限公司</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20,000,000.00</w:t>
            </w:r>
          </w:p>
        </w:tc>
        <w:tc>
          <w:tcPr>
            <w:tcW w:w="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2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-33,181.29</w:t>
            </w:r>
          </w:p>
        </w:tc>
        <w:tc>
          <w:tcPr>
            <w:tcW w:w="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0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19,966,818.71</w:t>
            </w:r>
          </w:p>
        </w:tc>
        <w:tc>
          <w:tcPr>
            <w:tcW w:w="52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52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小计</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14,131,997.85</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20,000,000.00</w:t>
            </w:r>
          </w:p>
        </w:tc>
        <w:tc>
          <w:tcPr>
            <w:tcW w:w="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2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-1,112,840.64</w:t>
            </w:r>
          </w:p>
        </w:tc>
        <w:tc>
          <w:tcPr>
            <w:tcW w:w="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0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151,234.83</w:t>
            </w:r>
          </w:p>
        </w:tc>
        <w:tc>
          <w:tcPr>
            <w:tcW w:w="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33,170,392.04</w:t>
            </w:r>
          </w:p>
        </w:tc>
        <w:tc>
          <w:tcPr>
            <w:tcW w:w="525"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525"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1264"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14,131,997.85</w:t>
            </w:r>
          </w:p>
        </w:tc>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20,000,000.00</w:t>
            </w:r>
          </w:p>
        </w:tc>
        <w:tc>
          <w:tcPr>
            <w:tcW w:w="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2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-1,112,840.64</w:t>
            </w:r>
          </w:p>
        </w:tc>
        <w:tc>
          <w:tcPr>
            <w:tcW w:w="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001"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151,234.83</w:t>
            </w:r>
          </w:p>
        </w:tc>
        <w:tc>
          <w:tcPr>
            <w:tcW w:w="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52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1264"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33,170,392.04</w:t>
            </w:r>
          </w:p>
        </w:tc>
        <w:tc>
          <w:tcPr>
            <w:tcW w:w="525"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p>
        </w:tc>
      </w:tr>
    </w:tbl>
    <w:p>
      <w:pPr>
        <w:pStyle w:val="11"/>
        <w:outlineLvl w:val="3"/>
        <w:rPr>
          <w:bCs w:val="0"/>
          <w:szCs w:val="24"/>
        </w:rPr>
      </w:pPr>
      <w:r>
        <w:rPr>
          <w:rFonts w:hint="eastAsia"/>
          <w:bCs w:val="0"/>
          <w:szCs w:val="24"/>
        </w:rPr>
        <w:t>（</w:t>
      </w:r>
      <w:r>
        <w:rPr>
          <w:bCs w:val="0"/>
          <w:szCs w:val="24"/>
        </w:rPr>
        <w:t>3</w:t>
      </w:r>
      <w:r>
        <w:rPr>
          <w:rFonts w:hint="eastAsia"/>
          <w:bCs w:val="0"/>
          <w:szCs w:val="24"/>
        </w:rPr>
        <w:t>）其他说明</w:t>
      </w:r>
    </w:p>
    <w:p>
      <w:pPr>
        <w:pStyle w:val="11"/>
        <w:outlineLvl w:val="2"/>
        <w:rPr>
          <w:bCs w:val="0"/>
          <w:szCs w:val="24"/>
        </w:rPr>
      </w:pPr>
      <w:r>
        <w:rPr>
          <w:bCs w:val="0"/>
          <w:szCs w:val="24"/>
        </w:rPr>
        <w:t>4</w:t>
      </w:r>
      <w:r>
        <w:rPr>
          <w:rFonts w:hint="eastAsia"/>
          <w:bCs w:val="0"/>
          <w:szCs w:val="24"/>
        </w:rPr>
        <w:t>、营业收入和营业成本</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570" w:type="dxa"/>
        <w:tblInd w:w="28" w:type="dxa"/>
        <w:tblLayout w:type="fixed"/>
        <w:tblCellMar>
          <w:top w:w="0" w:type="dxa"/>
          <w:left w:w="28" w:type="dxa"/>
          <w:bottom w:w="0" w:type="dxa"/>
          <w:right w:w="28" w:type="dxa"/>
        </w:tblCellMar>
      </w:tblPr>
      <w:tblGrid>
        <w:gridCol w:w="1994"/>
        <w:gridCol w:w="1837"/>
        <w:gridCol w:w="1913"/>
        <w:gridCol w:w="1913"/>
        <w:gridCol w:w="1913"/>
      </w:tblGrid>
      <w:tr>
        <w:tblPrEx>
          <w:tblLayout w:type="fixed"/>
          <w:tblCellMar>
            <w:top w:w="0" w:type="dxa"/>
            <w:left w:w="28" w:type="dxa"/>
            <w:bottom w:w="0" w:type="dxa"/>
            <w:right w:w="28" w:type="dxa"/>
          </w:tblCellMar>
        </w:tblPrEx>
        <w:tc>
          <w:tcPr>
            <w:tcW w:w="1994"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3750"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本期发生额</w:t>
            </w:r>
          </w:p>
        </w:tc>
        <w:tc>
          <w:tcPr>
            <w:tcW w:w="3826"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上期发生额</w:t>
            </w:r>
          </w:p>
        </w:tc>
      </w:tr>
      <w:tr>
        <w:tblPrEx>
          <w:tblLayout w:type="fixed"/>
          <w:tblCellMar>
            <w:top w:w="0" w:type="dxa"/>
            <w:left w:w="28" w:type="dxa"/>
            <w:bottom w:w="0" w:type="dxa"/>
            <w:right w:w="28" w:type="dxa"/>
          </w:tblCellMar>
        </w:tblPrEx>
        <w:tc>
          <w:tcPr>
            <w:tcW w:w="1994"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837"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收入</w:t>
            </w:r>
          </w:p>
        </w:tc>
        <w:tc>
          <w:tcPr>
            <w:tcW w:w="191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成本</w:t>
            </w:r>
          </w:p>
        </w:tc>
        <w:tc>
          <w:tcPr>
            <w:tcW w:w="191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收入</w:t>
            </w:r>
          </w:p>
        </w:tc>
        <w:tc>
          <w:tcPr>
            <w:tcW w:w="191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成本</w:t>
            </w:r>
          </w:p>
        </w:tc>
      </w:tr>
      <w:tr>
        <w:tblPrEx>
          <w:tblLayout w:type="fixed"/>
          <w:tblCellMar>
            <w:top w:w="0" w:type="dxa"/>
            <w:left w:w="28" w:type="dxa"/>
            <w:bottom w:w="0" w:type="dxa"/>
            <w:right w:w="28" w:type="dxa"/>
          </w:tblCellMar>
        </w:tblPrEx>
        <w:tc>
          <w:tcPr>
            <w:tcW w:w="19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主营业务</w:t>
            </w:r>
          </w:p>
        </w:tc>
        <w:tc>
          <w:tcPr>
            <w:tcW w:w="183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181,858,500.72</w:t>
            </w:r>
          </w:p>
        </w:tc>
        <w:tc>
          <w:tcPr>
            <w:tcW w:w="191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90,309,319.62</w:t>
            </w:r>
          </w:p>
        </w:tc>
        <w:tc>
          <w:tcPr>
            <w:tcW w:w="191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168,931,340.63</w:t>
            </w:r>
          </w:p>
        </w:tc>
        <w:tc>
          <w:tcPr>
            <w:tcW w:w="191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83,026,772.35</w:t>
            </w:r>
          </w:p>
        </w:tc>
      </w:tr>
      <w:tr>
        <w:tblPrEx>
          <w:tblLayout w:type="fixed"/>
          <w:tblCellMar>
            <w:top w:w="0" w:type="dxa"/>
            <w:left w:w="28" w:type="dxa"/>
            <w:bottom w:w="0" w:type="dxa"/>
            <w:right w:w="28" w:type="dxa"/>
          </w:tblCellMar>
        </w:tblPrEx>
        <w:tc>
          <w:tcPr>
            <w:tcW w:w="19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其他业务</w:t>
            </w:r>
          </w:p>
        </w:tc>
        <w:tc>
          <w:tcPr>
            <w:tcW w:w="183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1,047,011.88</w:t>
            </w:r>
          </w:p>
        </w:tc>
        <w:tc>
          <w:tcPr>
            <w:tcW w:w="191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1,009,173.15</w:t>
            </w:r>
          </w:p>
        </w:tc>
        <w:tc>
          <w:tcPr>
            <w:tcW w:w="191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1,190,197.71</w:t>
            </w:r>
          </w:p>
        </w:tc>
        <w:tc>
          <w:tcPr>
            <w:tcW w:w="191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1,046,880.51</w:t>
            </w:r>
          </w:p>
        </w:tc>
      </w:tr>
      <w:tr>
        <w:tblPrEx>
          <w:tblLayout w:type="fixed"/>
          <w:tblCellMar>
            <w:top w:w="0" w:type="dxa"/>
            <w:left w:w="28" w:type="dxa"/>
            <w:bottom w:w="0" w:type="dxa"/>
            <w:right w:w="28" w:type="dxa"/>
          </w:tblCellMar>
        </w:tblPrEx>
        <w:tc>
          <w:tcPr>
            <w:tcW w:w="199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1837"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182,905,512.60</w:t>
            </w:r>
          </w:p>
        </w:tc>
        <w:tc>
          <w:tcPr>
            <w:tcW w:w="191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91,318,492.77</w:t>
            </w:r>
          </w:p>
        </w:tc>
        <w:tc>
          <w:tcPr>
            <w:tcW w:w="191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170,121,538.34</w:t>
            </w:r>
          </w:p>
        </w:tc>
        <w:tc>
          <w:tcPr>
            <w:tcW w:w="191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84,073,652.86</w:t>
            </w:r>
          </w:p>
        </w:tc>
      </w:tr>
    </w:tbl>
    <w:p>
      <w:pPr>
        <w:jc w:val="left"/>
        <w:rPr>
          <w:szCs w:val="24"/>
        </w:rPr>
      </w:pPr>
      <w:r>
        <w:rPr>
          <w:rFonts w:hint="eastAsia"/>
          <w:szCs w:val="24"/>
        </w:rPr>
        <w:t>其他说明：</w:t>
      </w:r>
    </w:p>
    <w:p>
      <w:pPr>
        <w:pStyle w:val="11"/>
        <w:outlineLvl w:val="2"/>
        <w:rPr>
          <w:bCs w:val="0"/>
          <w:szCs w:val="24"/>
        </w:rPr>
      </w:pPr>
      <w:r>
        <w:rPr>
          <w:bCs w:val="0"/>
          <w:szCs w:val="24"/>
        </w:rPr>
        <w:t>5</w:t>
      </w:r>
      <w:r>
        <w:rPr>
          <w:rFonts w:hint="eastAsia"/>
          <w:bCs w:val="0"/>
          <w:szCs w:val="24"/>
        </w:rPr>
        <w:t>、投资收益</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569" w:type="dxa"/>
        <w:tblInd w:w="28" w:type="dxa"/>
        <w:tblLayout w:type="fixed"/>
        <w:tblCellMar>
          <w:top w:w="0" w:type="dxa"/>
          <w:left w:w="28" w:type="dxa"/>
          <w:bottom w:w="0" w:type="dxa"/>
          <w:right w:w="28" w:type="dxa"/>
        </w:tblCellMar>
      </w:tblPr>
      <w:tblGrid>
        <w:gridCol w:w="3324"/>
        <w:gridCol w:w="3059"/>
        <w:gridCol w:w="3186"/>
      </w:tblGrid>
      <w:tr>
        <w:tblPrEx>
          <w:tblLayout w:type="fixed"/>
          <w:tblCellMar>
            <w:top w:w="0" w:type="dxa"/>
            <w:left w:w="28" w:type="dxa"/>
            <w:bottom w:w="0" w:type="dxa"/>
            <w:right w:w="28" w:type="dxa"/>
          </w:tblCellMar>
        </w:tblPrEx>
        <w:tc>
          <w:tcPr>
            <w:tcW w:w="332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305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本期发生额</w:t>
            </w:r>
          </w:p>
        </w:tc>
        <w:tc>
          <w:tcPr>
            <w:tcW w:w="318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上期发生额</w:t>
            </w:r>
          </w:p>
        </w:tc>
      </w:tr>
      <w:tr>
        <w:tblPrEx>
          <w:tblLayout w:type="fixed"/>
          <w:tblCellMar>
            <w:top w:w="0" w:type="dxa"/>
            <w:left w:w="28" w:type="dxa"/>
            <w:bottom w:w="0" w:type="dxa"/>
            <w:right w:w="28" w:type="dxa"/>
          </w:tblCellMar>
        </w:tblPrEx>
        <w:tc>
          <w:tcPr>
            <w:tcW w:w="332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权益法核算的长期股权投资收益</w:t>
            </w:r>
          </w:p>
        </w:tc>
        <w:tc>
          <w:tcPr>
            <w:tcW w:w="305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-1,112,840.64</w:t>
            </w:r>
          </w:p>
        </w:tc>
        <w:tc>
          <w:tcPr>
            <w:tcW w:w="318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3,656,087.27</w:t>
            </w:r>
          </w:p>
        </w:tc>
      </w:tr>
      <w:tr>
        <w:tblPrEx>
          <w:tblLayout w:type="fixed"/>
          <w:tblCellMar>
            <w:top w:w="0" w:type="dxa"/>
            <w:left w:w="28" w:type="dxa"/>
            <w:bottom w:w="0" w:type="dxa"/>
            <w:right w:w="28" w:type="dxa"/>
          </w:tblCellMar>
        </w:tblPrEx>
        <w:tc>
          <w:tcPr>
            <w:tcW w:w="332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处置长期股权投资产生的投资收益</w:t>
            </w:r>
          </w:p>
        </w:tc>
        <w:tc>
          <w:tcPr>
            <w:tcW w:w="305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c>
          <w:tcPr>
            <w:tcW w:w="318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7,530,818.49</w:t>
            </w:r>
          </w:p>
        </w:tc>
      </w:tr>
      <w:tr>
        <w:tblPrEx>
          <w:tblLayout w:type="fixed"/>
          <w:tblCellMar>
            <w:top w:w="0" w:type="dxa"/>
            <w:left w:w="28" w:type="dxa"/>
            <w:bottom w:w="0" w:type="dxa"/>
            <w:right w:w="28" w:type="dxa"/>
          </w:tblCellMar>
        </w:tblPrEx>
        <w:tc>
          <w:tcPr>
            <w:tcW w:w="3324"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r>
              <w:rPr>
                <w:rFonts w:hint="eastAsia"/>
                <w:sz w:val="21"/>
                <w:szCs w:val="21"/>
              </w:rPr>
              <w:t>理财产品收益</w:t>
            </w:r>
          </w:p>
        </w:tc>
        <w:tc>
          <w:tcPr>
            <w:tcW w:w="305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108,111.23</w:t>
            </w:r>
          </w:p>
        </w:tc>
        <w:tc>
          <w:tcPr>
            <w:tcW w:w="3186"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p>
        </w:tc>
      </w:tr>
      <w:tr>
        <w:tblPrEx>
          <w:tblLayout w:type="fixed"/>
          <w:tblCellMar>
            <w:top w:w="0" w:type="dxa"/>
            <w:left w:w="28" w:type="dxa"/>
            <w:bottom w:w="0" w:type="dxa"/>
            <w:right w:w="28" w:type="dxa"/>
          </w:tblCellMar>
        </w:tblPrEx>
        <w:tc>
          <w:tcPr>
            <w:tcW w:w="332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3059"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-1,004,729.41</w:t>
            </w:r>
          </w:p>
        </w:tc>
        <w:tc>
          <w:tcPr>
            <w:tcW w:w="3186"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11,186,905.76</w:t>
            </w:r>
          </w:p>
        </w:tc>
      </w:tr>
    </w:tbl>
    <w:p>
      <w:pPr>
        <w:pStyle w:val="10"/>
        <w:outlineLvl w:val="1"/>
        <w:rPr>
          <w:bCs w:val="0"/>
        </w:rPr>
      </w:pPr>
      <w:r>
        <w:rPr>
          <w:rFonts w:hint="eastAsia"/>
          <w:bCs w:val="0"/>
        </w:rPr>
        <w:t>十五、补充资料</w:t>
      </w:r>
    </w:p>
    <w:p>
      <w:pPr>
        <w:pStyle w:val="11"/>
        <w:outlineLvl w:val="2"/>
        <w:rPr>
          <w:bCs w:val="0"/>
          <w:szCs w:val="24"/>
        </w:rPr>
      </w:pPr>
      <w:r>
        <w:rPr>
          <w:bCs w:val="0"/>
          <w:szCs w:val="24"/>
        </w:rPr>
        <w:t>1</w:t>
      </w:r>
      <w:r>
        <w:rPr>
          <w:rFonts w:hint="eastAsia"/>
          <w:bCs w:val="0"/>
          <w:szCs w:val="24"/>
        </w:rPr>
        <w:t>、当期非经常性损益明细表</w:t>
      </w:r>
    </w:p>
    <w:p>
      <w:pPr>
        <w:jc w:val="left"/>
        <w:rPr>
          <w:sz w:val="21"/>
          <w:szCs w:val="21"/>
        </w:rPr>
      </w:pPr>
      <w:r>
        <w:rPr>
          <w:sz w:val="21"/>
          <w:szCs w:val="21"/>
        </w:rPr>
        <w:t xml:space="preserve">√ </w:t>
      </w:r>
      <w:r>
        <w:rPr>
          <w:rFonts w:hint="eastAsia"/>
          <w:sz w:val="21"/>
          <w:szCs w:val="21"/>
        </w:rPr>
        <w:t>适用</w:t>
      </w:r>
      <w:r>
        <w:rPr>
          <w:sz w:val="21"/>
          <w:szCs w:val="21"/>
        </w:rPr>
        <w:t xml:space="preserve"> □ </w:t>
      </w:r>
      <w:r>
        <w:rPr>
          <w:rFonts w:hint="eastAsia"/>
          <w:sz w:val="21"/>
          <w:szCs w:val="21"/>
        </w:rPr>
        <w:t>不适用</w:t>
      </w:r>
      <w:r>
        <w:rPr>
          <w:sz w:val="21"/>
          <w:szCs w:val="21"/>
        </w:rPr>
        <w:t xml:space="preserve"> </w:t>
      </w:r>
    </w:p>
    <w:p>
      <w:pPr>
        <w:jc w:val="right"/>
        <w:rPr>
          <w:sz w:val="21"/>
          <w:szCs w:val="21"/>
        </w:rPr>
      </w:pPr>
      <w:r>
        <w:rPr>
          <w:rFonts w:hint="eastAsia"/>
          <w:sz w:val="21"/>
          <w:szCs w:val="21"/>
        </w:rPr>
        <w:t>单位：</w:t>
      </w:r>
      <w:r>
        <w:rPr>
          <w:sz w:val="21"/>
          <w:szCs w:val="21"/>
        </w:rPr>
        <w:t xml:space="preserve"> </w:t>
      </w:r>
      <w:r>
        <w:rPr>
          <w:rFonts w:hint="eastAsia"/>
          <w:sz w:val="21"/>
          <w:szCs w:val="21"/>
        </w:rPr>
        <w:t>元</w:t>
      </w:r>
    </w:p>
    <w:tbl>
      <w:tblPr>
        <w:tblStyle w:val="8"/>
        <w:tblW w:w="9569" w:type="dxa"/>
        <w:tblInd w:w="28" w:type="dxa"/>
        <w:tblLayout w:type="fixed"/>
        <w:tblCellMar>
          <w:top w:w="0" w:type="dxa"/>
          <w:left w:w="28" w:type="dxa"/>
          <w:bottom w:w="0" w:type="dxa"/>
          <w:right w:w="28" w:type="dxa"/>
        </w:tblCellMar>
      </w:tblPr>
      <w:tblGrid>
        <w:gridCol w:w="3324"/>
        <w:gridCol w:w="3059"/>
        <w:gridCol w:w="3186"/>
      </w:tblGrid>
      <w:tr>
        <w:tblPrEx>
          <w:tblLayout w:type="fixed"/>
          <w:tblCellMar>
            <w:top w:w="0" w:type="dxa"/>
            <w:left w:w="28" w:type="dxa"/>
            <w:bottom w:w="0" w:type="dxa"/>
            <w:right w:w="28" w:type="dxa"/>
          </w:tblCellMar>
        </w:tblPrEx>
        <w:tc>
          <w:tcPr>
            <w:tcW w:w="3324"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项目</w:t>
            </w:r>
          </w:p>
        </w:tc>
        <w:tc>
          <w:tcPr>
            <w:tcW w:w="3059"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金额</w:t>
            </w:r>
          </w:p>
        </w:tc>
        <w:tc>
          <w:tcPr>
            <w:tcW w:w="318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说明</w:t>
            </w:r>
          </w:p>
        </w:tc>
      </w:tr>
      <w:tr>
        <w:tblPrEx>
          <w:tblLayout w:type="fixed"/>
          <w:tblCellMar>
            <w:top w:w="0" w:type="dxa"/>
            <w:left w:w="28" w:type="dxa"/>
            <w:bottom w:w="0" w:type="dxa"/>
            <w:right w:w="28" w:type="dxa"/>
          </w:tblCellMar>
        </w:tblPrEx>
        <w:tc>
          <w:tcPr>
            <w:tcW w:w="332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非流动资产处置损益</w:t>
            </w:r>
          </w:p>
        </w:tc>
        <w:tc>
          <w:tcPr>
            <w:tcW w:w="305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-31,789.13</w:t>
            </w:r>
          </w:p>
        </w:tc>
        <w:tc>
          <w:tcPr>
            <w:tcW w:w="318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p>
        </w:tc>
      </w:tr>
      <w:tr>
        <w:tblPrEx>
          <w:tblLayout w:type="fixed"/>
          <w:tblCellMar>
            <w:top w:w="0" w:type="dxa"/>
            <w:left w:w="28" w:type="dxa"/>
            <w:bottom w:w="0" w:type="dxa"/>
            <w:right w:w="28" w:type="dxa"/>
          </w:tblCellMar>
        </w:tblPrEx>
        <w:tc>
          <w:tcPr>
            <w:tcW w:w="332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计入当期损益的政府补助（与企业业务密切相关，按照国家统一标准定额或定量享受的政府补助除外）</w:t>
            </w:r>
          </w:p>
        </w:tc>
        <w:tc>
          <w:tcPr>
            <w:tcW w:w="305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24,151,889.48</w:t>
            </w:r>
          </w:p>
        </w:tc>
        <w:tc>
          <w:tcPr>
            <w:tcW w:w="318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p>
        </w:tc>
      </w:tr>
      <w:tr>
        <w:tblPrEx>
          <w:tblLayout w:type="fixed"/>
          <w:tblCellMar>
            <w:top w:w="0" w:type="dxa"/>
            <w:left w:w="28" w:type="dxa"/>
            <w:bottom w:w="0" w:type="dxa"/>
            <w:right w:w="28" w:type="dxa"/>
          </w:tblCellMar>
        </w:tblPrEx>
        <w:tc>
          <w:tcPr>
            <w:tcW w:w="332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除上述各项之外的其他营业外收入和支出</w:t>
            </w:r>
          </w:p>
        </w:tc>
        <w:tc>
          <w:tcPr>
            <w:tcW w:w="305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72,394.75</w:t>
            </w:r>
          </w:p>
        </w:tc>
        <w:tc>
          <w:tcPr>
            <w:tcW w:w="318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p>
        </w:tc>
      </w:tr>
      <w:tr>
        <w:tblPrEx>
          <w:tblLayout w:type="fixed"/>
          <w:tblCellMar>
            <w:top w:w="0" w:type="dxa"/>
            <w:left w:w="28" w:type="dxa"/>
            <w:bottom w:w="0" w:type="dxa"/>
            <w:right w:w="28" w:type="dxa"/>
          </w:tblCellMar>
        </w:tblPrEx>
        <w:tc>
          <w:tcPr>
            <w:tcW w:w="332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减：所得税影响额</w:t>
            </w:r>
          </w:p>
        </w:tc>
        <w:tc>
          <w:tcPr>
            <w:tcW w:w="305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4,060,383.81</w:t>
            </w:r>
          </w:p>
        </w:tc>
        <w:tc>
          <w:tcPr>
            <w:tcW w:w="318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p>
        </w:tc>
      </w:tr>
      <w:tr>
        <w:tblPrEx>
          <w:tblLayout w:type="fixed"/>
          <w:tblCellMar>
            <w:top w:w="0" w:type="dxa"/>
            <w:left w:w="28" w:type="dxa"/>
            <w:bottom w:w="0" w:type="dxa"/>
            <w:right w:w="28" w:type="dxa"/>
          </w:tblCellMar>
        </w:tblPrEx>
        <w:tc>
          <w:tcPr>
            <w:tcW w:w="332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　　少数股东权益影响额</w:t>
            </w:r>
          </w:p>
        </w:tc>
        <w:tc>
          <w:tcPr>
            <w:tcW w:w="305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1,771,185.72</w:t>
            </w:r>
          </w:p>
        </w:tc>
        <w:tc>
          <w:tcPr>
            <w:tcW w:w="3186"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sz w:val="21"/>
                <w:szCs w:val="21"/>
              </w:rPr>
            </w:pPr>
          </w:p>
        </w:tc>
      </w:tr>
      <w:tr>
        <w:tblPrEx>
          <w:tblLayout w:type="fixed"/>
          <w:tblCellMar>
            <w:top w:w="0" w:type="dxa"/>
            <w:left w:w="28" w:type="dxa"/>
            <w:bottom w:w="0" w:type="dxa"/>
            <w:right w:w="28" w:type="dxa"/>
          </w:tblCellMar>
        </w:tblPrEx>
        <w:tc>
          <w:tcPr>
            <w:tcW w:w="3324"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合计</w:t>
            </w:r>
          </w:p>
        </w:tc>
        <w:tc>
          <w:tcPr>
            <w:tcW w:w="3059"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18,360,925.57</w:t>
            </w:r>
          </w:p>
        </w:tc>
        <w:tc>
          <w:tcPr>
            <w:tcW w:w="3186"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sz w:val="21"/>
                <w:szCs w:val="21"/>
              </w:rPr>
              <w:t>--</w:t>
            </w:r>
          </w:p>
        </w:tc>
      </w:tr>
    </w:tbl>
    <w:p>
      <w:pPr>
        <w:jc w:val="left"/>
        <w:rPr>
          <w:sz w:val="21"/>
          <w:szCs w:val="21"/>
        </w:rPr>
      </w:pPr>
      <w:r>
        <w:rPr>
          <w:rFonts w:hint="eastAsia"/>
          <w:sz w:val="21"/>
          <w:szCs w:val="21"/>
        </w:rPr>
        <w:t>注：各非经常性损益项目按税前金额列示。</w:t>
      </w:r>
    </w:p>
    <w:p>
      <w:pPr>
        <w:jc w:val="left"/>
        <w:rPr>
          <w:sz w:val="21"/>
          <w:szCs w:val="21"/>
        </w:rPr>
      </w:pPr>
      <w:r>
        <w:rPr>
          <w:rFonts w:hint="eastAsia"/>
          <w:sz w:val="21"/>
          <w:szCs w:val="21"/>
        </w:rPr>
        <w:t>对公司根据《公开发行证券的公司信息披露解释性公告第</w:t>
      </w:r>
      <w:r>
        <w:rPr>
          <w:sz w:val="21"/>
          <w:szCs w:val="21"/>
        </w:rPr>
        <w:t>1</w:t>
      </w:r>
      <w:r>
        <w:rPr>
          <w:rFonts w:hint="eastAsia"/>
          <w:sz w:val="21"/>
          <w:szCs w:val="21"/>
        </w:rPr>
        <w:t>号</w:t>
      </w:r>
      <w:r>
        <w:rPr>
          <w:sz w:val="21"/>
          <w:szCs w:val="21"/>
        </w:rPr>
        <w:t>——</w:t>
      </w:r>
      <w:r>
        <w:rPr>
          <w:rFonts w:hint="eastAsia"/>
          <w:sz w:val="21"/>
          <w:szCs w:val="21"/>
        </w:rPr>
        <w:t>非经常性损益》定义界定的非经常性损益项目，以及把《公开发行证券的公司信息披露解释性公告第</w:t>
      </w:r>
      <w:r>
        <w:rPr>
          <w:sz w:val="21"/>
          <w:szCs w:val="21"/>
        </w:rPr>
        <w:t>1</w:t>
      </w:r>
      <w:r>
        <w:rPr>
          <w:rFonts w:hint="eastAsia"/>
          <w:sz w:val="21"/>
          <w:szCs w:val="21"/>
        </w:rPr>
        <w:t>号</w:t>
      </w:r>
      <w:r>
        <w:rPr>
          <w:sz w:val="21"/>
          <w:szCs w:val="21"/>
        </w:rPr>
        <w:t>——</w:t>
      </w:r>
      <w:r>
        <w:rPr>
          <w:rFonts w:hint="eastAsia"/>
          <w:sz w:val="21"/>
          <w:szCs w:val="21"/>
        </w:rPr>
        <w:t>非经常性损益》中列举的非经常性损益项目界定为经常性损益的项目，应说明原因。</w:t>
      </w:r>
    </w:p>
    <w:p>
      <w:pPr>
        <w:jc w:val="left"/>
        <w:rPr>
          <w:sz w:val="21"/>
          <w:szCs w:val="21"/>
        </w:rPr>
      </w:pPr>
      <w:r>
        <w:rPr>
          <w:sz w:val="21"/>
          <w:szCs w:val="21"/>
        </w:rPr>
        <w:t xml:space="preserve">□ </w:t>
      </w:r>
      <w:r>
        <w:rPr>
          <w:rFonts w:hint="eastAsia"/>
          <w:sz w:val="21"/>
          <w:szCs w:val="21"/>
        </w:rPr>
        <w:t>适用</w:t>
      </w:r>
      <w:r>
        <w:rPr>
          <w:sz w:val="21"/>
          <w:szCs w:val="21"/>
        </w:rPr>
        <w:t xml:space="preserve"> √ </w:t>
      </w:r>
      <w:r>
        <w:rPr>
          <w:rFonts w:hint="eastAsia"/>
          <w:sz w:val="21"/>
          <w:szCs w:val="21"/>
        </w:rPr>
        <w:t>不适用</w:t>
      </w:r>
      <w:r>
        <w:rPr>
          <w:sz w:val="21"/>
          <w:szCs w:val="21"/>
        </w:rPr>
        <w:t xml:space="preserve"> </w:t>
      </w:r>
    </w:p>
    <w:p>
      <w:pPr>
        <w:pStyle w:val="11"/>
        <w:outlineLvl w:val="2"/>
        <w:rPr>
          <w:bCs w:val="0"/>
          <w:szCs w:val="24"/>
        </w:rPr>
      </w:pPr>
      <w:r>
        <w:rPr>
          <w:bCs w:val="0"/>
          <w:szCs w:val="24"/>
        </w:rPr>
        <w:t>2</w:t>
      </w:r>
      <w:r>
        <w:rPr>
          <w:rFonts w:hint="eastAsia"/>
          <w:bCs w:val="0"/>
          <w:szCs w:val="24"/>
        </w:rPr>
        <w:t>、净资产收益率及每股收益</w:t>
      </w:r>
    </w:p>
    <w:tbl>
      <w:tblPr>
        <w:tblStyle w:val="8"/>
        <w:tblW w:w="9568" w:type="dxa"/>
        <w:tblInd w:w="28" w:type="dxa"/>
        <w:tblLayout w:type="fixed"/>
        <w:tblCellMar>
          <w:top w:w="0" w:type="dxa"/>
          <w:left w:w="28" w:type="dxa"/>
          <w:bottom w:w="0" w:type="dxa"/>
          <w:right w:w="28" w:type="dxa"/>
        </w:tblCellMar>
      </w:tblPr>
      <w:tblGrid>
        <w:gridCol w:w="2662"/>
        <w:gridCol w:w="3080"/>
        <w:gridCol w:w="1913"/>
        <w:gridCol w:w="1913"/>
      </w:tblGrid>
      <w:tr>
        <w:tblPrEx>
          <w:tblLayout w:type="fixed"/>
          <w:tblCellMar>
            <w:top w:w="0" w:type="dxa"/>
            <w:left w:w="28" w:type="dxa"/>
            <w:bottom w:w="0" w:type="dxa"/>
            <w:right w:w="28" w:type="dxa"/>
          </w:tblCellMar>
        </w:tblPrEx>
        <w:tc>
          <w:tcPr>
            <w:tcW w:w="2662"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报告期利润</w:t>
            </w:r>
          </w:p>
        </w:tc>
        <w:tc>
          <w:tcPr>
            <w:tcW w:w="3080" w:type="dxa"/>
            <w:vMerge w:val="restart"/>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加权平均净资产收益率</w:t>
            </w:r>
          </w:p>
        </w:tc>
        <w:tc>
          <w:tcPr>
            <w:tcW w:w="3826" w:type="dxa"/>
            <w:gridSpan w:val="2"/>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每股收益</w:t>
            </w:r>
          </w:p>
        </w:tc>
      </w:tr>
      <w:tr>
        <w:tblPrEx>
          <w:tblLayout w:type="fixed"/>
          <w:tblCellMar>
            <w:top w:w="0" w:type="dxa"/>
            <w:left w:w="28" w:type="dxa"/>
            <w:bottom w:w="0" w:type="dxa"/>
            <w:right w:w="28" w:type="dxa"/>
          </w:tblCellMar>
        </w:tblPrEx>
        <w:tc>
          <w:tcPr>
            <w:tcW w:w="2662"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3080"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191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基本每股收益（元</w:t>
            </w:r>
            <w:r>
              <w:rPr>
                <w:sz w:val="21"/>
                <w:szCs w:val="21"/>
              </w:rPr>
              <w:t>/</w:t>
            </w:r>
            <w:r>
              <w:rPr>
                <w:rFonts w:hint="eastAsia"/>
                <w:sz w:val="21"/>
                <w:szCs w:val="21"/>
              </w:rPr>
              <w:t>股）</w:t>
            </w:r>
          </w:p>
        </w:tc>
        <w:tc>
          <w:tcPr>
            <w:tcW w:w="1913" w:type="dxa"/>
            <w:tcBorders>
              <w:top w:val="single" w:color="auto" w:sz="4" w:space="0"/>
              <w:left w:val="single" w:color="auto" w:sz="4" w:space="0"/>
              <w:bottom w:val="single" w:color="auto" w:sz="4" w:space="0"/>
              <w:right w:val="single" w:color="auto" w:sz="4" w:space="0"/>
            </w:tcBorders>
            <w:shd w:val="clear" w:color="auto" w:fill="D3D3D3"/>
            <w:vAlign w:val="center"/>
          </w:tcPr>
          <w:p>
            <w:pPr>
              <w:jc w:val="center"/>
              <w:rPr>
                <w:sz w:val="21"/>
                <w:szCs w:val="21"/>
              </w:rPr>
            </w:pPr>
            <w:r>
              <w:rPr>
                <w:rFonts w:hint="eastAsia"/>
                <w:sz w:val="21"/>
                <w:szCs w:val="21"/>
              </w:rPr>
              <w:t>稀释每股收益（元</w:t>
            </w:r>
            <w:r>
              <w:rPr>
                <w:sz w:val="21"/>
                <w:szCs w:val="21"/>
              </w:rPr>
              <w:t>/</w:t>
            </w:r>
            <w:r>
              <w:rPr>
                <w:rFonts w:hint="eastAsia"/>
                <w:sz w:val="21"/>
                <w:szCs w:val="21"/>
              </w:rPr>
              <w:t>股）</w:t>
            </w:r>
          </w:p>
        </w:tc>
      </w:tr>
      <w:tr>
        <w:tblPrEx>
          <w:tblLayout w:type="fixed"/>
          <w:tblCellMar>
            <w:top w:w="0" w:type="dxa"/>
            <w:left w:w="28" w:type="dxa"/>
            <w:bottom w:w="0" w:type="dxa"/>
            <w:right w:w="28" w:type="dxa"/>
          </w:tblCellMar>
        </w:tblPrEx>
        <w:tc>
          <w:tcPr>
            <w:tcW w:w="266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归属于公司普通股股东的净利润</w:t>
            </w:r>
          </w:p>
        </w:tc>
        <w:tc>
          <w:tcPr>
            <w:tcW w:w="30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6.72%</w:t>
            </w:r>
          </w:p>
        </w:tc>
        <w:tc>
          <w:tcPr>
            <w:tcW w:w="1913"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0.34</w:t>
            </w:r>
          </w:p>
        </w:tc>
        <w:tc>
          <w:tcPr>
            <w:tcW w:w="1913" w:type="dxa"/>
            <w:tcBorders>
              <w:top w:val="single" w:color="auto" w:sz="4" w:space="0"/>
              <w:left w:val="single" w:color="auto" w:sz="4" w:space="0"/>
              <w:bottom w:val="single" w:color="auto" w:sz="4" w:space="0"/>
              <w:right w:val="single" w:color="auto" w:sz="4" w:space="0"/>
            </w:tcBorders>
            <w:vAlign w:val="center"/>
          </w:tcPr>
          <w:p>
            <w:pPr>
              <w:jc w:val="right"/>
              <w:rPr>
                <w:sz w:val="21"/>
                <w:szCs w:val="21"/>
              </w:rPr>
            </w:pPr>
            <w:r>
              <w:rPr>
                <w:sz w:val="21"/>
                <w:szCs w:val="21"/>
              </w:rPr>
              <w:t>0.34</w:t>
            </w:r>
          </w:p>
        </w:tc>
      </w:tr>
      <w:tr>
        <w:tblPrEx>
          <w:tblLayout w:type="fixed"/>
          <w:tblCellMar>
            <w:top w:w="0" w:type="dxa"/>
            <w:left w:w="28" w:type="dxa"/>
            <w:bottom w:w="0" w:type="dxa"/>
            <w:right w:w="28" w:type="dxa"/>
          </w:tblCellMar>
        </w:tblPrEx>
        <w:tc>
          <w:tcPr>
            <w:tcW w:w="2662" w:type="dxa"/>
            <w:tcBorders>
              <w:top w:val="single" w:color="auto" w:sz="4" w:space="0"/>
              <w:left w:val="single" w:color="auto" w:sz="4" w:space="0"/>
              <w:bottom w:val="single" w:color="auto" w:sz="4" w:space="0"/>
              <w:right w:val="single" w:color="auto" w:sz="4" w:space="0"/>
            </w:tcBorders>
            <w:shd w:val="clear" w:color="auto" w:fill="D3D3D3"/>
            <w:vAlign w:val="center"/>
          </w:tcPr>
          <w:p>
            <w:pPr>
              <w:jc w:val="left"/>
              <w:rPr>
                <w:sz w:val="21"/>
                <w:szCs w:val="21"/>
              </w:rPr>
            </w:pPr>
            <w:r>
              <w:rPr>
                <w:rFonts w:hint="eastAsia"/>
                <w:sz w:val="21"/>
                <w:szCs w:val="21"/>
              </w:rPr>
              <w:t>扣除非经常性损益后归属于公司普通股股东的净利润</w:t>
            </w:r>
          </w:p>
        </w:tc>
        <w:tc>
          <w:tcPr>
            <w:tcW w:w="3080"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5.22%</w:t>
            </w:r>
          </w:p>
        </w:tc>
        <w:tc>
          <w:tcPr>
            <w:tcW w:w="191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0.26</w:t>
            </w:r>
          </w:p>
        </w:tc>
        <w:tc>
          <w:tcPr>
            <w:tcW w:w="1913" w:type="dxa"/>
            <w:tcBorders>
              <w:top w:val="single" w:color="auto" w:sz="4" w:space="0"/>
              <w:left w:val="single" w:color="auto" w:sz="4" w:space="0"/>
              <w:bottom w:val="single" w:color="auto" w:sz="4" w:space="0"/>
              <w:right w:val="single" w:color="auto" w:sz="4" w:space="0"/>
            </w:tcBorders>
            <w:shd w:val="clear" w:color="auto" w:fill="FFFFFF"/>
            <w:vAlign w:val="center"/>
          </w:tcPr>
          <w:p>
            <w:pPr>
              <w:jc w:val="right"/>
              <w:rPr>
                <w:sz w:val="21"/>
                <w:szCs w:val="21"/>
              </w:rPr>
            </w:pPr>
            <w:r>
              <w:rPr>
                <w:sz w:val="21"/>
                <w:szCs w:val="21"/>
              </w:rPr>
              <w:t>0.26</w:t>
            </w:r>
          </w:p>
        </w:tc>
      </w:tr>
    </w:tbl>
    <w:p>
      <w:pPr>
        <w:pStyle w:val="5"/>
        <w:outlineLvl w:val="0"/>
        <w:rPr>
          <w:bCs w:val="0"/>
          <w:szCs w:val="24"/>
        </w:rPr>
      </w:pPr>
      <w:r>
        <w:rPr>
          <w:bCs w:val="0"/>
          <w:szCs w:val="24"/>
        </w:rPr>
        <w:br w:type="page"/>
      </w:r>
      <w:r>
        <w:rPr>
          <w:rFonts w:hint="eastAsia"/>
          <w:bCs w:val="0"/>
          <w:szCs w:val="24"/>
        </w:rPr>
        <w:t>第十二节</w:t>
      </w:r>
      <w:r>
        <w:rPr>
          <w:bCs w:val="0"/>
          <w:szCs w:val="24"/>
        </w:rPr>
        <w:t xml:space="preserve"> </w:t>
      </w:r>
      <w:r>
        <w:rPr>
          <w:rFonts w:hint="eastAsia"/>
          <w:bCs w:val="0"/>
          <w:szCs w:val="24"/>
        </w:rPr>
        <w:t>备查文件目录</w:t>
      </w:r>
      <w:bookmarkEnd w:id="11"/>
    </w:p>
    <w:p>
      <w:pPr>
        <w:autoSpaceDE w:val="0"/>
        <w:autoSpaceDN w:val="0"/>
        <w:adjustRightInd w:val="0"/>
        <w:spacing w:before="0" w:after="0"/>
        <w:ind w:firstLine="420"/>
        <w:jc w:val="left"/>
        <w:rPr>
          <w:rFonts w:eastAsia="Times New Roman"/>
          <w:kern w:val="0"/>
          <w:sz w:val="21"/>
          <w:szCs w:val="24"/>
          <w:lang w:val="zh-CN"/>
        </w:rPr>
      </w:pPr>
      <w:r>
        <w:rPr>
          <w:rFonts w:hint="eastAsia" w:ascii="宋体" w:hAnsi="宋体" w:cs="宋体"/>
          <w:kern w:val="0"/>
          <w:sz w:val="21"/>
          <w:szCs w:val="24"/>
          <w:lang w:val="zh-CN"/>
        </w:rPr>
        <w:t>一、</w:t>
      </w:r>
      <w:r>
        <w:rPr>
          <w:rFonts w:eastAsia="Times New Roman"/>
          <w:kern w:val="0"/>
          <w:sz w:val="21"/>
          <w:szCs w:val="24"/>
          <w:lang w:val="zh-CN"/>
        </w:rPr>
        <w:t xml:space="preserve"> </w:t>
      </w:r>
      <w:r>
        <w:rPr>
          <w:rFonts w:hint="eastAsia" w:ascii="宋体" w:hAnsi="宋体" w:cs="宋体"/>
          <w:kern w:val="0"/>
          <w:sz w:val="21"/>
          <w:szCs w:val="24"/>
          <w:lang w:val="zh-CN"/>
        </w:rPr>
        <w:t>载有公司法定代表人、主管会计工作负责人、公司会计机构负责人（会计主管人员）签名并盖章的财务报表。</w:t>
      </w:r>
    </w:p>
    <w:p>
      <w:pPr>
        <w:autoSpaceDE w:val="0"/>
        <w:autoSpaceDN w:val="0"/>
        <w:adjustRightInd w:val="0"/>
        <w:spacing w:before="0" w:after="0"/>
        <w:ind w:firstLine="420"/>
        <w:jc w:val="left"/>
        <w:rPr>
          <w:rFonts w:eastAsia="Times New Roman"/>
          <w:kern w:val="0"/>
          <w:sz w:val="21"/>
          <w:szCs w:val="24"/>
          <w:lang w:val="zh-CN"/>
        </w:rPr>
      </w:pPr>
      <w:r>
        <w:rPr>
          <w:rFonts w:hint="eastAsia" w:ascii="宋体" w:hAnsi="宋体" w:cs="宋体"/>
          <w:kern w:val="0"/>
          <w:sz w:val="21"/>
          <w:szCs w:val="24"/>
          <w:lang w:val="zh-CN"/>
        </w:rPr>
        <w:t>二、</w:t>
      </w:r>
      <w:r>
        <w:rPr>
          <w:rFonts w:eastAsia="Times New Roman"/>
          <w:kern w:val="0"/>
          <w:sz w:val="21"/>
          <w:szCs w:val="24"/>
          <w:lang w:val="zh-CN"/>
        </w:rPr>
        <w:t xml:space="preserve"> </w:t>
      </w:r>
      <w:r>
        <w:rPr>
          <w:rFonts w:hint="eastAsia" w:ascii="宋体" w:hAnsi="宋体" w:cs="宋体"/>
          <w:kern w:val="0"/>
          <w:sz w:val="21"/>
          <w:szCs w:val="24"/>
          <w:lang w:val="zh-CN"/>
        </w:rPr>
        <w:t>载有会计师事务所盖章、注册会计师签名并盖章的审计报告原件。</w:t>
      </w:r>
    </w:p>
    <w:p>
      <w:pPr>
        <w:autoSpaceDE w:val="0"/>
        <w:autoSpaceDN w:val="0"/>
        <w:adjustRightInd w:val="0"/>
        <w:spacing w:before="0" w:after="0"/>
        <w:ind w:firstLine="420"/>
        <w:jc w:val="left"/>
        <w:rPr>
          <w:rFonts w:eastAsia="Times New Roman"/>
          <w:kern w:val="0"/>
          <w:sz w:val="21"/>
          <w:szCs w:val="24"/>
          <w:lang w:val="zh-CN"/>
        </w:rPr>
      </w:pPr>
      <w:r>
        <w:rPr>
          <w:rFonts w:hint="eastAsia" w:ascii="宋体" w:hAnsi="宋体" w:cs="宋体"/>
          <w:kern w:val="0"/>
          <w:sz w:val="21"/>
          <w:szCs w:val="24"/>
          <w:lang w:val="zh-CN"/>
        </w:rPr>
        <w:t>三、</w:t>
      </w:r>
      <w:r>
        <w:rPr>
          <w:rFonts w:eastAsia="Times New Roman"/>
          <w:kern w:val="0"/>
          <w:sz w:val="21"/>
          <w:szCs w:val="24"/>
          <w:lang w:val="zh-CN"/>
        </w:rPr>
        <w:t xml:space="preserve"> </w:t>
      </w:r>
      <w:r>
        <w:rPr>
          <w:rFonts w:hint="eastAsia" w:ascii="宋体" w:hAnsi="宋体" w:cs="宋体"/>
          <w:kern w:val="0"/>
          <w:sz w:val="21"/>
          <w:szCs w:val="24"/>
          <w:lang w:val="zh-CN"/>
        </w:rPr>
        <w:t>报告期内在证监会指定网站上公开披露过的所有公司文件的正本及公告的原稿。</w:t>
      </w:r>
    </w:p>
    <w:p>
      <w:pPr>
        <w:autoSpaceDE w:val="0"/>
        <w:autoSpaceDN w:val="0"/>
        <w:adjustRightInd w:val="0"/>
        <w:spacing w:before="0" w:after="0"/>
        <w:ind w:firstLine="420"/>
        <w:jc w:val="left"/>
        <w:rPr>
          <w:rFonts w:eastAsia="Times New Roman"/>
          <w:kern w:val="0"/>
          <w:sz w:val="21"/>
          <w:szCs w:val="24"/>
          <w:lang w:val="zh-CN"/>
        </w:rPr>
      </w:pPr>
      <w:r>
        <w:rPr>
          <w:rFonts w:hint="eastAsia" w:ascii="宋体" w:hAnsi="宋体" w:cs="宋体"/>
          <w:kern w:val="0"/>
          <w:sz w:val="21"/>
          <w:szCs w:val="24"/>
          <w:lang w:val="zh-CN"/>
        </w:rPr>
        <w:t>四、</w:t>
      </w:r>
      <w:r>
        <w:rPr>
          <w:rFonts w:eastAsia="Times New Roman"/>
          <w:kern w:val="0"/>
          <w:sz w:val="21"/>
          <w:szCs w:val="24"/>
          <w:lang w:val="zh-CN"/>
        </w:rPr>
        <w:t xml:space="preserve"> </w:t>
      </w:r>
      <w:r>
        <w:rPr>
          <w:rFonts w:hint="eastAsia" w:ascii="宋体" w:hAnsi="宋体" w:cs="宋体"/>
          <w:kern w:val="0"/>
          <w:sz w:val="21"/>
          <w:szCs w:val="24"/>
          <w:lang w:val="zh-CN"/>
        </w:rPr>
        <w:t>经公司法定代表人签名的</w:t>
      </w:r>
      <w:r>
        <w:rPr>
          <w:rFonts w:eastAsia="Times New Roman"/>
          <w:kern w:val="0"/>
          <w:sz w:val="21"/>
          <w:szCs w:val="24"/>
          <w:lang w:val="zh-CN"/>
        </w:rPr>
        <w:t xml:space="preserve"> 2016</w:t>
      </w:r>
      <w:r>
        <w:rPr>
          <w:rFonts w:hint="eastAsia" w:ascii="宋体" w:hAnsi="宋体" w:cs="宋体"/>
          <w:kern w:val="0"/>
          <w:sz w:val="21"/>
          <w:szCs w:val="24"/>
          <w:lang w:val="zh-CN"/>
        </w:rPr>
        <w:t>年度报告文本原件。</w:t>
      </w:r>
    </w:p>
    <w:p>
      <w:pPr>
        <w:autoSpaceDE w:val="0"/>
        <w:autoSpaceDN w:val="0"/>
        <w:adjustRightInd w:val="0"/>
        <w:spacing w:before="0" w:after="0"/>
        <w:ind w:firstLine="420"/>
        <w:jc w:val="left"/>
        <w:rPr>
          <w:rFonts w:eastAsia="Times New Roman"/>
          <w:kern w:val="0"/>
          <w:sz w:val="21"/>
          <w:szCs w:val="24"/>
          <w:lang w:val="zh-CN"/>
        </w:rPr>
      </w:pPr>
      <w:r>
        <w:rPr>
          <w:rFonts w:hint="eastAsia" w:ascii="宋体" w:hAnsi="宋体" w:cs="宋体"/>
          <w:kern w:val="0"/>
          <w:sz w:val="21"/>
          <w:szCs w:val="24"/>
          <w:lang w:val="zh-CN"/>
        </w:rPr>
        <w:t>五、</w:t>
      </w:r>
      <w:r>
        <w:rPr>
          <w:rFonts w:eastAsia="Times New Roman"/>
          <w:kern w:val="0"/>
          <w:sz w:val="21"/>
          <w:szCs w:val="24"/>
          <w:lang w:val="zh-CN"/>
        </w:rPr>
        <w:t xml:space="preserve"> </w:t>
      </w:r>
      <w:r>
        <w:rPr>
          <w:rFonts w:hint="eastAsia" w:ascii="宋体" w:hAnsi="宋体" w:cs="宋体"/>
          <w:kern w:val="0"/>
          <w:sz w:val="21"/>
          <w:szCs w:val="24"/>
          <w:lang w:val="zh-CN"/>
        </w:rPr>
        <w:t>其他相关资料。</w:t>
      </w:r>
    </w:p>
    <w:p>
      <w:pPr>
        <w:autoSpaceDE w:val="0"/>
        <w:autoSpaceDN w:val="0"/>
        <w:adjustRightInd w:val="0"/>
        <w:spacing w:before="0" w:after="0"/>
        <w:ind w:firstLine="420"/>
        <w:jc w:val="left"/>
        <w:rPr>
          <w:rFonts w:eastAsia="Times New Roman"/>
          <w:kern w:val="0"/>
          <w:sz w:val="21"/>
          <w:szCs w:val="24"/>
          <w:lang w:val="zh-CN"/>
        </w:rPr>
      </w:pPr>
      <w:r>
        <w:rPr>
          <w:rFonts w:hint="eastAsia" w:ascii="宋体" w:hAnsi="宋体" w:cs="宋体"/>
          <w:kern w:val="0"/>
          <w:sz w:val="21"/>
          <w:szCs w:val="24"/>
          <w:lang w:val="zh-CN"/>
        </w:rPr>
        <w:t>六、</w:t>
      </w:r>
      <w:r>
        <w:rPr>
          <w:rFonts w:eastAsia="Times New Roman"/>
          <w:kern w:val="0"/>
          <w:sz w:val="21"/>
          <w:szCs w:val="24"/>
          <w:lang w:val="zh-CN"/>
        </w:rPr>
        <w:t xml:space="preserve"> </w:t>
      </w:r>
      <w:r>
        <w:rPr>
          <w:rFonts w:hint="eastAsia" w:ascii="宋体" w:hAnsi="宋体" w:cs="宋体"/>
          <w:kern w:val="0"/>
          <w:sz w:val="21"/>
          <w:szCs w:val="24"/>
          <w:lang w:val="zh-CN"/>
        </w:rPr>
        <w:t>以上备查文件的备置地点：公司董事会办公室。</w:t>
      </w:r>
    </w:p>
    <w:p>
      <w:pPr>
        <w:autoSpaceDE w:val="0"/>
        <w:autoSpaceDN w:val="0"/>
        <w:adjustRightInd w:val="0"/>
        <w:spacing w:before="0" w:after="0"/>
        <w:jc w:val="left"/>
        <w:rPr>
          <w:rFonts w:eastAsia="Times New Roman"/>
          <w:kern w:val="0"/>
          <w:szCs w:val="24"/>
          <w:lang w:val="zh-CN"/>
        </w:rPr>
      </w:pPr>
    </w:p>
    <w:sectPr>
      <w:pgSz w:w="11906" w:h="16838"/>
      <w:pgMar w:top="1440" w:right="1134"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Segoe UI Symbol">
    <w:panose1 w:val="020B0502040204020203"/>
    <w:charset w:val="00"/>
    <w:family w:val="swiss"/>
    <w:pitch w:val="default"/>
    <w:sig w:usb0="800001E3" w:usb1="1200FFEF" w:usb2="00040000" w:usb3="04000000" w:csb0="00000001" w:csb1="40000000"/>
  </w:font>
  <w:font w:name="MS Mincho">
    <w:altName w:val="MS Gothic"/>
    <w:panose1 w:val="02020609040205080304"/>
    <w:charset w:val="80"/>
    <w:family w:val="roman"/>
    <w:pitch w:val="default"/>
    <w:sig w:usb0="00000000" w:usb1="00000000" w:usb2="00000010" w:usb3="00000000" w:csb0="00020000" w:csb1="00000000"/>
  </w:font>
  <w:font w:name="Arial">
    <w:panose1 w:val="020B0604020202020204"/>
    <w:charset w:val="00"/>
    <w:family w:val="swiss"/>
    <w:pitch w:val="default"/>
    <w:sig w:usb0="E0002EFF" w:usb1="C0007843" w:usb2="00000009" w:usb3="00000000" w:csb0="400001FF" w:csb1="FFFF0000"/>
  </w:font>
  <w:font w:name="MS Gothic">
    <w:panose1 w:val="020B0609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fldChar w:fldCharType="begin"/>
    </w:r>
    <w:r>
      <w:instrText xml:space="preserve"> PAGE </w:instrText>
    </w:r>
    <w:r>
      <w:fldChar w:fldCharType="separate"/>
    </w:r>
    <w:r>
      <w:t>16</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fldChar w:fldCharType="begin"/>
    </w:r>
    <w:r>
      <w:instrText xml:space="preserve"> PAGE </w:instrText>
    </w:r>
    <w:r>
      <w:fldChar w:fldCharType="separate"/>
    </w:r>
    <w:r>
      <w:t>186</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Fonts w:hint="eastAsia"/>
      </w:rPr>
      <w:t>北京海兰信数据科技股份有限公司</w:t>
    </w:r>
    <w:r>
      <w:t>2016</w:t>
    </w:r>
    <w:r>
      <w:rPr>
        <w:rFonts w:hint="eastAsia"/>
      </w:rPr>
      <w:t>年年度报告全文</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Fonts w:hint="eastAsia"/>
      </w:rPr>
      <w:t>北京海兰信数据科技股份有限公司</w:t>
    </w:r>
    <w:r>
      <w:t>2016</w:t>
    </w:r>
    <w:r>
      <w:rPr>
        <w:rFonts w:hint="eastAsia"/>
      </w:rPr>
      <w:t>年年度报告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B1276F"/>
    <w:multiLevelType w:val="singleLevel"/>
    <w:tmpl w:val="0BB1276F"/>
    <w:lvl w:ilvl="0" w:tentative="0">
      <w:start w:val="3"/>
      <w:numFmt w:val="decimal"/>
      <w:lvlText w:val="%1."/>
      <w:legacy w:legacy="1" w:legacySpace="0" w:legacyIndent="0"/>
      <w:lvlJc w:val="left"/>
      <w:rPr>
        <w:rFonts w:hint="eastAsia" w:ascii="宋体" w:hAnsi="宋体" w:eastAsia="宋体" w:cs="Times New Roman"/>
      </w:rPr>
    </w:lvl>
  </w:abstractNum>
  <w:abstractNum w:abstractNumId="1">
    <w:nsid w:val="6E8535FF"/>
    <w:multiLevelType w:val="singleLevel"/>
    <w:tmpl w:val="6E8535FF"/>
    <w:lvl w:ilvl="0" w:tentative="0">
      <w:start w:val="1"/>
      <w:numFmt w:val="decimal"/>
      <w:lvlText w:val="%1."/>
      <w:legacy w:legacy="1" w:legacySpace="0" w:legacyIndent="0"/>
      <w:lvlJc w:val="left"/>
      <w:rPr>
        <w:rFonts w:hint="eastAsia" w:ascii="宋体" w:hAnsi="宋体" w:eastAsia="宋体" w:cs="Times New Roman"/>
      </w:rPr>
    </w:lvl>
  </w:abstractNum>
  <w:abstractNum w:abstractNumId="2">
    <w:nsid w:val="7CCC6727"/>
    <w:multiLevelType w:val="singleLevel"/>
    <w:tmpl w:val="7CCC6727"/>
    <w:lvl w:ilvl="0" w:tentative="0">
      <w:start w:val="1"/>
      <w:numFmt w:val="decimal"/>
      <w:lvlText w:val="%1."/>
      <w:legacy w:legacy="1" w:legacySpace="0" w:legacyIndent="0"/>
      <w:lvlJc w:val="left"/>
      <w:rPr>
        <w:rFonts w:hint="eastAsia" w:ascii="宋体" w:hAnsi="宋体" w:eastAsia="宋体" w:cs="Times New Roman"/>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NotTrackMoves/>
  <w:documentProtection w:enforcement="0"/>
  <w:defaultTabStop w:val="420"/>
  <w:doNotHyphenateCaps/>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94541"/>
    <w:rsid w:val="00072206"/>
    <w:rsid w:val="000963AB"/>
    <w:rsid w:val="001869B0"/>
    <w:rsid w:val="0023488D"/>
    <w:rsid w:val="003A102E"/>
    <w:rsid w:val="006E003A"/>
    <w:rsid w:val="007F505C"/>
    <w:rsid w:val="00821905"/>
    <w:rsid w:val="00827A94"/>
    <w:rsid w:val="0085037E"/>
    <w:rsid w:val="00877CF6"/>
    <w:rsid w:val="00883523"/>
    <w:rsid w:val="0090148C"/>
    <w:rsid w:val="00927BDE"/>
    <w:rsid w:val="00975C79"/>
    <w:rsid w:val="00A31A2D"/>
    <w:rsid w:val="00A50D92"/>
    <w:rsid w:val="00B22191"/>
    <w:rsid w:val="00BF0520"/>
    <w:rsid w:val="00CE627C"/>
    <w:rsid w:val="00D94541"/>
    <w:rsid w:val="00E75172"/>
    <w:rsid w:val="00E8447F"/>
    <w:rsid w:val="72235C9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14:defaultImageDpi w14:val="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before="40" w:after="40"/>
      <w:jc w:val="both"/>
    </w:pPr>
    <w:rPr>
      <w:rFonts w:ascii="Times New Roman" w:hAnsi="Times New Roman" w:eastAsia="宋体" w:cs="Times New Roman"/>
      <w:kern w:val="2"/>
      <w:sz w:val="18"/>
      <w:szCs w:val="18"/>
      <w:lang w:val="en-US" w:eastAsia="zh-CN" w:bidi="ar-SA"/>
    </w:rPr>
  </w:style>
  <w:style w:type="character" w:default="1" w:styleId="6">
    <w:name w:val="Default Paragraph Font"/>
    <w:semiHidden/>
    <w:unhideWhenUsed/>
    <w:uiPriority w:val="1"/>
  </w:style>
  <w:style w:type="table" w:default="1" w:styleId="8">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13"/>
    <w:uiPriority w:val="99"/>
    <w:pPr>
      <w:tabs>
        <w:tab w:val="center" w:pos="4153"/>
        <w:tab w:val="right" w:pos="8306"/>
      </w:tabs>
      <w:snapToGrid w:val="0"/>
      <w:spacing w:before="0" w:after="0"/>
      <w:jc w:val="right"/>
    </w:pPr>
  </w:style>
  <w:style w:type="paragraph" w:styleId="3">
    <w:name w:val="header"/>
    <w:basedOn w:val="1"/>
    <w:link w:val="12"/>
    <w:uiPriority w:val="99"/>
    <w:pPr>
      <w:pBdr>
        <w:bottom w:val="single" w:color="auto" w:sz="6" w:space="1"/>
      </w:pBdr>
      <w:tabs>
        <w:tab w:val="center" w:pos="4153"/>
        <w:tab w:val="right" w:pos="8306"/>
      </w:tabs>
      <w:snapToGrid w:val="0"/>
      <w:spacing w:before="0" w:after="0"/>
      <w:jc w:val="right"/>
    </w:pPr>
  </w:style>
  <w:style w:type="paragraph" w:styleId="4">
    <w:name w:val="Normal (Web)"/>
    <w:basedOn w:val="1"/>
    <w:semiHidden/>
    <w:unhideWhenUsed/>
    <w:uiPriority w:val="99"/>
    <w:pPr>
      <w:widowControl/>
      <w:spacing w:before="100" w:beforeAutospacing="1" w:after="100" w:afterAutospacing="1"/>
      <w:jc w:val="left"/>
    </w:pPr>
    <w:rPr>
      <w:rFonts w:ascii="宋体" w:hAnsi="宋体" w:cs="宋体"/>
      <w:kern w:val="0"/>
      <w:sz w:val="24"/>
      <w:szCs w:val="24"/>
    </w:rPr>
  </w:style>
  <w:style w:type="paragraph" w:styleId="5">
    <w:name w:val="Title"/>
    <w:basedOn w:val="1"/>
    <w:next w:val="1"/>
    <w:link w:val="9"/>
    <w:qFormat/>
    <w:uiPriority w:val="99"/>
    <w:pPr>
      <w:keepNext/>
      <w:keepLines/>
      <w:spacing w:before="340" w:after="330" w:line="578" w:lineRule="auto"/>
      <w:jc w:val="center"/>
    </w:pPr>
    <w:rPr>
      <w:b/>
      <w:bCs/>
      <w:kern w:val="32"/>
      <w:sz w:val="32"/>
      <w:szCs w:val="32"/>
    </w:rPr>
  </w:style>
  <w:style w:type="character" w:styleId="7">
    <w:name w:val="Hyperlink"/>
    <w:unhideWhenUsed/>
    <w:uiPriority w:val="99"/>
    <w:rPr>
      <w:color w:val="0563C1"/>
      <w:u w:val="single"/>
    </w:rPr>
  </w:style>
  <w:style w:type="character" w:customStyle="1" w:styleId="9">
    <w:name w:val="标题 Char"/>
    <w:link w:val="5"/>
    <w:locked/>
    <w:uiPriority w:val="10"/>
    <w:rPr>
      <w:rFonts w:ascii="Calibri Light" w:hAnsi="Calibri Light" w:eastAsia="宋体" w:cs="Times New Roman"/>
      <w:b/>
      <w:bCs/>
      <w:sz w:val="32"/>
      <w:szCs w:val="32"/>
    </w:rPr>
  </w:style>
  <w:style w:type="paragraph" w:customStyle="1" w:styleId="10">
    <w:name w:val="Chapter"/>
    <w:next w:val="1"/>
    <w:uiPriority w:val="99"/>
    <w:pPr>
      <w:keepNext/>
      <w:keepLines/>
      <w:widowControl w:val="0"/>
      <w:spacing w:before="300" w:after="300" w:line="241" w:lineRule="auto"/>
      <w:jc w:val="both"/>
    </w:pPr>
    <w:rPr>
      <w:rFonts w:ascii="Times New Roman" w:hAnsi="Times New Roman" w:eastAsia="宋体" w:cs="Times New Roman"/>
      <w:b/>
      <w:bCs/>
      <w:kern w:val="28"/>
      <w:sz w:val="24"/>
      <w:szCs w:val="24"/>
      <w:lang w:val="en-US" w:eastAsia="zh-CN" w:bidi="ar-SA"/>
    </w:rPr>
  </w:style>
  <w:style w:type="paragraph" w:customStyle="1" w:styleId="11">
    <w:name w:val="Section"/>
    <w:next w:val="1"/>
    <w:uiPriority w:val="99"/>
    <w:pPr>
      <w:keepNext/>
      <w:keepLines/>
      <w:widowControl w:val="0"/>
      <w:spacing w:before="300" w:after="300" w:line="241" w:lineRule="auto"/>
      <w:jc w:val="both"/>
    </w:pPr>
    <w:rPr>
      <w:rFonts w:ascii="Times New Roman" w:hAnsi="Times New Roman" w:eastAsia="宋体" w:cs="Times New Roman"/>
      <w:b/>
      <w:bCs/>
      <w:kern w:val="28"/>
      <w:sz w:val="21"/>
      <w:szCs w:val="21"/>
      <w:lang w:val="en-US" w:eastAsia="zh-CN" w:bidi="ar-SA"/>
    </w:rPr>
  </w:style>
  <w:style w:type="character" w:customStyle="1" w:styleId="12">
    <w:name w:val="页眉 Char"/>
    <w:link w:val="3"/>
    <w:locked/>
    <w:uiPriority w:val="99"/>
    <w:rPr>
      <w:rFonts w:ascii="Times New Roman" w:hAnsi="Times New Roman" w:eastAsia="宋体" w:cs="Times New Roman"/>
      <w:sz w:val="18"/>
      <w:szCs w:val="18"/>
    </w:rPr>
  </w:style>
  <w:style w:type="character" w:customStyle="1" w:styleId="13">
    <w:name w:val="页脚 Char"/>
    <w:link w:val="2"/>
    <w:locked/>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4.png"/><Relationship Id="rId10" Type="http://schemas.openxmlformats.org/officeDocument/2006/relationships/image" Target="media/image3.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186</Pages>
  <Words>24181</Words>
  <Characters>137836</Characters>
  <Lines>1148</Lines>
  <Paragraphs>323</Paragraphs>
  <TotalTime>0</TotalTime>
  <ScaleCrop>false</ScaleCrop>
  <LinksUpToDate>false</LinksUpToDate>
  <CharactersWithSpaces>161694</CharactersWithSpaces>
  <Application>WPS Office_10.1.0.7223_F1E327BC-269C-435d-A152-05C5408002CA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2017-04-21T11:52:00Z</dcterms:created>
  <dc:creator>北京海兰信数据科技股份有限公司</dc:creator>
  <cp:lastModifiedBy>Administrator</cp:lastModifiedBy>
  <dcterms:modified xsi:type="dcterms:W3CDTF">2018-04-24T12:30:46Z</dcterms:modified>
  <dc:title>北京海兰信数据科技股份有限公司2016年年度报告全文</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2052-10.1.0.7223</vt:lpwstr>
  </property>
</Properties>
</file>